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UNIVERSIDADE CATÓLICA DO SALVADOR</w:t>
      </w:r>
    </w:p>
    <w:p>
      <w:pPr>
        <w:spacing w:after="140" w:line="276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CURSO SUPERIOR DE TECNOLOGIA EM ANÁLISE E DESENVOLVIMENTO DE SISTEMAS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line="276"/>
        <w:jc w:val="center"/>
      </w:pPr>
      <w:r>
        <w:rPr>
          <w:b/>
          <w:bCs/>
          <w:i w:val="false"/>
          <w:iCs w:val="false"/>
          <w:sz w:val="44"/>
          <w:szCs w:val="44"/>
        </w:rPr>
        <w:t xml:space="preserve">NEXUS</w:t>
      </w:r>
    </w:p>
    <w:p>
      <w:pPr>
        <w:spacing w:after="160" w:line="276"/>
        <w:jc w:val="center"/>
      </w:pPr>
      <w:r>
        <w:rPr>
          <w:b/>
          <w:bCs/>
          <w:i w:val="false"/>
          <w:iCs w:val="false"/>
          <w:sz w:val="28"/>
          <w:szCs w:val="28"/>
        </w:rPr>
        <w:t xml:space="preserve">Documento de Arquitetura de Software</w:t>
      </w:r>
    </w:p>
    <w:p>
      <w:pPr>
        <w:spacing w:after="140" w:line="276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Plataforma inteligente de apoio ao levantamento, especificação, prototipação e suporte pós-entrega de soluções de software</w:t>
      </w:r>
    </w:p>
    <w:p>
      <w:r>
        <w:t xml:space="preserve"/>
      </w:r>
    </w:p>
    <w:p>
      <w:r>
        <w:t xml:space="preserve"/>
      </w:r>
    </w:p>
    <w:p>
      <w:pPr>
        <w:spacing w:after="140" w:line="276"/>
        <w:jc w:val="center"/>
      </w:pPr>
      <w:r>
        <w:rPr>
          <w:b w:val="false"/>
          <w:bCs w:val="false"/>
          <w:i/>
          <w:iCs/>
          <w:sz w:val="24"/>
          <w:szCs w:val="24"/>
        </w:rPr>
        <w:t xml:space="preserve">Stack: Django · Django REST Framework · Celery · PostgreSQL · Angular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40" w:line="276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Autor: Tauan</w:t>
      </w:r>
    </w:p>
    <w:p>
      <w:pPr>
        <w:spacing w:after="40" w:line="276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Orientador(a): a definir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40" w:line="276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Salvador – Bahia</w:t>
      </w:r>
    </w:p>
    <w:p>
      <w:pPr>
        <w:spacing w:after="140" w:line="276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Outubro de 2026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F3864"/>
          <w:sz w:val="28"/>
          <w:szCs w:val="28"/>
        </w:rPr>
        <w:t xml:space="preserve">Sumário</w:t>
      </w:r>
    </w:p>
    <w:p>
      <w:pPr>
        <w:spacing w:after="60" w:line="276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 Objetivo e escopo do documento</w:t>
      </w:r>
    </w:p>
    <w:p>
      <w:pPr>
        <w:spacing w:after="60" w:line="276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2 Visão geral da solução</w:t>
      </w:r>
    </w:p>
    <w:p>
      <w:pPr>
        <w:spacing w:after="60" w:line="276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3 Estilo arquitetural adotado</w:t>
      </w:r>
    </w:p>
    <w:p>
      <w:pPr>
        <w:spacing w:after="60" w:line="276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4 Decisões arquiteturais (ADR)</w:t>
      </w:r>
    </w:p>
    <w:p>
      <w:pPr>
        <w:spacing w:after="60" w:line="276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5 Visão de containers</w:t>
      </w:r>
    </w:p>
    <w:p>
      <w:pPr>
        <w:spacing w:after="60" w:line="276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6 Organização em módulos de negócio</w:t>
      </w:r>
    </w:p>
    <w:p>
      <w:pPr>
        <w:spacing w:after="60" w:line="276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7 Camadas internas de cada módulo</w:t>
      </w:r>
    </w:p>
    <w:p>
      <w:pPr>
        <w:spacing w:after="60" w:line="276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8 Estrutura de diretórios</w:t>
      </w:r>
    </w:p>
    <w:p>
      <w:pPr>
        <w:spacing w:after="60" w:line="276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9 Ciclo de vida dos artefatos</w:t>
      </w:r>
    </w:p>
    <w:p>
      <w:pPr>
        <w:spacing w:after="60" w:line="276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10 Processamento assíncrono e contrato da API</w:t>
      </w:r>
    </w:p>
    <w:p>
      <w:pPr>
        <w:spacing w:after="60" w:line="276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11 Integração com Inteligência Artificial</w:t>
      </w:r>
    </w:p>
    <w:p>
      <w:pPr>
        <w:spacing w:after="60" w:line="276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12 Persistência e modelo de dados</w:t>
      </w:r>
    </w:p>
    <w:p>
      <w:pPr>
        <w:spacing w:after="60" w:line="276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13 Segurança</w:t>
      </w:r>
    </w:p>
    <w:p>
      <w:pPr>
        <w:spacing w:after="60" w:line="276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14 Atendimento aos requisitos não funcionais</w:t>
      </w:r>
    </w:p>
    <w:p>
      <w:pPr>
        <w:spacing w:after="60" w:line="276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15 Implantação e ambientes</w:t>
      </w:r>
    </w:p>
    <w:p>
      <w:pPr>
        <w:spacing w:after="60" w:line="276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16 Estratégia de testes</w:t>
      </w:r>
    </w:p>
    <w:p>
      <w:pPr>
        <w:spacing w:after="60" w:line="276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17 Riscos arquiteturais e mitigações</w:t>
      </w:r>
    </w:p>
    <w:p>
      <w:pPr>
        <w:spacing w:after="60" w:line="276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18 Evolução prevista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F3864"/>
          <w:sz w:val="28"/>
          <w:szCs w:val="28"/>
        </w:rPr>
        <w:t xml:space="preserve">1 Objetivo e escopo do documento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Este documento descreve a arquitetura de software do Nexus, plataforma proposta como Trabalho de Conclusão de Curso. Ele registra as decisões estruturais tomadas, as alternativas avaliadas e as razões de cada escolha, de modo que a implementação possa ser conduzida sem reabrir discussões já resolvidas e que a banca possa avaliar o raciocínio técnico, e não apenas o resultado.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 documento cobre a organização do código, a divisão de responsabilidades, o fluxo de processamento assistido por Inteligência Artificial, a estratégia de segurança e o plano de implantação. Não cobre a especificação funcional da plataforma, que consta da proposta de TCC, nem o detalhamento de interface, tratado nos protótipos.</w:t>
      </w:r>
    </w:p>
    <w:p>
      <w:pPr>
        <w:pStyle w:val="Heading1"/>
        <w:spacing w:after="200" w:before="320"/>
      </w:pPr>
      <w:r>
        <w:rPr>
          <w:b/>
          <w:bCs/>
          <w:color w:val="1F3864"/>
          <w:sz w:val="28"/>
          <w:szCs w:val="28"/>
        </w:rPr>
        <w:t xml:space="preserve">2 Visão geral da solução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 Nexus é uma aplicação web que apoia o ciclo de vida de uma demanda de tecnologia: recebe a necessidade por transcrição de reunião ou por entrevista guiada em chat, estrutura o levantamento, gera requisitos assistidos por IA, recomenda o cenário técnico mais aderente, produz um protótipo estático de telas, organiza o plano de trabalho conforme a metodologia escolhida pelo desenvolvedor e, após a entrega, concentra os chamados abertos de dentro do próprio produto construído.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Três características do problema determinam a arquitetura: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4"/>
          <w:szCs w:val="24"/>
        </w:rPr>
        <w:t xml:space="preserve">Operações longas. Transcrever uma reunião ou gerar um conjunto de requisitos leva dezenas de segundos a alguns minutos, o que torna inviável o processamento dentro do ciclo de requisição e resposta HTTP.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4"/>
          <w:szCs w:val="24"/>
        </w:rPr>
        <w:t xml:space="preserve">Resultado não determinístico e sujeito a revisão. Nenhum artefato produzido pela IA vale como decisão antes de passar por validação humana, o que exige versionamento, estados explícitos e trilha de auditoria.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4"/>
          <w:szCs w:val="24"/>
        </w:rPr>
        <w:t xml:space="preserve">Dependência de serviço externo instável e tarifado. O provedor de modelo de linguagem pode falhar, mudar de versão ou ser substituído, o que exige isolamento por interface.</w:t>
      </w:r>
    </w:p>
    <w:p>
      <w:pPr>
        <w:pStyle w:val="Heading1"/>
        <w:spacing w:after="200" w:before="320"/>
      </w:pPr>
      <w:r>
        <w:rPr>
          <w:b/>
          <w:bCs/>
          <w:color w:val="1F3864"/>
          <w:sz w:val="28"/>
          <w:szCs w:val="28"/>
        </w:rPr>
        <w:t xml:space="preserve">3 Estilo arquitetural adotado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shd w:fill="F2F6FB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3"/>
                <w:szCs w:val="23"/>
              </w:rPr>
              <w:t xml:space="preserve">Decisão central</w:t>
            </w:r>
          </w:p>
          <w:p>
            <w:pPr>
              <w:spacing w:after="0" w:line="264"/>
              <w:jc w:val="both"/>
            </w:pPr>
            <w:r>
              <w:rPr>
                <w:sz w:val="22"/>
                <w:szCs w:val="22"/>
              </w:rPr>
              <w:t xml:space="preserve">O Nexus é implementado como um monólito modular em Django, com fronteiras internas explícitas entre módulos de negócio, processamento assíncrono por fila e front-end desacoplado em Angular consumindo uma API REST.</w:t>
            </w:r>
          </w:p>
        </w:tc>
      </w:tr>
    </w:tbl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 expressão “monólito modular” descreve um sistema implantado como uma única aplicação, porém internamente dividido em módulos com responsabilidade própria, que se comunicam por interfaces definidas e não por acesso direto às tabelas uns dos outros. É um meio-termo deliberado entre o monólito tradicional, em que tudo se mistura, e a arquitetura de microsserviços, em que cada módulo vira um processo independente.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Comparação das alternativas consideradas: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4471"/>
      </w:tblGrid>
      <w:tr>
        <w:trPr>
          <w:tblHeader/>
        </w:trPr>
        <w:tc>
          <w:tcPr>
            <w:tcW w:type="dxa" w:w="19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Alternativa</w:t>
            </w:r>
          </w:p>
        </w:tc>
        <w:tc>
          <w:tcPr>
            <w:tcW w:type="dxa" w:w="27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Vantagem</w:t>
            </w:r>
          </w:p>
        </w:tc>
        <w:tc>
          <w:tcPr>
            <w:tcW w:type="dxa" w:w="4471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Por que foi descartada ou adotada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Monólito tradicional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Implementação mais rápida no início.</w:t>
            </w:r>
          </w:p>
        </w:tc>
        <w:tc>
          <w:tcPr>
            <w:tcW w:type="dxa" w:w="44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Descartado: sem fronteiras internas, a regra de negócio se espalha entre views e models, e o trabalho perde o conteúdo de engenharia de software que a banca avalia.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Microsserviços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Escalabilidade e implantação independentes por serviço.</w:t>
            </w:r>
          </w:p>
        </w:tc>
        <w:tc>
          <w:tcPr>
            <w:tcW w:type="dxa" w:w="44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Descartado: exige orquestração, comunicação entre serviços, consistência distribuída e observabilidade. O custo operacional não se justifica para um TCC com um desenvolvedor, e desloca o esforço da contribuição real do trabalho.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Monólito modular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Fronteiras internas claras com uma única unidade de implantação.</w:t>
            </w:r>
          </w:p>
        </w:tc>
        <w:tc>
          <w:tcPr>
            <w:tcW w:type="dxa" w:w="44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Adotado: oferece a separação necessária para a qualidade do projeto, mantém a operação simples e permite extrair um módulo para serviço próprio no futuro, se houver necessidade real.</w:t>
            </w:r>
          </w:p>
        </w:tc>
      </w:tr>
    </w:tbl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 decisão de separar o front-end em uma aplicação Angular independente, em vez de usar os templates do Django, decorre da natureza da interface: edição de requisitos item a item, acompanhamento de tarefas em segundo plano, quadro de planejamento e visualização de protótipo são interações com estado em cliente, mal atendidas por páginas renderizadas no servidor.</w:t>
      </w:r>
    </w:p>
    <w:p>
      <w:pPr>
        <w:pStyle w:val="Heading1"/>
        <w:spacing w:after="200" w:before="320"/>
      </w:pPr>
      <w:r>
        <w:rPr>
          <w:b/>
          <w:bCs/>
          <w:color w:val="1F3864"/>
          <w:sz w:val="28"/>
          <w:szCs w:val="28"/>
        </w:rPr>
        <w:t xml:space="preserve">4 Decisões arquiteturais (ADR)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Registro resumido das decisões, no formato de Architecture Decision Records. Cada decisão indica o que foi escolhido, o que foi preterido e qual consequência prática foi aceita.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2500"/>
        <w:gridCol w:w="2871"/>
      </w:tblGrid>
      <w:tr>
        <w:trPr>
          <w:tblHeader/>
        </w:trPr>
        <w:tc>
          <w:tcPr>
            <w:tcW w:type="dxa" w:w="8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29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Decisão</w:t>
            </w:r>
          </w:p>
        </w:tc>
        <w:tc>
          <w:tcPr>
            <w:tcW w:type="dxa" w:w="25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Alternativa preterida</w:t>
            </w:r>
          </w:p>
        </w:tc>
        <w:tc>
          <w:tcPr>
            <w:tcW w:type="dxa" w:w="2871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Consequência aceita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ADR-01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Monólito modular em Django.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Microsserviços.</w:t>
            </w:r>
          </w:p>
        </w:tc>
        <w:tc>
          <w:tcPr>
            <w:tcW w:type="dxa" w:w="2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Escala vertical; separação depende de disciplina de código, não de processo.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ADR-02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Front-end Angular desacoplado, consumindo API REST.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Templates Django com renderização no servidor.</w:t>
            </w:r>
          </w:p>
        </w:tc>
        <w:tc>
          <w:tcPr>
            <w:tcW w:type="dxa" w:w="2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Dois projetos para manter e necessidade de tratar CORS e autenticação por token.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ADR-03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Toda chamada à IA é assíncrona, via Celery e Redis.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Chamada síncrona dentro da requisição HTTP.</w:t>
            </w:r>
          </w:p>
        </w:tc>
        <w:tc>
          <w:tcPr>
            <w:tcW w:type="dxa" w:w="2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Complexidade de fila e de acompanhamento de estado da tarefa.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ADR-04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Acesso ao modelo de linguagem por uma porta LLMProvider, com adaptadores.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Chamada direta ao SDK do provedor dentro do serviço.</w:t>
            </w:r>
          </w:p>
        </w:tc>
        <w:tc>
          <w:tcPr>
            <w:tcW w:type="dxa" w:w="2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Uma camada de indireção a mais, em troca de troca de provedor sem reescrita.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ADR-05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Busca vetorial no próprio PostgreSQL, com a extensão pgvector.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Banco vetorial dedicado (Pinecone, Qdrant, Weaviate).</w:t>
            </w:r>
          </w:p>
        </w:tc>
        <w:tc>
          <w:tcPr>
            <w:tcW w:type="dxa" w:w="2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Desempenho inferior em escala muito alta, irrelevante no volume previsto; evita mais um serviço.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ADR-06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Auditoria em tabela append-only, sem atualização nem exclusão.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Histórico derivado de campos de data no próprio registro.</w:t>
            </w:r>
          </w:p>
        </w:tc>
        <w:tc>
          <w:tcPr>
            <w:tcW w:type="dxa" w:w="2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Crescimento da tabela de eventos; em troca, rastreabilidade íntegra das validações.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ADR-07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Acompanhamento de tarefas por polling HTTP.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WebSocket ou Server-Sent Events.</w:t>
            </w:r>
          </w:p>
        </w:tc>
        <w:tc>
          <w:tcPr>
            <w:tcW w:type="dxa" w:w="2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Latência de alguns segundos na atualização; em troca, infraestrutura e código muito mais simples.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ADR-08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Regra de negócio isolada em camada de domínio sem dependência de Django.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Regra de negócio em métodos dos models.</w:t>
            </w:r>
          </w:p>
        </w:tc>
        <w:tc>
          <w:tcPr>
            <w:tcW w:type="dxa" w:w="2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Mais arquivos por módulo; em troca, testes sem banco e independência de framework.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F3864"/>
          <w:sz w:val="28"/>
          <w:szCs w:val="28"/>
        </w:rPr>
        <w:t xml:space="preserve">5 Visão de containers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 Figura 1 apresenta os componentes executáveis do sistema e a comunicação entre eles, no nível de containers do modelo C4. Cada bloco corresponde a um processo ou serviço que roda separadamente.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1 – Visão de containers do Nexus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5071"/>
      </w:tblGrid>
      <w:tr>
        <w:trPr>
          <w:tblHeader/>
        </w:trPr>
        <w:tc>
          <w:tcPr>
            <w:tcW w:type="dxa" w:w="17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Container</w:t>
            </w:r>
          </w:p>
        </w:tc>
        <w:tc>
          <w:tcPr>
            <w:tcW w:type="dxa" w:w="23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Tecnologia</w:t>
            </w:r>
          </w:p>
        </w:tc>
        <w:tc>
          <w:tcPr>
            <w:tcW w:type="dxa" w:w="5071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Responsabilidade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Nexus Web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Angular</w:t>
            </w:r>
          </w:p>
        </w:tc>
        <w:tc>
          <w:tcPr>
            <w:tcW w:type="dxa" w:w="50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Interface do usuário, controle de sessão, acompanhamento de tarefas e renderização do protótipo gerado.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Nexus API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Django + Django REST Framework</w:t>
            </w:r>
          </w:p>
        </w:tc>
        <w:tc>
          <w:tcPr>
            <w:tcW w:type="dxa" w:w="50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Autenticação, autorização, validação de entrada, execução das regras de negócio síncronas e enfileiramento de tarefas longas.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Workers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Celery</w:t>
            </w:r>
          </w:p>
        </w:tc>
        <w:tc>
          <w:tcPr>
            <w:tcW w:type="dxa" w:w="50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Transcrição, geração de levantamento e requisitos, pontuação de cenário, geração de protótipo e indexação da base de conhecimento.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PostgreSQL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PostgreSQL + pgvector</w:t>
            </w:r>
          </w:p>
        </w:tc>
        <w:tc>
          <w:tcPr>
            <w:tcW w:type="dxa" w:w="50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Dados relacionais, versionamento de artefatos, trilha de auditoria e índice vetorial da base de conhecimento.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Redis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Redis</w:t>
            </w:r>
          </w:p>
        </w:tc>
        <w:tc>
          <w:tcPr>
            <w:tcW w:type="dxa" w:w="50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Fila de tarefas do Celery, cache de respostas e controle de limite de requisições.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Object Storage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MinIO em desenvolvimento, S3 em produção</w:t>
            </w:r>
          </w:p>
        </w:tc>
        <w:tc>
          <w:tcPr>
            <w:tcW w:type="dxa" w:w="50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Arquivos de transcrição, áudio, vídeo, anexos e protótipos gerados.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Provedor de LLM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Serviço externo</w:t>
            </w:r>
          </w:p>
        </w:tc>
        <w:tc>
          <w:tcPr>
            <w:tcW w:type="dxa" w:w="50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Geração de texto estruturado a partir do contexto enviado.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Serviço de transcrição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Serviço externo</w:t>
            </w:r>
          </w:p>
        </w:tc>
        <w:tc>
          <w:tcPr>
            <w:tcW w:type="dxa" w:w="50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Conversão de áudio e vídeo em texto.</w:t>
            </w:r>
          </w:p>
        </w:tc>
      </w:tr>
    </w:tbl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 API e os workers compartilham o mesmo código-fonte e o mesmo banco: são o mesmo projeto Django iniciado com comandos diferentes. Isso mantém a regra de negócio em um só lugar, independentemente de ser executada de forma síncrona ou em segundo plano.</w:t>
      </w:r>
    </w:p>
    <w:p>
      <w:pPr>
        <w:pStyle w:val="Heading1"/>
        <w:spacing w:after="200" w:before="320"/>
      </w:pPr>
      <w:r>
        <w:rPr>
          <w:b/>
          <w:bCs/>
          <w:color w:val="1F3864"/>
          <w:sz w:val="28"/>
          <w:szCs w:val="28"/>
        </w:rPr>
        <w:t xml:space="preserve">6 Organização em módulos de negócio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Os aplicativos Django são divididos por contexto de negócio, e não por camada técnica. Não existe um aplicativo chamado “models” ou “views”: cada aplicativo representa uma etapa do processo descrito na proposta, o que mantém a correspondência direta entre a documentação funcional e o código.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400"/>
        <w:gridCol w:w="2971"/>
      </w:tblGrid>
      <w:tr>
        <w:trPr>
          <w:tblHeader/>
        </w:trPr>
        <w:tc>
          <w:tcPr>
            <w:tcW w:type="dxa" w:w="17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Módulo (app)</w:t>
            </w:r>
          </w:p>
        </w:tc>
        <w:tc>
          <w:tcPr>
            <w:tcW w:type="dxa" w:w="44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Responsabilidade</w:t>
            </w:r>
          </w:p>
        </w:tc>
        <w:tc>
          <w:tcPr>
            <w:tcW w:type="dxa" w:w="2971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Entidades principais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core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Base compartilhada: modelo-base com identificador e datas, exceções, paginação, trilha de auditoria.</w:t>
            </w:r>
          </w:p>
        </w:tc>
        <w:tc>
          <w:tcPr>
            <w:tcW w:type="dxa" w:w="29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EventoAuditoria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contas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Usuários, perfis, permissões e atribuição de responsáveis por validação.</w:t>
            </w:r>
          </w:p>
        </w:tc>
        <w:tc>
          <w:tcPr>
            <w:tcW w:type="dxa" w:w="29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Usuario, Perfil, Atribuicao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demandas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Registro e acompanhamento das necessidades.</w:t>
            </w:r>
          </w:p>
        </w:tc>
        <w:tc>
          <w:tcPr>
            <w:tcW w:type="dxa" w:w="29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Demanda, Anexo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levantamento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Processamento de transcrições e condução da entrevista guiada adaptativa.</w:t>
            </w:r>
          </w:p>
        </w:tc>
        <w:tc>
          <w:tcPr>
            <w:tcW w:type="dxa" w:w="29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FonteInformacao, SessaoEntrevista, Levantamento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requisitos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Requisitos funcionais, não funcionais, regras e critérios de aceitação, com versionamento.</w:t>
            </w:r>
          </w:p>
        </w:tc>
        <w:tc>
          <w:tcPr>
            <w:tcW w:type="dxa" w:w="29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Requisito, VersaoRequisito, Baseline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validacao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Fila de aprovação, decisões e histórico de revisões.</w:t>
            </w:r>
          </w:p>
        </w:tc>
        <w:tc>
          <w:tcPr>
            <w:tcW w:type="dxa" w:w="29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SolicitacaoValidacao, Decisao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cenario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Extração de sinais e pontuação de aderência dos cenários técnicos.</w:t>
            </w:r>
          </w:p>
        </w:tc>
        <w:tc>
          <w:tcPr>
            <w:tcW w:type="dxa" w:w="29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AnaliseCenario, Sinal, Recomendacao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prototipo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Geração, versionamento e comentários do protótipo estático.</w:t>
            </w:r>
          </w:p>
        </w:tc>
        <w:tc>
          <w:tcPr>
            <w:tcW w:type="dxa" w:w="29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Prototipo, Tela, Comentario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planejamento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Metodologia escolhida e artefatos correspondentes.</w:t>
            </w:r>
          </w:p>
        </w:tc>
        <w:tc>
          <w:tcPr>
            <w:tcW w:type="dxa" w:w="29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PlanoTrabalho, ItemBacklog, Iteracao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produtos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Soluções publicadas, versões e vínculo com o projeto de origem.</w:t>
            </w:r>
          </w:p>
        </w:tc>
        <w:tc>
          <w:tcPr>
            <w:tcW w:type="dxa" w:w="29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Produto, Versao, Publicacao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chamados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Abertura, triagem assistida, atendimento e conversão em nova demanda.</w:t>
            </w:r>
          </w:p>
        </w:tc>
        <w:tc>
          <w:tcPr>
            <w:tcW w:type="dxa" w:w="29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Chamado, Triagem, Atendimento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conhecimento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Procedimentos validados, indexação vetorial e reuso.</w:t>
            </w:r>
          </w:p>
        </w:tc>
        <w:tc>
          <w:tcPr>
            <w:tcW w:type="dxa" w:w="29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ItemConhecimento, Trecho, Embedding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ia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Orquestração das chamadas ao modelo, prompts versionados e registro de execuções.</w:t>
            </w:r>
          </w:p>
        </w:tc>
        <w:tc>
          <w:tcPr>
            <w:tcW w:type="dxa" w:w="29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Job, PromptTemplate, LogIA</w:t>
            </w:r>
          </w:p>
        </w:tc>
      </w:tr>
    </w:tbl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shd w:fill="F2F6FB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3"/>
                <w:szCs w:val="23"/>
              </w:rPr>
              <w:t xml:space="preserve">Regra de fronteira entre módulos</w:t>
            </w:r>
          </w:p>
          <w:p>
            <w:pPr>
              <w:spacing w:after="0" w:line="264"/>
              <w:jc w:val="both"/>
            </w:pPr>
            <w:r>
              <w:rPr>
                <w:sz w:val="22"/>
                <w:szCs w:val="22"/>
              </w:rPr>
              <w:t xml:space="preserve">Um módulo nunca importa models de outro módulo diretamente. A comunicação ocorre por meio dos serviços expostos pelo módulo de destino ou por eventos de domínio. Essa é a disciplina que separa um monólito modular de um monólito comum, e é o que permitiria, no futuro, extrair um módulo para um serviço próprio sem reescrever o sistema.</w:t>
            </w:r>
          </w:p>
        </w:tc>
      </w:tr>
    </w:tbl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1"/>
        <w:spacing w:after="200" w:before="320"/>
      </w:pPr>
      <w:r>
        <w:rPr>
          <w:b/>
          <w:bCs/>
          <w:color w:val="1F3864"/>
          <w:sz w:val="28"/>
          <w:szCs w:val="28"/>
        </w:rPr>
        <w:t xml:space="preserve">7 Camadas internas de cada módulo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Dentro de cada módulo, o código é organizado em quatro camadas, com direção de dependência bem definida, conforme a Figura 2. A camada de domínio é o centro do desenho: ela não conhece o Django, não conhece o banco e não conhece o provedor de IA.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506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2 – Camadas internas de um módulo e direção das dependências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00"/>
        <w:gridCol w:w="3471"/>
      </w:tblGrid>
      <w:tr>
        <w:trPr>
          <w:tblHeader/>
        </w:trPr>
        <w:tc>
          <w:tcPr>
            <w:tcW w:type="dxa" w:w="15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Camada</w:t>
            </w:r>
          </w:p>
        </w:tc>
        <w:tc>
          <w:tcPr>
            <w:tcW w:type="dxa" w:w="41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Conteúdo</w:t>
            </w:r>
          </w:p>
        </w:tc>
        <w:tc>
          <w:tcPr>
            <w:tcW w:type="dxa" w:w="3471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O que nunca deve conter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API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Rotas, views do DRF, serializers, classes de permissão.</w:t>
            </w:r>
          </w:p>
        </w:tc>
        <w:tc>
          <w:tcPr>
            <w:tcW w:type="dxa" w:w="34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Regra de negócio, consulta complexa ao banco, chamada a serviço externo.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Aplicação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Casos de uso em services/, tarefas Celery em tasks.py, controle de transação.</w:t>
            </w:r>
          </w:p>
        </w:tc>
        <w:tc>
          <w:tcPr>
            <w:tcW w:type="dxa" w:w="34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Lógica de decisão de negócio que pertença ao domínio; detalhes de HTTP.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Domínio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Entidades, máquina de estados, políticas de permissão de negócio, cálculo de pontuação de cenário, interfaces (portas).</w:t>
            </w:r>
          </w:p>
        </w:tc>
        <w:tc>
          <w:tcPr>
            <w:tcW w:type="dxa" w:w="34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Qualquer import de Django, do ORM, de biblioteca de rede ou de SDK externo.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Infraestrutura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Models do ORM, repositórios, adaptadores de LLM, transcrição e armazenamento.</w:t>
            </w:r>
          </w:p>
        </w:tc>
        <w:tc>
          <w:tcPr>
            <w:tcW w:type="dxa" w:w="34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Decisão de negócio; orquestração de caso de uso.</w:t>
            </w:r>
          </w:p>
        </w:tc>
      </w:tr>
    </w:tbl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 camada de aplicação é a única que conversa com as três outras: recebe o pedido da API, consulta a infraestrutura para carregar dados, submete a decisão ao domínio e grava o resultado. O domínio define interfaces — por exemplo, um repositório de requisitos ou um provedor de linguagem — e a infraestrutura as implementa, o que caracteriza a inversão de dependência.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 justificativa prática é direta: a máquina de estados do artefato, as regras de quem pode validar o quê e o cálculo de aderência de cenário são testáveis sem subir banco, sem subir servidor e sem gastar crédito de API. Esses testes são rápidos e determinísticos, o que viabiliza a execução repetida dos casos de teste previstos na avaliação do trabalho.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F3864"/>
          <w:sz w:val="28"/>
          <w:szCs w:val="28"/>
        </w:rPr>
        <w:t xml:space="preserve">8 Estrutura de diretórios</w:t>
      </w:r>
    </w:p>
    <w:p>
      <w:pPr>
        <w:pStyle w:val="Heading2"/>
        <w:spacing w:after="140" w:before="240"/>
      </w:pPr>
      <w:r>
        <w:rPr>
          <w:b/>
          <w:bCs/>
          <w:color w:val="2E5E8C"/>
          <w:sz w:val="25"/>
          <w:szCs w:val="25"/>
        </w:rPr>
        <w:t xml:space="preserve">8.1 Back-end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shd w:fill="F5F5F5" w:color="auto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nexus-api/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config/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settings/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base.py           # configuração comum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dev.py            # desenvolvimento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└── prod.py           # produção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urls.py               # roteamento raiz, versionado em /api/v1/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celery.py             # instância e descoberta de tarefas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asgi.py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└── wsgi.py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apps/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core/                 # base compartilhada e auditoria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contas/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demandas/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levantamento/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requisitos/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validacao/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cenario/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prototipo/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planejamento/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produtos/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chamados/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conhecimento/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└── ia/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requirements/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base.txt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dev.txt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└── prod.txt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docker-compose.yml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Dockerfile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.env.example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└── manage.py</w:t>
            </w:r>
          </w:p>
        </w:tc>
      </w:tr>
    </w:tbl>
    <w:p>
      <w:pPr>
        <w:spacing w:after="10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Organização interna de um módulo, usando requisitos como exemplo: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shd w:fill="F5F5F5" w:color="auto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apps/requisitos/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api/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urls.py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views.py              # ViewSets do DRF — apenas tradução HTTP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serializers.py        # campos explícitos, nunca "__all__"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└── permissions.py        # permissão por objeto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services/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gerar_requisitos.py   # caso de uso: dispara geração assistida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aprovar_requisito.py  # caso de uso: aplica decisão de validação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└── fechar_baseline.py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domain/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entities.py           # Requisito como objeto de domínio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estados.py            # máquina de estados e transições válidas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policies.py           # quem pode validar o quê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└── ports.py              # interfaces que a infraestrutura implementa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models.py                 # mapeamento ORM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repositories.py           # consultas isoladas do caso de uso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tasks.py                  # tarefas Celery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admin.py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migrations/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└── tests/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├── test_dominio.py       # rápido, sem banco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├── test_services.py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└── test_api.py</w:t>
            </w:r>
          </w:p>
        </w:tc>
      </w:tr>
    </w:tbl>
    <w:p>
      <w:pPr>
        <w:spacing w:after="10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40" w:before="240"/>
      </w:pPr>
      <w:r>
        <w:rPr>
          <w:b/>
          <w:bCs/>
          <w:color w:val="2E5E8C"/>
          <w:sz w:val="25"/>
          <w:szCs w:val="25"/>
        </w:rPr>
        <w:t xml:space="preserve">8.2 Front-end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shd w:fill="F5F5F5" w:color="auto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nexus-web/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src/app/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core/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auth/             # serviço de sessão, guard, renovação de token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http/             # interceptors: token, erro, correlação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└── config/           # ambiente e constantes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shared/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ui/               # componentes reutilizáveis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pipes/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└── models/           # tipos espelhando os contratos da API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features/             # um módulo por contexto, carregado sob demanda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demandas/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├── pages/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├── components/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└── data/         # serviços HTTP e estado da feature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levantamento/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requisitos/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validacao/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cenario/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prototipo/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planejamento/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produtos/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chamados/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└── conhecimento/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app.routes.ts         # rotas com carregamento sob demanda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└── app.config.ts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src/environments/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└── Dockerfile</w:t>
            </w:r>
          </w:p>
        </w:tc>
      </w:tr>
    </w:tbl>
    <w:p>
      <w:pPr>
        <w:spacing w:after="10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 front-end utiliza componentes independentes (standalone components), rotas com carregamento sob demanda por feature e sinais (signals) para estado local, dispensando bibliotecas externas de gerenciamento de estado. A correspondência entre as pastas de features e os módulos do back-end é intencional: facilita a navegação e evita divergência de vocabulário entre as duas bases de código.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F3864"/>
          <w:sz w:val="28"/>
          <w:szCs w:val="28"/>
        </w:rPr>
        <w:t xml:space="preserve">9 Ciclo de vida dos artefatos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Todo artefato produzido com apoio da IA — levantamento, requisito, recomendação de cenário, protótipo, procedimento de conhecimento — percorre a mesma máquina de estados, implementada uma única vez no módulo core e reutilizada pelos demais. É esse mecanismo que materializa, no código, o princípio de que a IA propõe e o humano decide.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3 – Máquina de estados comum a todos os artefatos assistidos por IA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00"/>
        <w:gridCol w:w="3671"/>
      </w:tblGrid>
      <w:tr>
        <w:trPr>
          <w:tblHeader/>
        </w:trPr>
        <w:tc>
          <w:tcPr>
            <w:tcW w:type="dxa" w:w="25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Transição</w:t>
            </w:r>
          </w:p>
        </w:tc>
        <w:tc>
          <w:tcPr>
            <w:tcW w:type="dxa" w:w="29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Quem pode executar</w:t>
            </w:r>
          </w:p>
        </w:tc>
        <w:tc>
          <w:tcPr>
            <w:tcW w:type="dxa" w:w="3671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Efeito registrado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Geração → PROPOSTO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Sistema (worker).</w:t>
            </w:r>
          </w:p>
        </w:tc>
        <w:tc>
          <w:tcPr>
            <w:tcW w:type="dxa" w:w="36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Artefato criado com referência ao job, ao modelo utilizado e à origem da informação.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PROPOSTO → EM_REVISAO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Sistema, ao atribuir validador.</w:t>
            </w:r>
          </w:p>
        </w:tc>
        <w:tc>
          <w:tcPr>
            <w:tcW w:type="dxa" w:w="36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Responsável designado e prazo de revisão.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EM_REVISAO → APROVADO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Validador designado para o tipo de artefato.</w:t>
            </w:r>
          </w:p>
        </w:tc>
        <w:tc>
          <w:tcPr>
            <w:tcW w:type="dxa" w:w="36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Evento de aprovação com autor, data e versão aprovada.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EM_REVISAO → EDITADO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Validador designado.</w:t>
            </w:r>
          </w:p>
        </w:tc>
        <w:tc>
          <w:tcPr>
            <w:tcW w:type="dxa" w:w="36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Nova versão com autoria humana; versão anterior preservada.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EM_REVISAO → REJEITADO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Validador designado.</w:t>
            </w:r>
          </w:p>
        </w:tc>
        <w:tc>
          <w:tcPr>
            <w:tcW w:type="dxa" w:w="36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Motivo da rejeição, obrigatório, para análise posterior de qualidade.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EDITADO → EM_REVISAO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Autor da edição.</w:t>
            </w:r>
          </w:p>
        </w:tc>
        <w:tc>
          <w:tcPr>
            <w:tcW w:type="dxa" w:w="36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Reenvio para nova apreciação.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REJEITADO → PROPOSTO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Sistema, em nova geração assistida.</w:t>
            </w:r>
          </w:p>
        </w:tc>
        <w:tc>
          <w:tcPr>
            <w:tcW w:type="dxa" w:w="36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Nova tentativa vinculada ao motivo da rejeição anterior.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APROVADO → OBSOLETO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Sistema, ao aprovar versão posterior.</w:t>
            </w:r>
          </w:p>
        </w:tc>
        <w:tc>
          <w:tcPr>
            <w:tcW w:type="dxa" w:w="36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Encadeamento entre versões; a baseline aponta sempre para a versão vigente.</w:t>
            </w:r>
          </w:p>
        </w:tc>
      </w:tr>
    </w:tbl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shd w:fill="F2F6FB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3"/>
                <w:szCs w:val="23"/>
              </w:rPr>
              <w:t xml:space="preserve">Por que isso importa na avaliação do trabalho</w:t>
            </w:r>
          </w:p>
          <w:p>
            <w:pPr>
              <w:spacing w:after="0" w:line="264"/>
              <w:jc w:val="both"/>
            </w:pPr>
            <w:r>
              <w:rPr>
                <w:sz w:val="22"/>
                <w:szCs w:val="22"/>
              </w:rPr>
              <w:t xml:space="preserve">A taxa de aprovação sem edição, a taxa de rejeição e os motivos registrados são extraídos diretamente desta máquina de estados. As métricas previstas na avaliação do TCC não dependem de instrumentação adicional: elas são consultas sobre os eventos que o próprio fluxo de uso produz.</w:t>
            </w:r>
          </w:p>
        </w:tc>
      </w:tr>
    </w:tbl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1"/>
        <w:spacing w:after="200" w:before="320"/>
      </w:pPr>
      <w:r>
        <w:rPr>
          <w:b/>
          <w:bCs/>
          <w:color w:val="1F3864"/>
          <w:sz w:val="28"/>
          <w:szCs w:val="28"/>
        </w:rPr>
        <w:t xml:space="preserve">10 Processamento assíncrono e contrato da API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Operações que dependem do provedor de IA ou de transcrição são sempre executadas fora do ciclo de requisição e resposta. A Figura 4 detalha o percurso completo de uma geração de requisitos, do clique do usuário ao registro da decisão de validação.</w:t>
      </w:r>
    </w:p>
    <w:p>
      <w:pPr>
        <w:spacing w:after="60" w:before="160"/>
        <w:jc w:val="center"/>
      </w:pPr>
      <w:r>
        <w:drawing>
          <wp:inline distT="0" distB="0" distL="0" distR="0">
            <wp:extent cx="4914900" cy="752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4 – Fluxo de uma geração assistida, do pedido à validação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Padrão de contrato adotado para toda operação longa: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00"/>
        <w:gridCol w:w="3271"/>
      </w:tblGrid>
      <w:tr>
        <w:trPr>
          <w:tblHeader/>
        </w:trPr>
        <w:tc>
          <w:tcPr>
            <w:tcW w:type="dxa" w:w="21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Operação</w:t>
            </w:r>
          </w:p>
        </w:tc>
        <w:tc>
          <w:tcPr>
            <w:tcW w:type="dxa" w:w="37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Método e rota</w:t>
            </w:r>
          </w:p>
        </w:tc>
        <w:tc>
          <w:tcPr>
            <w:tcW w:type="dxa" w:w="3271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Resposta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Solicitar geração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 /api/v1/demandas/{id}/requisitos/gerar</w:t>
            </w:r>
          </w:p>
        </w:tc>
        <w:tc>
          <w:tcPr>
            <w:tcW w:type="dxa" w:w="32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202 Accepted com job_id e situação inicial.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Consultar situação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GET /api/v1/jobs/{job_id}</w:t>
            </w:r>
          </w:p>
        </w:tc>
        <w:tc>
          <w:tcPr>
            <w:tcW w:type="dxa" w:w="32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PENDENTE, EM_EXECUCAO, CONCLUIDO ou FALHOU, com percentual quando aplicável.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Obter resultado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GET /api/v1/demandas/{id}/requisitos</w:t>
            </w:r>
          </w:p>
        </w:tc>
        <w:tc>
          <w:tcPr>
            <w:tcW w:type="dxa" w:w="32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Lista de artefatos em estado PROPOSTO, com origem e nível de confiança.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Decidir validação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 /api/v1/requisitos/{id}/decisao</w:t>
            </w:r>
          </w:p>
        </w:tc>
        <w:tc>
          <w:tcPr>
            <w:tcW w:type="dxa" w:w="32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Artefato atualizado e evento de auditoria gravado.</w:t>
            </w:r>
          </w:p>
        </w:tc>
      </w:tr>
    </w:tbl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 front-end consulta a situação do job em intervalo crescente, começando em dois segundos. Ao receber CONCLUIDO, busca o resultado. A escolha por polling, em vez de WebSocket, é deliberada: elimina a necessidade de camada ASGI com canais, de gerenciamento de conexões persistentes e de reconexão, a um custo de latência irrelevante para uma operação que já leva dezenas de segundos.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Tarefas definem número máximo de tentativas, intervalo crescente entre tentativas e limite de tempo. Toda falha é registrada no job com mensagem tratada, nunca com a exceção bruta devolvida ao usuário.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F3864"/>
          <w:sz w:val="28"/>
          <w:szCs w:val="28"/>
        </w:rPr>
        <w:t xml:space="preserve">11 Integração com Inteligência Artificial</w:t>
      </w:r>
    </w:p>
    <w:p>
      <w:pPr>
        <w:pStyle w:val="Heading2"/>
        <w:spacing w:after="140" w:before="240"/>
      </w:pPr>
      <w:r>
        <w:rPr>
          <w:b/>
          <w:bCs/>
          <w:color w:val="2E5E8C"/>
          <w:sz w:val="25"/>
          <w:szCs w:val="25"/>
        </w:rPr>
        <w:t xml:space="preserve">11.1 Porta e adaptadores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 domínio define a interface LLMProvider, com operações de geração de texto estruturado e de cálculo de representação vetorial. A infraestrutura fornece implementações concretas para os provedores comerciais e uma implementação falsa, de resposta fixa, utilizada nos testes automatizados.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shd w:fill="F5F5F5" w:color="auto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apps/ia/domain/ports.py  —  sem dependência de framework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class LLMProvider(Protocol):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def gerar_estruturado(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self, prompt: str, schema: dict, contexto: list[str]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) -&gt; ResultadoGeracao: ...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def embedding(self, texto: str) -&gt; list[float]: ...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apps/ia/adapters/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openai_adapter.py        provedor comercial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anthropic_adapter.py     provedor comercial alternativo</w:t>
            </w:r>
          </w:p>
          <w:p>
            <w:pPr>
              <w:spacing w:after="0" w:line="215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fake_adapter.py          resposta fixa, usada nos testes</w:t>
            </w:r>
          </w:p>
        </w:tc>
      </w:tr>
    </w:tbl>
    <w:p>
      <w:pPr>
        <w:spacing w:after="10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 adaptador falso é um elemento central da estratégia de avaliação: permite executar os casos de teste quantas vezes forem necessárias, com resultado idêntico, sem custo e sem depender de conexão. A troca de implementação é feita por configuração, sem alteração de código de negócio.</w:t>
      </w:r>
    </w:p>
    <w:p>
      <w:pPr>
        <w:pStyle w:val="Heading2"/>
        <w:spacing w:after="140" w:before="240"/>
      </w:pPr>
      <w:r>
        <w:rPr>
          <w:b/>
          <w:bCs/>
          <w:color w:val="2E5E8C"/>
          <w:sz w:val="25"/>
          <w:szCs w:val="25"/>
        </w:rPr>
        <w:t xml:space="preserve">11.2 Respostas estruturadas e validação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 modelo nunca é consultado em texto livre quando o resultado alimenta um artefato. Toda geração exige um esquema JSON, e a resposta é validada contra esse esquema antes de ser persistida. Resposta fora do formato é tratada como falha da tarefa, com nova tentativa, e não como conteúdo válido. Esse cuidado atende diretamente ao risco de consumo inseguro de serviços externos.</w:t>
      </w:r>
    </w:p>
    <w:p>
      <w:pPr>
        <w:pStyle w:val="Heading2"/>
        <w:spacing w:after="140" w:before="240"/>
      </w:pPr>
      <w:r>
        <w:rPr>
          <w:b/>
          <w:bCs/>
          <w:color w:val="2E5E8C"/>
          <w:sz w:val="25"/>
          <w:szCs w:val="25"/>
        </w:rPr>
        <w:t xml:space="preserve">11.3 Recuperação de contexto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 geração é fundamentada em conteúdo do próprio projeto, por meio de geração aumentada por recuperação. Os itens da Base de Conhecimento e os artefatos já aprovados são fragmentados, convertidos em vetores e indexados no PostgreSQL com a extensão pgvector. Antes de cada geração, o sistema recupera os fragmentos mais próximos da demanda em questão e os inclui no contexto enviado ao modelo.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 opção por pgvector, em vez de um banco vetorial dedicado, reduz em um o número de serviços a operar e mantém o conteúdo e seu índice na mesma transação. No volume previsto para o trabalho — milhares de fragmentos, não milhões — a diferença de desempenho não é perceptível.</w:t>
      </w:r>
    </w:p>
    <w:p>
      <w:pPr>
        <w:pStyle w:val="Heading2"/>
        <w:spacing w:after="140" w:before="240"/>
      </w:pPr>
      <w:r>
        <w:rPr>
          <w:b/>
          <w:bCs/>
          <w:color w:val="2E5E8C"/>
          <w:sz w:val="25"/>
          <w:szCs w:val="25"/>
        </w:rPr>
        <w:t xml:space="preserve">11.4 Registro de execuções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Cada chamada ao provedor grava um registro com modelo, versão, identificador do template de prompt, parâmetros, quantidade de tokens, custo estimado, duração e identificador do artefato gerado. Esse registro sustenta a auditoria exigida pelos requisitos não funcionais, permite estimar custo operacional e fornece dados para a análise de resultados do trabalho.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Os prompts ficam versionados como templates no banco, e não embutidos no código. Alterar um prompt passa a ser uma mudança rastreável, o que é indispensável quando se pretende comparar a qualidade das gerações ao longo do desenvolvimento.</w:t>
      </w:r>
    </w:p>
    <w:p>
      <w:pPr>
        <w:pStyle w:val="Heading1"/>
        <w:spacing w:after="200" w:before="320"/>
      </w:pPr>
      <w:r>
        <w:rPr>
          <w:b/>
          <w:bCs/>
          <w:color w:val="1F3864"/>
          <w:sz w:val="28"/>
          <w:szCs w:val="28"/>
        </w:rPr>
        <w:t xml:space="preserve">12 Persistência e modelo de dados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 PostgreSQL concentra os dados relacionais, o versionamento dos artefatos, a trilha de auditoria e o índice vetorial. Convenções adotadas: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4"/>
          <w:szCs w:val="24"/>
        </w:rPr>
        <w:t xml:space="preserve">Identificador primário do tipo UUID em todas as entidades, evitando exposição de sequência numérica nas rotas da API.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4"/>
          <w:szCs w:val="24"/>
        </w:rPr>
        <w:t xml:space="preserve">Modelo-base no módulo core com identificador, data de criação, data de atualização e autor da última alteração.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4"/>
          <w:szCs w:val="24"/>
        </w:rPr>
        <w:t xml:space="preserve">Versionamento por encadeamento: cada nova versão referencia a anterior, e o registro vigente é identificado por sinalizador próprio.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4"/>
          <w:szCs w:val="24"/>
        </w:rPr>
        <w:t xml:space="preserve">Exclusão lógica para artefatos de projeto; exclusão física apenas para dados temporários de processamento.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4"/>
          <w:szCs w:val="24"/>
        </w:rPr>
        <w:t xml:space="preserve">Tabela de eventos de auditoria em modo somente inclusão, sem permissão de atualização ou exclusão pela aplicação.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4"/>
          <w:szCs w:val="24"/>
        </w:rPr>
        <w:t xml:space="preserve">Armazenamento de arquivos fora do banco, com o banco guardando apenas a referência ao objeto.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F3864"/>
          <w:sz w:val="28"/>
          <w:szCs w:val="28"/>
        </w:rPr>
        <w:t xml:space="preserve">13 Segurança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 plataforma trata conteúdo sensível: transcrições de reuniões corporativas, regras de negócio e documentação técnica de sistemas internos. A arquitetura incorpora controles em todas as camadas, organizados a seguir conforme as categorias do OWASP API Security Top 10.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3771"/>
      </w:tblGrid>
      <w:tr>
        <w:trPr>
          <w:tblHeader/>
        </w:trPr>
        <w:tc>
          <w:tcPr>
            <w:tcW w:type="dxa" w:w="21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Categoria OWASP</w:t>
            </w:r>
          </w:p>
        </w:tc>
        <w:tc>
          <w:tcPr>
            <w:tcW w:type="dxa" w:w="32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Risco no contexto do Nexus</w:t>
            </w:r>
          </w:p>
        </w:tc>
        <w:tc>
          <w:tcPr>
            <w:tcW w:type="dxa" w:w="3771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Controle arquitetural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Autorização em nível de objeto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Usuário acessar demanda ou requisito de projeto do qual não participa.</w:t>
            </w:r>
          </w:p>
        </w:tc>
        <w:tc>
          <w:tcPr>
            <w:tcW w:type="dxa" w:w="3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Permissão por objeto em todas as rotas; consultas sempre filtradas pelo vínculo do usuário, nunca apenas pelo identificador recebido.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Autenticação quebrada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Roubo ou reuso de token.</w:t>
            </w:r>
          </w:p>
        </w:tc>
        <w:tc>
          <w:tcPr>
            <w:tcW w:type="dxa" w:w="3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JWT de curta duração, token de renovação rotativo com lista de revogação, invalidação de sessão no logout.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Autorização em nível de propriedade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Alteração de campos que o perfil não deveria editar, como situação de validação.</w:t>
            </w:r>
          </w:p>
        </w:tc>
        <w:tc>
          <w:tcPr>
            <w:tcW w:type="dxa" w:w="3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Serializers com campos explícitos e campos somente leitura; transição de estado apenas por caso de uso próprio.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Consumo irrestrito de recursos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Uso abusivo das rotas de IA, com impacto financeiro direto.</w:t>
            </w:r>
          </w:p>
        </w:tc>
        <w:tc>
          <w:tcPr>
            <w:tcW w:type="dxa" w:w="3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Limite de requisições por usuário e por projeto, cota de gerações por demanda e limite de tamanho de arquivo enviado.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Autorização em nível de função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Perfil de solicitante executando ação de responsável técnico.</w:t>
            </w:r>
          </w:p>
        </w:tc>
        <w:tc>
          <w:tcPr>
            <w:tcW w:type="dxa" w:w="3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Classes de permissão por perfil combinadas com políticas de negócio na camada de domínio.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Configuração incorreta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Exposição de dados em ambiente de produção.</w:t>
            </w:r>
          </w:p>
        </w:tc>
        <w:tc>
          <w:tcPr>
            <w:tcW w:type="dxa" w:w="3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Configuração separada por ambiente, segredos em variáveis de ambiente, depuração desativada, cabeçalhos de segurança e CORS restrito à origem conhecida.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Inventário inadequado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Rotas antigas acessíveis sem controle.</w:t>
            </w:r>
          </w:p>
        </w:tc>
        <w:tc>
          <w:tcPr>
            <w:tcW w:type="dxa" w:w="3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Versionamento da API em /api/v1/ e documentação gerada automaticamente em OpenAPI.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Consumo inseguro de serviço externo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Resposta do modelo tratada como confiável.</w:t>
            </w:r>
          </w:p>
        </w:tc>
        <w:tc>
          <w:tcPr>
            <w:tcW w:type="dxa" w:w="3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Validação da resposta contra esquema JSON, tempo limite, número máximo de tentativas e tratamento de falha como erro de tarefa.</w:t>
            </w:r>
          </w:p>
        </w:tc>
      </w:tr>
    </w:tbl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40" w:before="240"/>
      </w:pPr>
      <w:r>
        <w:rPr>
          <w:b/>
          <w:bCs/>
          <w:color w:val="2E5E8C"/>
          <w:sz w:val="25"/>
          <w:szCs w:val="25"/>
        </w:rPr>
        <w:t xml:space="preserve">13.1 Proteção de dados pessoais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Antes de qualquer envio ao provedor externo, as transcrições passam por rotina de anonimização que substitui nomes próprios, endereços de correio eletrônico, números de telefone e identificadores pessoais por marcadores. O conteúdo original permanece no ambiente da plataforma; o conteúdo que sai é a versão anonimizada. Essa separação é registrada no log de execução e é o controle que sustenta a conformidade pretendida com a Lei Geral de Proteção de Dados.</w:t>
      </w:r>
    </w:p>
    <w:p>
      <w:pPr>
        <w:pStyle w:val="Heading2"/>
        <w:spacing w:after="140" w:before="240"/>
      </w:pPr>
      <w:r>
        <w:rPr>
          <w:b/>
          <w:bCs/>
          <w:color w:val="2E5E8C"/>
          <w:sz w:val="25"/>
          <w:szCs w:val="25"/>
        </w:rPr>
        <w:t xml:space="preserve">13.2 Trilha de auditoria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Toda decisão de validação, publicação de produto e alteração de conteúdo da Base de Conhecimento gera um evento imutável com autor, data, ação, artefato e versão. A aplicação não possui caminho de código capaz de atualizar ou excluir esses eventos. É esse registro que permite responder, meses depois, quem aprovou determinado requisito e com base em qual versão.</w:t>
      </w:r>
    </w:p>
    <w:p>
      <w:pPr>
        <w:pStyle w:val="Heading1"/>
        <w:spacing w:after="200" w:before="320"/>
      </w:pPr>
      <w:r>
        <w:rPr>
          <w:b/>
          <w:bCs/>
          <w:color w:val="1F3864"/>
          <w:sz w:val="28"/>
          <w:szCs w:val="28"/>
        </w:rPr>
        <w:t xml:space="preserve">14 Atendimento aos requisitos não funcionais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Rastreabilidade entre os requisitos não funcionais declarados na proposta e os mecanismos arquiteturais que os atendem.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671"/>
      </w:tblGrid>
      <w:tr>
        <w:trPr>
          <w:tblHeader/>
        </w:trPr>
        <w:tc>
          <w:tcPr>
            <w:tcW w:type="dxa" w:w="8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RNF</w:t>
            </w:r>
          </w:p>
        </w:tc>
        <w:tc>
          <w:tcPr>
            <w:tcW w:type="dxa" w:w="36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Requisito</w:t>
            </w:r>
          </w:p>
        </w:tc>
        <w:tc>
          <w:tcPr>
            <w:tcW w:type="dxa" w:w="4671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Mecanismo arquitetural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RNF01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Autenticação e controle de acesso por perfil.</w:t>
            </w:r>
          </w:p>
        </w:tc>
        <w:tc>
          <w:tcPr>
            <w:tcW w:type="dxa" w:w="46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JWT com renovação rotativa; permissões por perfil e por objeto no DRF.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RNF02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Auditoria de aprovações, edições e rejeições.</w:t>
            </w:r>
          </w:p>
        </w:tc>
        <w:tc>
          <w:tcPr>
            <w:tcW w:type="dxa" w:w="46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Tabela de eventos somente inclusão no módulo core.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RNF03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Resultados da IA sempre apresentados como sugestão.</w:t>
            </w:r>
          </w:p>
        </w:tc>
        <w:tc>
          <w:tcPr>
            <w:tcW w:type="dxa" w:w="46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Estado PROPOSTO na máquina de estados; o front-end identifica visualmente a origem.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RNF04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Interface responsiva.</w:t>
            </w:r>
          </w:p>
        </w:tc>
        <w:tc>
          <w:tcPr>
            <w:tcW w:type="dxa" w:w="46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Angular com layout responsivo e componentes independentes.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RNF05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Proteção dos dados armazenados e em trânsito.</w:t>
            </w:r>
          </w:p>
        </w:tc>
        <w:tc>
          <w:tcPr>
            <w:tcW w:type="dxa" w:w="46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HTTPS obrigatório, segredos em variáveis de ambiente, arquivos em armazenamento com acesso assinado.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RNF06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Anonimização antes do envio ao modelo.</w:t>
            </w:r>
          </w:p>
        </w:tc>
        <w:tc>
          <w:tcPr>
            <w:tcW w:type="dxa" w:w="46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Rotina de anonimização obrigatória no adaptador, anterior à chamada externa.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RNF07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Substituição do provedor de IA sem reescrita.</w:t>
            </w:r>
          </w:p>
        </w:tc>
        <w:tc>
          <w:tcPr>
            <w:tcW w:type="dxa" w:w="46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Porta LLMProvider com adaptadores intercambiáveis por configuração.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RNF08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Tempo de resposta adequado e tarefas longas em segundo plano.</w:t>
            </w:r>
          </w:p>
        </w:tc>
        <w:tc>
          <w:tcPr>
            <w:tcW w:type="dxa" w:w="46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Celery com Redis; respostas 202 e acompanhamento por job.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RNF09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Nenhuma ação crítica executada automaticamente.</w:t>
            </w:r>
          </w:p>
        </w:tc>
        <w:tc>
          <w:tcPr>
            <w:tcW w:type="dxa" w:w="46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Ausência de transição automática para APROVADO; execução de procedimento sempre precedida de validação humana.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RNF10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Registro de modelo, versão e parâmetros de cada geração.</w:t>
            </w:r>
          </w:p>
        </w:tc>
        <w:tc>
          <w:tcPr>
            <w:tcW w:type="dxa" w:w="46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Entidade LogIA e templates de prompt versionados.</w:t>
            </w:r>
          </w:p>
        </w:tc>
      </w:tr>
    </w:tbl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F3864"/>
          <w:sz w:val="28"/>
          <w:szCs w:val="28"/>
        </w:rPr>
        <w:t xml:space="preserve">15 Implantação e ambientes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 ambiente é definido por contêineres, o que padroniza a execução entre a máquina de desenvolvimento e o ambiente de demonstração e elimina divergências de configuração durante a avaliação do trabalho.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4871"/>
      </w:tblGrid>
      <w:tr>
        <w:trPr>
          <w:tblHeader/>
        </w:trPr>
        <w:tc>
          <w:tcPr>
            <w:tcW w:type="dxa" w:w="15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Serviço</w:t>
            </w:r>
          </w:p>
        </w:tc>
        <w:tc>
          <w:tcPr>
            <w:tcW w:type="dxa" w:w="27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Imagem ou base</w:t>
            </w:r>
          </w:p>
        </w:tc>
        <w:tc>
          <w:tcPr>
            <w:tcW w:type="dxa" w:w="4871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Função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web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Imagem própria (Python)</w:t>
            </w:r>
          </w:p>
        </w:tc>
        <w:tc>
          <w:tcPr>
            <w:tcW w:type="dxa" w:w="4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Aplicação Django servida por Gunicorn.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worker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Mesma imagem de web</w:t>
            </w:r>
          </w:p>
        </w:tc>
        <w:tc>
          <w:tcPr>
            <w:tcW w:type="dxa" w:w="4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Processo Celery consumindo a fila.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beat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Mesma imagem de web</w:t>
            </w:r>
          </w:p>
        </w:tc>
        <w:tc>
          <w:tcPr>
            <w:tcW w:type="dxa" w:w="4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Agendador de tarefas periódicas, como reindexação e limpeza.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db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postgres com pgvector</w:t>
            </w:r>
          </w:p>
        </w:tc>
        <w:tc>
          <w:tcPr>
            <w:tcW w:type="dxa" w:w="4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Banco relacional e índice vetorial.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redis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redis</w:t>
            </w:r>
          </w:p>
        </w:tc>
        <w:tc>
          <w:tcPr>
            <w:tcW w:type="dxa" w:w="4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Fila de tarefas e cache.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minio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minio</w:t>
            </w:r>
          </w:p>
        </w:tc>
        <w:tc>
          <w:tcPr>
            <w:tcW w:type="dxa" w:w="4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Armazenamento de objetos em desenvolvimento.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front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Imagem própria (Node e Nginx)</w:t>
            </w:r>
          </w:p>
        </w:tc>
        <w:tc>
          <w:tcPr>
            <w:tcW w:type="dxa" w:w="4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Build do Angular servido por Nginx.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nginx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nginx</w:t>
            </w:r>
          </w:p>
        </w:tc>
        <w:tc>
          <w:tcPr>
            <w:tcW w:type="dxa" w:w="4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Proxy reverso, terminação TLS e roteamento entre front e API.</w:t>
            </w:r>
          </w:p>
        </w:tc>
      </w:tr>
    </w:tbl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 configuração é lida de variáveis de ambiente, sem valores sensíveis no repositório. Há três perfis previstos: desenvolvimento, com recarga automática e provedor falso de IA; homologação, com provedor real e dados fictícios; e demonstração, utilizado na banca, com dados preparados dos casos de teste.</w:t>
      </w:r>
    </w:p>
    <w:p>
      <w:pPr>
        <w:pStyle w:val="Heading1"/>
        <w:spacing w:after="200" w:before="320"/>
      </w:pPr>
      <w:r>
        <w:rPr>
          <w:b/>
          <w:bCs/>
          <w:color w:val="1F3864"/>
          <w:sz w:val="28"/>
          <w:szCs w:val="28"/>
        </w:rPr>
        <w:t xml:space="preserve">16 Estratégia de testes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00"/>
        <w:gridCol w:w="3471"/>
      </w:tblGrid>
      <w:tr>
        <w:trPr>
          <w:tblHeader/>
        </w:trPr>
        <w:tc>
          <w:tcPr>
            <w:tcW w:type="dxa" w:w="15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Nível</w:t>
            </w:r>
          </w:p>
        </w:tc>
        <w:tc>
          <w:tcPr>
            <w:tcW w:type="dxa" w:w="41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Alvo</w:t>
            </w:r>
          </w:p>
        </w:tc>
        <w:tc>
          <w:tcPr>
            <w:tcW w:type="dxa" w:w="3471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Características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Domínio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Máquina de estados, políticas de validação, pontuação de cenário.</w:t>
            </w:r>
          </w:p>
        </w:tc>
        <w:tc>
          <w:tcPr>
            <w:tcW w:type="dxa" w:w="34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Sem banco e sem rede; execução em segundos; maior cobertura esperada.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Serviços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Casos de uso completos com banco de teste e provedor falso de IA.</w:t>
            </w:r>
          </w:p>
        </w:tc>
        <w:tc>
          <w:tcPr>
            <w:tcW w:type="dxa" w:w="34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Verificam transação, efeitos colaterais e geração de eventos de auditoria.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API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Rotas do DRF: autenticação, permissão, formato de entrada e saída.</w:t>
            </w:r>
          </w:p>
        </w:tc>
        <w:tc>
          <w:tcPr>
            <w:tcW w:type="dxa" w:w="34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Incluem tentativas de acesso indevido a objetos de outro usuário.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Integração com IA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Contrato do adaptador contra resposta registrada do provedor.</w:t>
            </w:r>
          </w:p>
        </w:tc>
        <w:tc>
          <w:tcPr>
            <w:tcW w:type="dxa" w:w="34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Executados sob demanda, não em cada alteração, para controlar custo.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Aceitação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Casos de teste CT01 a CT10 definidos na proposta.</w:t>
            </w:r>
          </w:p>
        </w:tc>
        <w:tc>
          <w:tcPr>
            <w:tcW w:type="dxa" w:w="34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Executados na avaliação final, com coleta das métricas do trabalho.</w:t>
            </w:r>
          </w:p>
        </w:tc>
      </w:tr>
    </w:tbl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 separação entre testes de domínio e os demais é o que torna viável executar a suíte com frequência: a maior parte das regras que sustentam o trabalho é verificada sem infraestrutura.</w:t>
      </w:r>
    </w:p>
    <w:p>
      <w:pPr>
        <w:pStyle w:val="Heading1"/>
        <w:spacing w:after="200" w:before="320"/>
      </w:pPr>
      <w:r>
        <w:rPr>
          <w:b/>
          <w:bCs/>
          <w:color w:val="1F3864"/>
          <w:sz w:val="28"/>
          <w:szCs w:val="28"/>
        </w:rPr>
        <w:t xml:space="preserve">17 Riscos arquiteturais e mitigações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4971"/>
      </w:tblGrid>
      <w:tr>
        <w:trPr>
          <w:tblHeader/>
        </w:trPr>
        <w:tc>
          <w:tcPr>
            <w:tcW w:type="dxa" w:w="30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Risco</w:t>
            </w:r>
          </w:p>
        </w:tc>
        <w:tc>
          <w:tcPr>
            <w:tcW w:type="dxa" w:w="1100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Impacto</w:t>
            </w:r>
          </w:p>
        </w:tc>
        <w:tc>
          <w:tcPr>
            <w:tcW w:type="dxa" w:w="4971"/>
            <w:shd w:fill="DCE9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21"/>
                <w:szCs w:val="21"/>
              </w:rPr>
              <w:t xml:space="preserve">Mitigação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Indisponibilidade do provedor de IA durante a apresentação.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Alto</w:t>
            </w:r>
          </w:p>
        </w:tc>
        <w:tc>
          <w:tcPr>
            <w:tcW w:type="dxa" w:w="49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Provedor falso configurável e resultados pré-gerados dos casos de teste armazenados no ambiente de demonstração.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Custo das chamadas ao modelo acima do previsto.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Médio</w:t>
            </w:r>
          </w:p>
        </w:tc>
        <w:tc>
          <w:tcPr>
            <w:tcW w:type="dxa" w:w="49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Cota por demanda, cache de respostas idênticas, uso do provedor falso em desenvolvimento e registro de custo por execução.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Vazamento da disciplina de módulos, com importações cruzadas.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Médio</w:t>
            </w:r>
          </w:p>
        </w:tc>
        <w:tc>
          <w:tcPr>
            <w:tcW w:type="dxa" w:w="49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Convenção documentada e verificação por ferramenta de análise estática na integração contínua.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Geração de protótipo estático mais complexa que o estimado.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Alto</w:t>
            </w:r>
          </w:p>
        </w:tc>
        <w:tc>
          <w:tcPr>
            <w:tcW w:type="dxa" w:w="49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Tratada como entregável de segunda prioridade; versão inicial limitada a um conjunto fixo de componentes.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Crescimento do índice vetorial degradando a consulta.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Baixo</w:t>
            </w:r>
          </w:p>
        </w:tc>
        <w:tc>
          <w:tcPr>
            <w:tcW w:type="dxa" w:w="49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Índice apropriado no pgvector e reindexação periódica; volume previsto está muito abaixo do limite prático.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Acúmulo de escopo além do prazo do TCC.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Alto</w:t>
            </w:r>
          </w:p>
        </w:tc>
        <w:tc>
          <w:tcPr>
            <w:tcW w:type="dxa" w:w="49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1"/>
                <w:szCs w:val="21"/>
              </w:rPr>
              <w:t xml:space="preserve">Implementação orientada pelo MVP definido na proposta; módulos adicionais declarados como trabalho futuro.</w:t>
            </w:r>
          </w:p>
        </w:tc>
      </w:tr>
    </w:tbl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1"/>
        <w:spacing w:after="200" w:before="320"/>
      </w:pPr>
      <w:r>
        <w:rPr>
          <w:b/>
          <w:bCs/>
          <w:color w:val="1F3864"/>
          <w:sz w:val="28"/>
          <w:szCs w:val="28"/>
        </w:rPr>
        <w:t xml:space="preserve">18 Evolução prevista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 arquitetura foi desenhada para permitir, sem reescrita, os seguintes passos posteriores à entrega do trabalho: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4"/>
          <w:szCs w:val="24"/>
        </w:rPr>
        <w:t xml:space="preserve">Extração do módulo de IA para serviço próprio, caso o consumo justifique escala independente — viável porque o acesso já ocorre por interface.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4"/>
          <w:szCs w:val="24"/>
        </w:rPr>
        <w:t xml:space="preserve">Substituição do polling por notificação em tempo real, com adição de camada ASGI, sem alteração das regras de negócio.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4"/>
          <w:szCs w:val="24"/>
        </w:rPr>
        <w:t xml:space="preserve">Cache semântico de gerações, reaproveitando resultados de demandas suficientemente próximas e reduzindo custo.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4"/>
          <w:szCs w:val="24"/>
        </w:rPr>
        <w:t xml:space="preserve">Aplicativo móvel consumindo a mesma API, já versionada e documentada em OpenAPI.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4"/>
          <w:szCs w:val="24"/>
        </w:rPr>
        <w:t xml:space="preserve">Integração com repositórios de código e ferramentas de gestão de tarefas, por meio de novos adaptadores na camada de infraestrutura.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14d82fca330ed22f708cb8d994e5fa0897cdb54.png"/><Relationship Id="rId9" Type="http://schemas.openxmlformats.org/officeDocument/2006/relationships/image" Target="media/5657c7195e48140bd9c026d925e08f857497962d.png"/><Relationship Id="rId10" Type="http://schemas.openxmlformats.org/officeDocument/2006/relationships/image" Target="media/52560117fb51b0d297934a401071ba4c3eb061d5.png"/><Relationship Id="rId11" Type="http://schemas.openxmlformats.org/officeDocument/2006/relationships/image" Target="media/b82effe9606cef307171b23e5b3cc4317a8ba8d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Nexus — Documento de Arquitetura de Software</dc:title>
  <dc:creator>Tauan</dc:creator>
  <cp:lastModifiedBy>Un-named</cp:lastModifiedBy>
  <cp:revision>1</cp:revision>
  <dcterms:created xsi:type="dcterms:W3CDTF">2026-10-07T23:22:22.072Z</dcterms:created>
  <dcterms:modified xsi:type="dcterms:W3CDTF">2026-10-07T23:22:22.072Z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