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2D568" w14:textId="6A5CFB0F" w:rsidR="007C372E" w:rsidRPr="007C372E" w:rsidRDefault="007C372E" w:rsidP="007C372E">
      <w:pPr>
        <w:rPr>
          <w:lang w:val="en-US"/>
        </w:rPr>
      </w:pPr>
      <w:r w:rsidRPr="007C372E">
        <w:rPr>
          <w:lang w:val="en-US"/>
        </w:rPr>
        <w:t>Implicit Learning of Professional Skills through Immersive Virtual Reality</w:t>
      </w:r>
    </w:p>
    <w:p w14:paraId="3BA1AD41" w14:textId="77777777" w:rsidR="007C372E" w:rsidRPr="007C372E" w:rsidRDefault="007C372E" w:rsidP="007C372E">
      <w:pPr>
        <w:numPr>
          <w:ilvl w:val="0"/>
          <w:numId w:val="1"/>
        </w:numPr>
        <w:rPr>
          <w:lang w:val="en-US"/>
        </w:rPr>
      </w:pPr>
      <w:r w:rsidRPr="007C372E">
        <w:rPr>
          <w:b/>
          <w:bCs/>
          <w:lang w:val="en-US"/>
        </w:rPr>
        <w:t>Cover information</w:t>
      </w:r>
      <w:r w:rsidRPr="007C372E">
        <w:rPr>
          <w:lang w:val="en-US"/>
        </w:rPr>
        <w:br/>
        <w:t xml:space="preserve">Paper: Bondesan, P., Canal, A., Fleury, S., </w:t>
      </w:r>
      <w:proofErr w:type="spellStart"/>
      <w:r w:rsidRPr="007C372E">
        <w:rPr>
          <w:lang w:val="en-US"/>
        </w:rPr>
        <w:t>Boisadan</w:t>
      </w:r>
      <w:proofErr w:type="spellEnd"/>
      <w:r w:rsidRPr="007C372E">
        <w:rPr>
          <w:lang w:val="en-US"/>
        </w:rPr>
        <w:t xml:space="preserve">, A., Richir, S. (2025). Implicit </w:t>
      </w:r>
      <w:proofErr w:type="gramStart"/>
      <w:r w:rsidRPr="007C372E">
        <w:rPr>
          <w:lang w:val="en-US"/>
        </w:rPr>
        <w:t>Learning of</w:t>
      </w:r>
      <w:proofErr w:type="gramEnd"/>
      <w:r w:rsidRPr="007C372E">
        <w:rPr>
          <w:lang w:val="en-US"/>
        </w:rPr>
        <w:t xml:space="preserve"> Professional Skills through Immersive Virtual Reality: a Media Comparison Study. Proceedings of the 2025 IEEE Conference on Virtual Reality and 3D User Interfaces (VR), 442–449.</w:t>
      </w:r>
      <w:r w:rsidRPr="007C372E">
        <w:rPr>
          <w:lang w:val="en-US"/>
        </w:rPr>
        <w:br/>
        <w:t>Course: Human-Computer Interaction.</w:t>
      </w:r>
      <w:r w:rsidRPr="007C372E">
        <w:rPr>
          <w:lang w:val="en-US"/>
        </w:rPr>
        <w:br/>
        <w:t>Focus: Evaluation of immersive VR as a learning medium for implicit professional skills (vine-</w:t>
      </w:r>
      <w:proofErr w:type="spellStart"/>
      <w:r w:rsidRPr="007C372E">
        <w:rPr>
          <w:lang w:val="en-US"/>
        </w:rPr>
        <w:t>vigour</w:t>
      </w:r>
      <w:proofErr w:type="spellEnd"/>
      <w:r w:rsidRPr="007C372E">
        <w:rPr>
          <w:lang w:val="en-US"/>
        </w:rPr>
        <w:t xml:space="preserve"> diagnosis) compared with a slideshow condition.</w:t>
      </w:r>
    </w:p>
    <w:p w14:paraId="4480727A" w14:textId="77777777" w:rsidR="007C372E" w:rsidRPr="007C372E" w:rsidRDefault="007C372E" w:rsidP="007C372E">
      <w:pPr>
        <w:numPr>
          <w:ilvl w:val="0"/>
          <w:numId w:val="1"/>
        </w:numPr>
        <w:rPr>
          <w:lang w:val="en-US"/>
        </w:rPr>
      </w:pPr>
      <w:r w:rsidRPr="007C372E">
        <w:rPr>
          <w:b/>
          <w:bCs/>
          <w:lang w:val="en-US"/>
        </w:rPr>
        <w:t>Why this paper is relevant for HCI</w:t>
      </w:r>
      <w:r w:rsidRPr="007C372E">
        <w:rPr>
          <w:lang w:val="en-US"/>
        </w:rPr>
        <w:br/>
        <w:t>The paper directly addresses human interaction with immersive systems (HMD-based IVR) and compares it to a conventional screen-based slideshow, which is central to HCI concerns about how interaction modalities shape cognition, motivation, and performance.</w:t>
      </w:r>
      <w:r w:rsidRPr="007C372E">
        <w:rPr>
          <w:lang w:val="en-US"/>
        </w:rPr>
        <w:br/>
        <w:t>It examines experiential, embodied interaction and its consequences for decision making and learning, connecting to HCI topics such as presence, embodiment, and user experience in VR learning systems.</w:t>
      </w:r>
      <w:r w:rsidRPr="007C372E">
        <w:rPr>
          <w:lang w:val="en-US"/>
        </w:rPr>
        <w:br/>
        <w:t>The work also contributes empirical data to ongoing HCI debates on when high-immersion systems actually help, highlighting that motivation gains do not automatically translate into performance gains.</w:t>
      </w:r>
    </w:p>
    <w:p w14:paraId="0EB48053" w14:textId="7CC85902" w:rsidR="007C372E" w:rsidRPr="007C372E" w:rsidRDefault="007C372E" w:rsidP="007C372E">
      <w:pPr>
        <w:numPr>
          <w:ilvl w:val="0"/>
          <w:numId w:val="1"/>
        </w:numPr>
        <w:rPr>
          <w:lang w:val="en-US"/>
        </w:rPr>
      </w:pPr>
      <w:r w:rsidRPr="007C372E">
        <w:rPr>
          <w:b/>
          <w:bCs/>
          <w:lang w:val="en-US"/>
        </w:rPr>
        <w:t>Introduction and context</w:t>
      </w:r>
      <w:r w:rsidRPr="007C372E">
        <w:rPr>
          <w:lang w:val="en-US"/>
        </w:rPr>
        <w:br/>
        <w:t>Field of research: immersive learning technologies, virtual reality, and media comparison studies within educational technology.</w:t>
      </w:r>
      <w:r w:rsidRPr="007C372E">
        <w:rPr>
          <w:lang w:val="en-US"/>
        </w:rPr>
        <w:br/>
        <w:t>Problem: Most VR learning research targets explicit learning (verbal explanations, narration, recall) and often lacks strong control conditions; much less is known about how IVR supports implicit, experiential learning of professional skills and their transfer to the real world.</w:t>
      </w:r>
      <w:r w:rsidRPr="007C372E">
        <w:rPr>
          <w:lang w:val="en-US"/>
        </w:rPr>
        <w:br/>
        <w:t>Context: Professional skills often rely on tacit, hard-to-verbalize knowledge; researchers and designers need evidence about whether immersive VR is worth the additional cost and complexity compared with simpler media when training such skills.</w:t>
      </w:r>
      <w:r w:rsidRPr="007C372E">
        <w:rPr>
          <w:lang w:val="en-US"/>
        </w:rPr>
        <w:br/>
        <w:t>Relevance: Understanding how immersion affects implicit learning, transfer, and motivation informs the design of training systems in many applied domains (STEM, safety-critical work, medical or industrial training)</w:t>
      </w:r>
      <w:r>
        <w:rPr>
          <w:lang w:val="en-US"/>
        </w:rPr>
        <w:t>.</w:t>
      </w:r>
    </w:p>
    <w:p w14:paraId="3DABA700" w14:textId="46024DD6" w:rsidR="007C372E" w:rsidRPr="007C372E" w:rsidRDefault="007C372E" w:rsidP="007C372E">
      <w:pPr>
        <w:numPr>
          <w:ilvl w:val="0"/>
          <w:numId w:val="1"/>
        </w:numPr>
        <w:rPr>
          <w:lang w:val="en-US"/>
        </w:rPr>
      </w:pPr>
      <w:r w:rsidRPr="007C372E">
        <w:rPr>
          <w:b/>
          <w:bCs/>
          <w:lang w:val="en-US"/>
        </w:rPr>
        <w:t>Methods</w:t>
      </w:r>
      <w:r w:rsidRPr="007C372E">
        <w:rPr>
          <w:lang w:val="en-US"/>
        </w:rPr>
        <w:br/>
        <w:t>Approach: Between-subjects media comparison (2 × 1 design) contrasting an immersive VR lesson (IVR group) with a non-immersive slideshow lesson (slideshow group) using equivalent pedagogical content.</w:t>
      </w:r>
      <w:r w:rsidRPr="007C372E">
        <w:rPr>
          <w:lang w:val="en-US"/>
        </w:rPr>
        <w:br/>
      </w:r>
      <w:r w:rsidRPr="007C372E">
        <w:rPr>
          <w:lang w:val="en-US"/>
        </w:rPr>
        <w:lastRenderedPageBreak/>
        <w:t>Participants: 40 third-year engineering students in agricultural and food sciences (25 women, 15 men, aged 19–23); 18 assigned to IVR and 22 to slideshow.</w:t>
      </w:r>
      <w:r w:rsidRPr="007C372E">
        <w:rPr>
          <w:lang w:val="en-US"/>
        </w:rPr>
        <w:br/>
        <w:t xml:space="preserve">Learning task: Implicit learning of vine </w:t>
      </w:r>
      <w:proofErr w:type="spellStart"/>
      <w:r w:rsidRPr="007C372E">
        <w:rPr>
          <w:lang w:val="en-US"/>
        </w:rPr>
        <w:t>vigour</w:t>
      </w:r>
      <w:proofErr w:type="spellEnd"/>
      <w:r w:rsidRPr="007C372E">
        <w:rPr>
          <w:lang w:val="en-US"/>
        </w:rPr>
        <w:t xml:space="preserve"> assessment, a professional decision-making skill that is normally developed through practice and tacit reasoning in viticulture.</w:t>
      </w:r>
      <w:r w:rsidRPr="007C372E">
        <w:rPr>
          <w:lang w:val="en-US"/>
        </w:rPr>
        <w:br/>
        <w:t xml:space="preserve">IVR condition: Meta Quest 2 HMD with controllers; participants move around a virtual vine, see it from multiple viewpoints, and repeatedly decide </w:t>
      </w:r>
      <w:proofErr w:type="spellStart"/>
      <w:r w:rsidRPr="007C372E">
        <w:rPr>
          <w:lang w:val="en-US"/>
        </w:rPr>
        <w:t>vigour</w:t>
      </w:r>
      <w:proofErr w:type="spellEnd"/>
      <w:r w:rsidRPr="007C372E">
        <w:rPr>
          <w:lang w:val="en-US"/>
        </w:rPr>
        <w:t xml:space="preserve"> levels (low, medium, high) with immediate feedback, but without explicit instructional narration.</w:t>
      </w:r>
      <w:r w:rsidRPr="007C372E">
        <w:rPr>
          <w:lang w:val="en-US"/>
        </w:rPr>
        <w:br/>
        <w:t>Slideshow condition: Clickable slideshow on a laptop with the same series of 30 vine strains shown as fixed images from a single viewpoint, with equivalent decisions and feedback.</w:t>
      </w:r>
      <w:r w:rsidRPr="007C372E">
        <w:rPr>
          <w:lang w:val="en-US"/>
        </w:rPr>
        <w:br/>
        <w:t xml:space="preserve">Measures: Pre-test questionnaire for demographics and prior knowledge; post-lesson Intrinsic Motivation Inventory (Interest/Enjoyment subscale); real-world transfer test in a vineyard measuring decision-making accuracy (number of correct </w:t>
      </w:r>
      <w:proofErr w:type="spellStart"/>
      <w:r w:rsidRPr="007C372E">
        <w:rPr>
          <w:lang w:val="en-US"/>
        </w:rPr>
        <w:t>vigour</w:t>
      </w:r>
      <w:proofErr w:type="spellEnd"/>
      <w:r w:rsidRPr="007C372E">
        <w:rPr>
          <w:lang w:val="en-US"/>
        </w:rPr>
        <w:t xml:space="preserve"> classifications out of 30) and total time to complete the task.</w:t>
      </w:r>
      <w:r w:rsidRPr="007C372E">
        <w:rPr>
          <w:lang w:val="en-US"/>
        </w:rPr>
        <w:br/>
        <w:t>Procedure: Pre-test questionnaire, individual lesson in IVR or slideshow, immediate motivation questionnaire, and a delayed transfer test in an actual vineyard one week later.</w:t>
      </w:r>
    </w:p>
    <w:p w14:paraId="7D328356" w14:textId="6495605B" w:rsidR="007C372E" w:rsidRPr="007C372E" w:rsidRDefault="007C372E" w:rsidP="007C372E">
      <w:pPr>
        <w:numPr>
          <w:ilvl w:val="0"/>
          <w:numId w:val="1"/>
        </w:numPr>
        <w:rPr>
          <w:lang w:val="en-US"/>
        </w:rPr>
      </w:pPr>
      <w:r w:rsidRPr="007C372E">
        <w:rPr>
          <w:b/>
          <w:bCs/>
          <w:lang w:val="en-US"/>
        </w:rPr>
        <w:t xml:space="preserve">Additional details about methods </w:t>
      </w:r>
      <w:r w:rsidRPr="007C372E">
        <w:rPr>
          <w:lang w:val="en-US"/>
        </w:rPr>
        <w:br/>
        <w:t>Design validity: Content equity between media is enforced so that immersion and interaction modality are the main differences, satisfying good practice in media comparison for HCI evaluations.</w:t>
      </w:r>
      <w:r w:rsidRPr="007C372E">
        <w:rPr>
          <w:lang w:val="en-US"/>
        </w:rPr>
        <w:br/>
        <w:t>Implicit learning strategy: The lesson avoids explicit verbal rules and instead uses repeated perceptual judgments plus feedback, which reduces explicit cognitive load and aligns with experiential, world-centered interaction.</w:t>
      </w:r>
      <w:r w:rsidRPr="007C372E">
        <w:rPr>
          <w:lang w:val="en-US"/>
        </w:rPr>
        <w:br/>
        <w:t>Measures choice: Accuracy reflects correctness of decisions; time reflects fluency and automation of interaction and underlying cognitive processing; intrinsic motivation captures affective experience and engagement, all key dependent variables in HCI evaluation.</w:t>
      </w:r>
      <w:r w:rsidRPr="007C372E">
        <w:rPr>
          <w:lang w:val="en-US"/>
        </w:rPr>
        <w:br/>
        <w:t>Setting: Using an authentic vineyard as a test environment makes the evaluation ecologically valid, connecting lab-based interaction with real-world task performance.</w:t>
      </w:r>
    </w:p>
    <w:p w14:paraId="15E5805E" w14:textId="0B0288A5" w:rsidR="007C372E" w:rsidRPr="007C372E" w:rsidRDefault="007C372E" w:rsidP="007C372E">
      <w:pPr>
        <w:numPr>
          <w:ilvl w:val="0"/>
          <w:numId w:val="1"/>
        </w:numPr>
        <w:rPr>
          <w:lang w:val="en-US"/>
        </w:rPr>
      </w:pPr>
      <w:r w:rsidRPr="007C372E">
        <w:rPr>
          <w:b/>
          <w:bCs/>
          <w:lang w:val="en-US"/>
        </w:rPr>
        <w:t>Results</w:t>
      </w:r>
      <w:r w:rsidRPr="007C372E">
        <w:rPr>
          <w:lang w:val="en-US"/>
        </w:rPr>
        <w:br/>
        <w:t>Group comparability: No significant differences in age, gender distribution, or prior knowledge between IVR and slideshow groups, so media effects are not confounded by these variables.</w:t>
      </w:r>
      <w:r w:rsidRPr="007C372E">
        <w:rPr>
          <w:lang w:val="en-US"/>
        </w:rPr>
        <w:br/>
        <w:t xml:space="preserve">Accuracy: Mean transfer score was 17.2 (IVR) vs. 16.5 (slideshow) out of 30; </w:t>
      </w:r>
      <w:r w:rsidRPr="007C372E">
        <w:rPr>
          <w:lang w:val="en-US"/>
        </w:rPr>
        <w:lastRenderedPageBreak/>
        <w:t>the difference between groups was not statistically significant, so IVR did not improve decision accuracy.</w:t>
      </w:r>
      <w:r w:rsidRPr="007C372E">
        <w:rPr>
          <w:lang w:val="en-US"/>
        </w:rPr>
        <w:br/>
        <w:t>Decision time: The IVR group took significantly longer in the real-world evaluation (8.6 minutes vs. 6.5 minutes for slideshow), indicating slower decisions after VR training.</w:t>
      </w:r>
      <w:r w:rsidRPr="007C372E">
        <w:rPr>
          <w:lang w:val="en-US"/>
        </w:rPr>
        <w:br/>
        <w:t>Motivation: Intrinsic motivation scores were significantly higher in IVR (mean 6.2 on a 7-point scale) compared to slideshow (mean 5.5), confirming a strong motivational benefit of immersion.</w:t>
      </w:r>
    </w:p>
    <w:p w14:paraId="207A4F05" w14:textId="27587041" w:rsidR="007C372E" w:rsidRPr="007C372E" w:rsidRDefault="007C372E" w:rsidP="007C372E">
      <w:pPr>
        <w:numPr>
          <w:ilvl w:val="0"/>
          <w:numId w:val="1"/>
        </w:numPr>
        <w:rPr>
          <w:lang w:val="en-US"/>
        </w:rPr>
      </w:pPr>
      <w:r w:rsidRPr="007C372E">
        <w:rPr>
          <w:b/>
          <w:bCs/>
          <w:lang w:val="en-US"/>
        </w:rPr>
        <w:t>Additional results interpretation</w:t>
      </w:r>
      <w:r w:rsidRPr="007C372E">
        <w:rPr>
          <w:lang w:val="en-US"/>
        </w:rPr>
        <w:br/>
        <w:t>Accuracy outcome: IVR learners performed above chance but similarly to slideshow learners, suggesting that for this kind of cognitive-judgment task, the embodied, high-presence interface does not automatically yield better knowledge transfer than a simpler medium.</w:t>
      </w:r>
      <w:r w:rsidRPr="007C372E">
        <w:rPr>
          <w:lang w:val="en-US"/>
        </w:rPr>
        <w:br/>
        <w:t xml:space="preserve">Time outcome: Longer decision times for IVR-trained participants may reflect richer or more complex internal representations formed in immersive environments, making real-world matching slower; alternatively, it might indicate more deliberate, careful </w:t>
      </w:r>
      <w:proofErr w:type="spellStart"/>
      <w:r w:rsidRPr="007C372E">
        <w:rPr>
          <w:lang w:val="en-US"/>
        </w:rPr>
        <w:t>behaviour</w:t>
      </w:r>
      <w:proofErr w:type="spellEnd"/>
      <w:r w:rsidRPr="007C372E">
        <w:rPr>
          <w:lang w:val="en-US"/>
        </w:rPr>
        <w:t>.</w:t>
      </w:r>
      <w:r w:rsidRPr="007C372E">
        <w:rPr>
          <w:lang w:val="en-US"/>
        </w:rPr>
        <w:br/>
        <w:t>Motivation outcome: Higher intrinsic motivation in IVR is consistent with prior HCI literature on presence and engagement; motivated learners may persist longer and invest more cognitive effort, which can be valuable even if short-term performance is similar.</w:t>
      </w:r>
    </w:p>
    <w:p w14:paraId="0F36477D" w14:textId="77777777" w:rsidR="007C372E" w:rsidRPr="007C372E" w:rsidRDefault="007C372E" w:rsidP="007C372E">
      <w:pPr>
        <w:numPr>
          <w:ilvl w:val="0"/>
          <w:numId w:val="1"/>
        </w:numPr>
        <w:rPr>
          <w:b/>
          <w:bCs/>
          <w:lang w:val="en-US"/>
        </w:rPr>
      </w:pPr>
      <w:r w:rsidRPr="007C372E">
        <w:rPr>
          <w:b/>
          <w:bCs/>
          <w:lang w:val="en-US"/>
        </w:rPr>
        <w:t>Discussion and limitations</w:t>
      </w:r>
      <w:r w:rsidRPr="007C372E">
        <w:rPr>
          <w:b/>
          <w:bCs/>
          <w:lang w:val="en-US"/>
        </w:rPr>
        <w:br/>
        <w:t>Main limitations:</w:t>
      </w:r>
    </w:p>
    <w:p w14:paraId="306143A1" w14:textId="77777777" w:rsidR="007C372E" w:rsidRPr="007C372E" w:rsidRDefault="007C372E" w:rsidP="007C372E">
      <w:pPr>
        <w:numPr>
          <w:ilvl w:val="0"/>
          <w:numId w:val="2"/>
        </w:numPr>
        <w:rPr>
          <w:lang w:val="en-US"/>
        </w:rPr>
      </w:pPr>
      <w:r w:rsidRPr="007C372E">
        <w:rPr>
          <w:lang w:val="en-US"/>
        </w:rPr>
        <w:t>Training dosage: Only 30 practice trials may be insufficient for complex tacit skills, potentially capping performance in both conditions.</w:t>
      </w:r>
    </w:p>
    <w:p w14:paraId="1E6C3A54" w14:textId="425844F3" w:rsidR="007C372E" w:rsidRPr="007C372E" w:rsidRDefault="007C372E" w:rsidP="007C372E">
      <w:pPr>
        <w:numPr>
          <w:ilvl w:val="0"/>
          <w:numId w:val="2"/>
        </w:numPr>
        <w:rPr>
          <w:lang w:val="en-US"/>
        </w:rPr>
      </w:pPr>
      <w:r w:rsidRPr="007C372E">
        <w:rPr>
          <w:lang w:val="en-US"/>
        </w:rPr>
        <w:t xml:space="preserve">Metrics: Time and accuracy capture only part of user </w:t>
      </w:r>
      <w:proofErr w:type="spellStart"/>
      <w:r w:rsidRPr="007C372E">
        <w:rPr>
          <w:lang w:val="en-US"/>
        </w:rPr>
        <w:t>behaviour</w:t>
      </w:r>
      <w:proofErr w:type="spellEnd"/>
      <w:r w:rsidRPr="007C372E">
        <w:rPr>
          <w:lang w:val="en-US"/>
        </w:rPr>
        <w:t xml:space="preserve">; richer process data (interaction logs, gaze, or qualitative interviews) would give researchers more insight into how users </w:t>
      </w:r>
      <w:proofErr w:type="gramStart"/>
      <w:r w:rsidRPr="007C372E">
        <w:rPr>
          <w:lang w:val="en-US"/>
        </w:rPr>
        <w:t>actually exploited</w:t>
      </w:r>
      <w:proofErr w:type="gramEnd"/>
      <w:r w:rsidRPr="007C372E">
        <w:rPr>
          <w:lang w:val="en-US"/>
        </w:rPr>
        <w:t xml:space="preserve"> the VR interface.</w:t>
      </w:r>
    </w:p>
    <w:p w14:paraId="44266F65" w14:textId="4BC98EF7" w:rsidR="007C372E" w:rsidRPr="007C372E" w:rsidRDefault="007C372E" w:rsidP="007C372E">
      <w:pPr>
        <w:numPr>
          <w:ilvl w:val="0"/>
          <w:numId w:val="2"/>
        </w:numPr>
        <w:rPr>
          <w:lang w:val="en-US"/>
        </w:rPr>
      </w:pPr>
      <w:r w:rsidRPr="007C372E">
        <w:rPr>
          <w:lang w:val="en-US"/>
        </w:rPr>
        <w:t>Ecological complexity: Real vineyards are highly variable; interface-induced strategies may interact with environmental complexity in ways that current measures do not fully capture.</w:t>
      </w:r>
    </w:p>
    <w:p w14:paraId="118C43FF" w14:textId="77777777" w:rsidR="007C372E" w:rsidRPr="007C372E" w:rsidRDefault="007C372E" w:rsidP="007C372E">
      <w:pPr>
        <w:numPr>
          <w:ilvl w:val="0"/>
          <w:numId w:val="3"/>
        </w:numPr>
        <w:rPr>
          <w:b/>
          <w:bCs/>
          <w:lang w:val="en-US"/>
        </w:rPr>
      </w:pPr>
      <w:r w:rsidRPr="007C372E">
        <w:rPr>
          <w:b/>
          <w:bCs/>
          <w:lang w:val="en-US"/>
        </w:rPr>
        <w:t>Overall conclusions and future work</w:t>
      </w:r>
      <w:r w:rsidRPr="007C372E">
        <w:rPr>
          <w:b/>
          <w:bCs/>
          <w:lang w:val="en-US"/>
        </w:rPr>
        <w:br/>
        <w:t>Conclusions:</w:t>
      </w:r>
    </w:p>
    <w:p w14:paraId="4D1939FE" w14:textId="77777777" w:rsidR="007C372E" w:rsidRPr="007C372E" w:rsidRDefault="007C372E" w:rsidP="007C372E">
      <w:pPr>
        <w:numPr>
          <w:ilvl w:val="0"/>
          <w:numId w:val="4"/>
        </w:numPr>
        <w:rPr>
          <w:lang w:val="en-US"/>
        </w:rPr>
      </w:pPr>
      <w:r w:rsidRPr="007C372E">
        <w:rPr>
          <w:lang w:val="en-US"/>
        </w:rPr>
        <w:t xml:space="preserve">IVR did not provide a statistically significant advantage over slideshow for implicit learning of vine </w:t>
      </w:r>
      <w:proofErr w:type="spellStart"/>
      <w:r w:rsidRPr="007C372E">
        <w:rPr>
          <w:lang w:val="en-US"/>
        </w:rPr>
        <w:t>vigour</w:t>
      </w:r>
      <w:proofErr w:type="spellEnd"/>
      <w:r w:rsidRPr="007C372E">
        <w:rPr>
          <w:lang w:val="en-US"/>
        </w:rPr>
        <w:t xml:space="preserve"> assessment in terms of accuracy.</w:t>
      </w:r>
    </w:p>
    <w:p w14:paraId="5BD2B37E" w14:textId="77777777" w:rsidR="007C372E" w:rsidRPr="007C372E" w:rsidRDefault="007C372E" w:rsidP="007C372E">
      <w:pPr>
        <w:numPr>
          <w:ilvl w:val="0"/>
          <w:numId w:val="4"/>
        </w:numPr>
        <w:rPr>
          <w:lang w:val="en-US"/>
        </w:rPr>
      </w:pPr>
      <w:r w:rsidRPr="007C372E">
        <w:rPr>
          <w:lang w:val="en-US"/>
        </w:rPr>
        <w:t>IVR led to slower decisions in the real-world task but significantly higher intrinsic motivation.</w:t>
      </w:r>
    </w:p>
    <w:p w14:paraId="3D3CCA08" w14:textId="3AAE5D7C" w:rsidR="007C372E" w:rsidRPr="007C372E" w:rsidRDefault="007C372E" w:rsidP="007C372E">
      <w:pPr>
        <w:numPr>
          <w:ilvl w:val="0"/>
          <w:numId w:val="4"/>
        </w:numPr>
      </w:pPr>
      <w:r w:rsidRPr="007C372E">
        <w:rPr>
          <w:lang w:val="en-US"/>
        </w:rPr>
        <w:lastRenderedPageBreak/>
        <w:t>Immersive systems therefore appear more clearly beneficial for engagement than for immediate performance on this type of cognitive professional skill.</w:t>
      </w:r>
      <w:r w:rsidRPr="007C372E">
        <w:rPr>
          <w:lang w:val="en-US"/>
        </w:rPr>
        <w:br/>
      </w:r>
      <w:r w:rsidRPr="007C372E">
        <w:rPr>
          <w:b/>
          <w:bCs/>
        </w:rPr>
        <w:t xml:space="preserve">Future </w:t>
      </w:r>
      <w:proofErr w:type="spellStart"/>
      <w:r w:rsidRPr="007C372E">
        <w:rPr>
          <w:b/>
          <w:bCs/>
        </w:rPr>
        <w:t>work</w:t>
      </w:r>
      <w:proofErr w:type="spellEnd"/>
      <w:r w:rsidRPr="007C372E">
        <w:rPr>
          <w:b/>
          <w:bCs/>
        </w:rPr>
        <w:t xml:space="preserve"> </w:t>
      </w:r>
      <w:proofErr w:type="spellStart"/>
      <w:r w:rsidRPr="007C372E">
        <w:rPr>
          <w:b/>
          <w:bCs/>
        </w:rPr>
        <w:t>directions</w:t>
      </w:r>
      <w:proofErr w:type="spellEnd"/>
      <w:r w:rsidRPr="007C372E">
        <w:rPr>
          <w:b/>
          <w:bCs/>
        </w:rPr>
        <w:t>:</w:t>
      </w:r>
    </w:p>
    <w:p w14:paraId="601F65E7" w14:textId="77777777" w:rsidR="007C372E" w:rsidRPr="007C372E" w:rsidRDefault="007C372E" w:rsidP="007C372E">
      <w:pPr>
        <w:numPr>
          <w:ilvl w:val="0"/>
          <w:numId w:val="4"/>
        </w:numPr>
        <w:rPr>
          <w:lang w:val="en-US"/>
        </w:rPr>
      </w:pPr>
      <w:r w:rsidRPr="007C372E">
        <w:rPr>
          <w:lang w:val="en-US"/>
        </w:rPr>
        <w:t>Explore tasks where immersion directly supports spatial reasoning, motor skills, or social interaction, which may better leverage embodiment and presence.</w:t>
      </w:r>
    </w:p>
    <w:p w14:paraId="2F953652" w14:textId="77777777" w:rsidR="007C372E" w:rsidRPr="007C372E" w:rsidRDefault="007C372E" w:rsidP="007C372E">
      <w:pPr>
        <w:numPr>
          <w:ilvl w:val="0"/>
          <w:numId w:val="4"/>
        </w:numPr>
        <w:rPr>
          <w:lang w:val="en-US"/>
        </w:rPr>
      </w:pPr>
      <w:r w:rsidRPr="007C372E">
        <w:rPr>
          <w:lang w:val="en-US"/>
        </w:rPr>
        <w:t>Combine implicit and explicit learning strategies in IVR to balance intuitive pattern acquisition with targeted guidance.</w:t>
      </w:r>
    </w:p>
    <w:p w14:paraId="50C94C17" w14:textId="77777777" w:rsidR="007C372E" w:rsidRPr="007C372E" w:rsidRDefault="007C372E" w:rsidP="007C372E">
      <w:pPr>
        <w:numPr>
          <w:ilvl w:val="0"/>
          <w:numId w:val="5"/>
        </w:numPr>
        <w:rPr>
          <w:lang w:val="en-US"/>
        </w:rPr>
      </w:pPr>
      <w:r w:rsidRPr="007C372E">
        <w:rPr>
          <w:b/>
          <w:bCs/>
          <w:lang w:val="en-US"/>
        </w:rPr>
        <w:t>Presenters’ critical analysis (HCI perspective)</w:t>
      </w:r>
      <w:r w:rsidRPr="007C372E">
        <w:rPr>
          <w:lang w:val="en-US"/>
        </w:rPr>
        <w:br/>
      </w:r>
      <w:r w:rsidRPr="007C372E">
        <w:rPr>
          <w:b/>
          <w:bCs/>
          <w:lang w:val="en-US"/>
        </w:rPr>
        <w:t>Strengths:</w:t>
      </w:r>
    </w:p>
    <w:p w14:paraId="5578E8F1" w14:textId="77777777" w:rsidR="007C372E" w:rsidRPr="007C372E" w:rsidRDefault="007C372E" w:rsidP="007C372E">
      <w:pPr>
        <w:numPr>
          <w:ilvl w:val="0"/>
          <w:numId w:val="6"/>
        </w:numPr>
        <w:rPr>
          <w:lang w:val="en-US"/>
        </w:rPr>
      </w:pPr>
      <w:r w:rsidRPr="007C372E">
        <w:rPr>
          <w:lang w:val="en-US"/>
        </w:rPr>
        <w:t xml:space="preserve">Clear </w:t>
      </w:r>
      <w:proofErr w:type="gramStart"/>
      <w:r w:rsidRPr="007C372E">
        <w:rPr>
          <w:lang w:val="en-US"/>
        </w:rPr>
        <w:t>media-comparison</w:t>
      </w:r>
      <w:proofErr w:type="gramEnd"/>
      <w:r w:rsidRPr="007C372E">
        <w:rPr>
          <w:lang w:val="en-US"/>
        </w:rPr>
        <w:t xml:space="preserve"> design with content-equivalent conditions and a real-world transfer task.</w:t>
      </w:r>
    </w:p>
    <w:p w14:paraId="3B3DE90A" w14:textId="3113EE8D" w:rsidR="007C372E" w:rsidRPr="007C372E" w:rsidRDefault="007C372E" w:rsidP="007C372E">
      <w:pPr>
        <w:numPr>
          <w:ilvl w:val="0"/>
          <w:numId w:val="6"/>
        </w:numPr>
        <w:rPr>
          <w:lang w:val="en-US"/>
        </w:rPr>
      </w:pPr>
      <w:r w:rsidRPr="007C372E">
        <w:rPr>
          <w:lang w:val="en-US"/>
        </w:rPr>
        <w:t>Focus on implicit learning fills an important gap in immersive learning research, which usually emphasizes explicit instruction.</w:t>
      </w:r>
      <w:r w:rsidRPr="007C372E">
        <w:rPr>
          <w:lang w:val="en-US"/>
        </w:rPr>
        <w:br/>
      </w:r>
      <w:proofErr w:type="spellStart"/>
      <w:r w:rsidRPr="007C372E">
        <w:rPr>
          <w:b/>
          <w:bCs/>
        </w:rPr>
        <w:t>Weaknesses</w:t>
      </w:r>
      <w:proofErr w:type="spellEnd"/>
      <w:r w:rsidRPr="007C372E">
        <w:rPr>
          <w:b/>
          <w:bCs/>
        </w:rPr>
        <w:t xml:space="preserve"> </w:t>
      </w:r>
      <w:proofErr w:type="spellStart"/>
      <w:r w:rsidRPr="007C372E">
        <w:rPr>
          <w:b/>
          <w:bCs/>
        </w:rPr>
        <w:t>and</w:t>
      </w:r>
      <w:proofErr w:type="spellEnd"/>
      <w:r w:rsidRPr="007C372E">
        <w:rPr>
          <w:b/>
          <w:bCs/>
        </w:rPr>
        <w:t xml:space="preserve"> open </w:t>
      </w:r>
      <w:proofErr w:type="spellStart"/>
      <w:r w:rsidRPr="007C372E">
        <w:rPr>
          <w:b/>
          <w:bCs/>
        </w:rPr>
        <w:t>issues</w:t>
      </w:r>
      <w:proofErr w:type="spellEnd"/>
      <w:r w:rsidRPr="007C372E">
        <w:rPr>
          <w:b/>
          <w:bCs/>
        </w:rPr>
        <w:t>:</w:t>
      </w:r>
    </w:p>
    <w:p w14:paraId="5121F69B" w14:textId="77777777" w:rsidR="007C372E" w:rsidRPr="007C372E" w:rsidRDefault="007C372E" w:rsidP="007C372E">
      <w:pPr>
        <w:numPr>
          <w:ilvl w:val="0"/>
          <w:numId w:val="6"/>
        </w:numPr>
        <w:rPr>
          <w:lang w:val="en-US"/>
        </w:rPr>
      </w:pPr>
      <w:r w:rsidRPr="007C372E">
        <w:rPr>
          <w:lang w:val="en-US"/>
        </w:rPr>
        <w:t>The VR interaction is limited (no manipulation of vines), potentially under-using core affordances of VR such as rich embodied action and haptic feedback.</w:t>
      </w:r>
    </w:p>
    <w:p w14:paraId="1EFE6736" w14:textId="77777777" w:rsidR="007C372E" w:rsidRPr="007C372E" w:rsidRDefault="007C372E" w:rsidP="007C372E">
      <w:pPr>
        <w:numPr>
          <w:ilvl w:val="0"/>
          <w:numId w:val="6"/>
        </w:numPr>
        <w:rPr>
          <w:lang w:val="en-US"/>
        </w:rPr>
      </w:pPr>
      <w:r w:rsidRPr="007C372E">
        <w:rPr>
          <w:lang w:val="en-US"/>
        </w:rPr>
        <w:t>The study does not deeply analyze user experience aspects like presence, embodiment, or perceived workload, which are central to HCI explanations of why VR may or may not help.</w:t>
      </w:r>
    </w:p>
    <w:p w14:paraId="275C9360" w14:textId="2459150A" w:rsidR="007C372E" w:rsidRPr="007C372E" w:rsidRDefault="007C372E" w:rsidP="007C372E">
      <w:pPr>
        <w:numPr>
          <w:ilvl w:val="0"/>
          <w:numId w:val="6"/>
        </w:numPr>
        <w:rPr>
          <w:lang w:val="en-US"/>
        </w:rPr>
      </w:pPr>
      <w:r w:rsidRPr="007C372E">
        <w:rPr>
          <w:lang w:val="en-US"/>
        </w:rPr>
        <w:t>The paper provides a nuanced example showing that more immersive interfaces can increase motivation without guaranteeing better task performance, a critical reminder for HCI practitioners and researchers who might otherwise over-claim the benefits of VR.</w:t>
      </w:r>
    </w:p>
    <w:sectPr w:rsidR="007C372E" w:rsidRPr="007C37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81A2A"/>
    <w:multiLevelType w:val="multilevel"/>
    <w:tmpl w:val="E6BA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B78F3"/>
    <w:multiLevelType w:val="multilevel"/>
    <w:tmpl w:val="A85E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611EC2"/>
    <w:multiLevelType w:val="multilevel"/>
    <w:tmpl w:val="6BCE4E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033C02"/>
    <w:multiLevelType w:val="multilevel"/>
    <w:tmpl w:val="C994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706B9B"/>
    <w:multiLevelType w:val="multilevel"/>
    <w:tmpl w:val="D1C4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8F1393"/>
    <w:multiLevelType w:val="multilevel"/>
    <w:tmpl w:val="36B88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9E1EC9"/>
    <w:multiLevelType w:val="multilevel"/>
    <w:tmpl w:val="5E24E75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46240F"/>
    <w:multiLevelType w:val="multilevel"/>
    <w:tmpl w:val="0DF0FFE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702112">
    <w:abstractNumId w:val="5"/>
  </w:num>
  <w:num w:numId="2" w16cid:durableId="1356148908">
    <w:abstractNumId w:val="3"/>
  </w:num>
  <w:num w:numId="3" w16cid:durableId="475612574">
    <w:abstractNumId w:val="6"/>
  </w:num>
  <w:num w:numId="4" w16cid:durableId="1471899764">
    <w:abstractNumId w:val="0"/>
  </w:num>
  <w:num w:numId="5" w16cid:durableId="130948448">
    <w:abstractNumId w:val="7"/>
  </w:num>
  <w:num w:numId="6" w16cid:durableId="1035078244">
    <w:abstractNumId w:val="1"/>
  </w:num>
  <w:num w:numId="7" w16cid:durableId="1466777033">
    <w:abstractNumId w:val="2"/>
  </w:num>
  <w:num w:numId="8" w16cid:durableId="20182636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72E"/>
    <w:rsid w:val="002931A6"/>
    <w:rsid w:val="007C372E"/>
    <w:rsid w:val="00A7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112BA"/>
  <w15:chartTrackingRefBased/>
  <w15:docId w15:val="{2A395693-AD38-470B-8014-2E36FB0E6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C3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C3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C3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C3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C3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C3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C3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C3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C3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C3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C3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C3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C37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C372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C37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C372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C37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C37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C3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C3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C3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C3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C3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C37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372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C37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C3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C372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C3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1294</Words>
  <Characters>6988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Oliveira</dc:creator>
  <cp:keywords/>
  <dc:description/>
  <cp:lastModifiedBy>Daniel Oliveira</cp:lastModifiedBy>
  <cp:revision>1</cp:revision>
  <dcterms:created xsi:type="dcterms:W3CDTF">2026-03-21T13:18:00Z</dcterms:created>
  <dcterms:modified xsi:type="dcterms:W3CDTF">2026-03-21T13:29:00Z</dcterms:modified>
</cp:coreProperties>
</file>