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6E611" w14:textId="68A1EAC9" w:rsidR="00830781" w:rsidRDefault="00194055" w:rsidP="00194055">
      <w:pPr>
        <w:pStyle w:val="Heading1"/>
      </w:pPr>
      <w:r>
        <w:t>Scarring bits and bobs</w:t>
      </w:r>
    </w:p>
    <w:p w14:paraId="26B904AD" w14:textId="3377A1BE" w:rsidR="00194055" w:rsidRDefault="00194055" w:rsidP="00194055">
      <w:r>
        <w:t>Basic scarring argument: economically, you'd expect to see bounceback after 71-81 drops ("neoclassical adjustment") – but V+R claim you don't, from the LA level data. "</w:t>
      </w:r>
      <w:r>
        <w:t>If there was significant convergence we would expect changes</w:t>
      </w:r>
      <w:r>
        <w:t xml:space="preserve"> </w:t>
      </w:r>
      <w:r>
        <w:t>between 1981 and 2011 to be negatively correlated with the 1970s shock, but this is not</w:t>
      </w:r>
      <w:r>
        <w:t xml:space="preserve"> </w:t>
      </w:r>
      <w:r>
        <w:t>obviously the case, particularly if one disregards the evident outlier.</w:t>
      </w:r>
      <w:r>
        <w:t>" [137]</w:t>
      </w:r>
    </w:p>
    <w:p w14:paraId="2847824B" w14:textId="41A8E950" w:rsidR="00194055" w:rsidRDefault="00194055" w:rsidP="00194055">
      <w:r w:rsidRPr="00194055">
        <w:drawing>
          <wp:inline distT="0" distB="0" distL="0" distR="0" wp14:anchorId="0593481B" wp14:editId="7E41E987">
            <wp:extent cx="4515480" cy="5249008"/>
            <wp:effectExtent l="0" t="0" r="0" b="889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B72EA" w14:textId="5D272535" w:rsidR="00580599" w:rsidRDefault="00194055" w:rsidP="00194055">
      <w:r>
        <w:t>Using ward-level data, however, you do in fact see that negative slope bounceback</w:t>
      </w:r>
      <w:r w:rsidR="00580599">
        <w:t xml:space="preserve"> (though this is not identical data; they're using males as % of total 16-64 year olds, I'm using all as % of econ active):</w:t>
      </w:r>
    </w:p>
    <w:p w14:paraId="41CB381F" w14:textId="77777777" w:rsidR="00580599" w:rsidRDefault="00580599">
      <w:r>
        <w:br w:type="page"/>
      </w:r>
    </w:p>
    <w:p w14:paraId="5F04FB3C" w14:textId="77777777" w:rsidR="00194055" w:rsidRDefault="00194055" w:rsidP="00194055"/>
    <w:p w14:paraId="503FBA4E" w14:textId="715834FD" w:rsidR="00815DDF" w:rsidRDefault="00580599" w:rsidP="00580599">
      <w:pPr>
        <w:pStyle w:val="ListParagraph"/>
        <w:numPr>
          <w:ilvl w:val="0"/>
          <w:numId w:val="1"/>
        </w:numPr>
      </w:pPr>
      <w:r>
        <w:t>71-81 vs 71-11</w:t>
      </w:r>
    </w:p>
    <w:p w14:paraId="5FF5D4EE" w14:textId="082A0BEE" w:rsidR="00580599" w:rsidRDefault="00580599" w:rsidP="00580599">
      <w:pPr>
        <w:jc w:val="center"/>
      </w:pPr>
      <w:r>
        <w:rPr>
          <w:noProof/>
        </w:rPr>
        <w:drawing>
          <wp:inline distT="0" distB="0" distL="0" distR="0" wp14:anchorId="50185DE9" wp14:editId="59E91483">
            <wp:extent cx="3452922" cy="3480110"/>
            <wp:effectExtent l="0" t="0" r="0" b="635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8966" cy="348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3AE51" w14:textId="22CCF3E8" w:rsidR="00194055" w:rsidRDefault="00120C21" w:rsidP="00120C21">
      <w:pPr>
        <w:pStyle w:val="ListParagraph"/>
        <w:numPr>
          <w:ilvl w:val="0"/>
          <w:numId w:val="1"/>
        </w:numPr>
      </w:pPr>
      <w:r>
        <w:t>71-81 vs 81-11</w:t>
      </w:r>
    </w:p>
    <w:p w14:paraId="2BB5C3B4" w14:textId="40E61D22" w:rsidR="00120C21" w:rsidRDefault="00120C21" w:rsidP="00120C21">
      <w:pPr>
        <w:jc w:val="center"/>
      </w:pPr>
      <w:r>
        <w:rPr>
          <w:noProof/>
        </w:rPr>
        <w:drawing>
          <wp:inline distT="0" distB="0" distL="0" distR="0" wp14:anchorId="42EB279E" wp14:editId="588109CE">
            <wp:extent cx="3676650" cy="3705600"/>
            <wp:effectExtent l="0" t="0" r="0" b="9525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1631" cy="371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8993" w14:textId="17C2BFA5" w:rsidR="00EE1640" w:rsidRDefault="00EE1640">
      <w:r>
        <w:br w:type="page"/>
      </w:r>
    </w:p>
    <w:p w14:paraId="253EDE5B" w14:textId="2FF9FF71" w:rsidR="00EE1640" w:rsidRDefault="00EE1640" w:rsidP="00EE1640">
      <w:r>
        <w:lastRenderedPageBreak/>
        <w:t xml:space="preserve">Same is true for Sheffield specifically as well. </w:t>
      </w:r>
      <w:r w:rsidR="00D37BAF">
        <w:t>(Similar pattern internally for other TTWAs, e.g. London)</w:t>
      </w:r>
    </w:p>
    <w:p w14:paraId="7E9087A3" w14:textId="5AB7BCC7" w:rsidR="00EE1640" w:rsidRDefault="00EE1640" w:rsidP="00EE1640">
      <w:r>
        <w:t>(a)</w:t>
      </w:r>
    </w:p>
    <w:p w14:paraId="55D2023F" w14:textId="383ED286" w:rsidR="00EE1640" w:rsidRDefault="00EE1640" w:rsidP="00EE1640">
      <w:pPr>
        <w:jc w:val="center"/>
      </w:pPr>
      <w:r>
        <w:rPr>
          <w:noProof/>
        </w:rPr>
        <w:drawing>
          <wp:inline distT="0" distB="0" distL="0" distR="0" wp14:anchorId="706A3B8C" wp14:editId="7EBF4CC1">
            <wp:extent cx="3219450" cy="3244800"/>
            <wp:effectExtent l="0" t="0" r="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0788" cy="324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F232A" w14:textId="2249A870" w:rsidR="00EE1640" w:rsidRDefault="00EE1640" w:rsidP="00EE1640">
      <w:r>
        <w:t>(b)</w:t>
      </w:r>
    </w:p>
    <w:p w14:paraId="7ECF8B0E" w14:textId="18FDF1DA" w:rsidR="005A6335" w:rsidRDefault="00016B53" w:rsidP="00016B53">
      <w:pPr>
        <w:jc w:val="center"/>
      </w:pPr>
      <w:r>
        <w:rPr>
          <w:noProof/>
        </w:rPr>
        <w:drawing>
          <wp:inline distT="0" distB="0" distL="0" distR="0" wp14:anchorId="7995B67C" wp14:editId="20AA3FF4">
            <wp:extent cx="3505200" cy="3532799"/>
            <wp:effectExtent l="0" t="0" r="0" b="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3383" cy="354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3E9DF" w14:textId="77777777" w:rsidR="005A6335" w:rsidRDefault="005A6335">
      <w:r>
        <w:br w:type="page"/>
      </w:r>
    </w:p>
    <w:p w14:paraId="1624B344" w14:textId="241BED5C" w:rsidR="00EE1640" w:rsidRDefault="005A6335" w:rsidP="005A6335">
      <w:r>
        <w:lastRenderedPageBreak/>
        <w:t xml:space="preserve">I've found the following plots a useful way to actually see how Sheffield unemployment has changed. Each compares </w:t>
      </w:r>
      <w:r>
        <w:rPr>
          <w:b/>
          <w:bCs/>
        </w:rPr>
        <w:t>actual unemployment % for two decades on the x and y axis</w:t>
      </w:r>
      <w:r w:rsidR="00F2644F">
        <w:rPr>
          <w:b/>
          <w:bCs/>
        </w:rPr>
        <w:t>, with Sheffield in red and all GB's wards in black</w:t>
      </w:r>
      <w:r>
        <w:t>, with a line of slope 1 overlaid: above the line, unemployment increased between the Censuses; below, it decreased.</w:t>
      </w:r>
    </w:p>
    <w:p w14:paraId="5A731EC7" w14:textId="717C8727" w:rsidR="005A6335" w:rsidRDefault="005A6335" w:rsidP="005A6335">
      <w:pPr>
        <w:pStyle w:val="ListParagraph"/>
        <w:numPr>
          <w:ilvl w:val="0"/>
          <w:numId w:val="2"/>
        </w:numPr>
      </w:pPr>
      <w:r>
        <w:t>1971 vs 1981</w:t>
      </w:r>
      <w:r w:rsidR="00F2644F">
        <w:t xml:space="preserve">: </w:t>
      </w:r>
      <w:r w:rsidR="00FB7666">
        <w:t>The vast majority of wards have an employment hit, but Sheffield is on the outer edge of it, so hit worse than most.</w:t>
      </w:r>
    </w:p>
    <w:p w14:paraId="3EAA231C" w14:textId="750549C6" w:rsidR="005A6335" w:rsidRDefault="00F2644F" w:rsidP="00F2644F">
      <w:pPr>
        <w:jc w:val="center"/>
      </w:pPr>
      <w:r>
        <w:rPr>
          <w:noProof/>
        </w:rPr>
        <w:drawing>
          <wp:inline distT="0" distB="0" distL="0" distR="0" wp14:anchorId="3BF38955" wp14:editId="241D820B">
            <wp:extent cx="3305175" cy="3331200"/>
            <wp:effectExtent l="0" t="0" r="0" b="3175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445" cy="334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C1F4C" w14:textId="253685F9" w:rsidR="00E80D32" w:rsidRDefault="00E80D32" w:rsidP="00E80D32">
      <w:pPr>
        <w:pStyle w:val="ListParagraph"/>
        <w:numPr>
          <w:ilvl w:val="0"/>
          <w:numId w:val="2"/>
        </w:numPr>
      </w:pPr>
      <w:r>
        <w:t>1971 vs 2011:</w:t>
      </w:r>
      <w:r w:rsidR="0081511B">
        <w:t xml:space="preserve"> most wards never got back to the same employment levels. Again, Sheffield worse than most</w:t>
      </w:r>
    </w:p>
    <w:p w14:paraId="20B1BC68" w14:textId="37BE7A19" w:rsidR="00E80D32" w:rsidRDefault="00E80D32" w:rsidP="00E80D32">
      <w:pPr>
        <w:jc w:val="center"/>
      </w:pPr>
      <w:r>
        <w:rPr>
          <w:noProof/>
        </w:rPr>
        <w:drawing>
          <wp:inline distT="0" distB="0" distL="0" distR="0" wp14:anchorId="7D265B18" wp14:editId="5E50ECD9">
            <wp:extent cx="3486150" cy="3513600"/>
            <wp:effectExtent l="0" t="0" r="0" b="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9084" cy="351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EE65A" w14:textId="63522D41" w:rsidR="0081511B" w:rsidRDefault="0081511B" w:rsidP="0081511B">
      <w:pPr>
        <w:pStyle w:val="ListParagraph"/>
        <w:numPr>
          <w:ilvl w:val="0"/>
          <w:numId w:val="2"/>
        </w:numPr>
      </w:pPr>
      <w:r>
        <w:lastRenderedPageBreak/>
        <w:t>1981 vs 2011:</w:t>
      </w:r>
      <w:r w:rsidR="00F314D3">
        <w:t xml:space="preserve"> "bounce back" after 71-81. Sheffield seems pretty average in terms of how much it bounced back</w:t>
      </w:r>
      <w:r w:rsidR="00280171">
        <w:t>, but note difference in those worst affected in 81.</w:t>
      </w:r>
    </w:p>
    <w:p w14:paraId="19FE25DA" w14:textId="612D1214" w:rsidR="0081511B" w:rsidRPr="005A6335" w:rsidRDefault="0081511B" w:rsidP="0081511B">
      <w:pPr>
        <w:jc w:val="center"/>
      </w:pPr>
      <w:r>
        <w:rPr>
          <w:noProof/>
        </w:rPr>
        <w:drawing>
          <wp:inline distT="0" distB="0" distL="0" distR="0" wp14:anchorId="191B734B" wp14:editId="4D22B88C">
            <wp:extent cx="4301035" cy="4334901"/>
            <wp:effectExtent l="0" t="0" r="4445" b="889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1035" cy="433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511B" w:rsidRPr="005A6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C634C"/>
    <w:multiLevelType w:val="hybridMultilevel"/>
    <w:tmpl w:val="BC582924"/>
    <w:lvl w:ilvl="0" w:tplc="384620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729E5"/>
    <w:multiLevelType w:val="hybridMultilevel"/>
    <w:tmpl w:val="4BB27B6E"/>
    <w:lvl w:ilvl="0" w:tplc="DD72E4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055"/>
    <w:rsid w:val="00016B53"/>
    <w:rsid w:val="00120C21"/>
    <w:rsid w:val="00194055"/>
    <w:rsid w:val="00280171"/>
    <w:rsid w:val="00580599"/>
    <w:rsid w:val="005A6335"/>
    <w:rsid w:val="0081511B"/>
    <w:rsid w:val="00815DDF"/>
    <w:rsid w:val="00830781"/>
    <w:rsid w:val="009802FB"/>
    <w:rsid w:val="00CA4383"/>
    <w:rsid w:val="00D37BAF"/>
    <w:rsid w:val="00E444B3"/>
    <w:rsid w:val="00E80D32"/>
    <w:rsid w:val="00EE1640"/>
    <w:rsid w:val="00F2644F"/>
    <w:rsid w:val="00F314D3"/>
    <w:rsid w:val="00FB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2F313"/>
  <w15:chartTrackingRefBased/>
  <w15:docId w15:val="{B7305E2F-E1E9-4863-A86C-79989577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0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0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0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2022-04-05T10:43:00Z</dcterms:created>
  <dcterms:modified xsi:type="dcterms:W3CDTF">2022-04-05T11:38:00Z</dcterms:modified>
</cp:coreProperties>
</file>