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684" w:rsidRDefault="00FB3684" w:rsidP="00FB3684">
      <w:pPr>
        <w:pStyle w:val="Heading1"/>
      </w:pPr>
      <w:r>
        <w:t>\begin{comment}</w:t>
      </w:r>
    </w:p>
    <w:p w:rsidR="00FB3684" w:rsidRDefault="00FB3684" w:rsidP="00FB3684">
      <w:r>
        <w:t>..</w:t>
      </w:r>
    </w:p>
    <w:p w:rsidR="00FB3684" w:rsidRDefault="00FB3684" w:rsidP="00FB3684">
      <w:pPr>
        <w:pStyle w:val="Heading1"/>
      </w:pPr>
      <w:r>
        <w:t>Old conc</w:t>
      </w:r>
    </w:p>
    <w:p w:rsidR="00FB3684" w:rsidRDefault="00FB3684" w:rsidP="00FB3684"/>
    <w:p w:rsidR="00FB3684" w:rsidRDefault="00FB3684" w:rsidP="00FB3684">
      <w:pPr>
        <w:pStyle w:val="Heading1"/>
      </w:pPr>
      <w:r>
        <w:t>\section{Summary \label{sec:concsum}}</w:t>
      </w:r>
    </w:p>
    <w:p w:rsidR="00FB3684" w:rsidRDefault="00FB3684" w:rsidP="00FB3684"/>
    <w:p w:rsidR="00FB3684" w:rsidRDefault="00FB3684" w:rsidP="00FB3684">
      <w:r>
        <w:t xml:space="preserve">This thesis had two aims. These were -  </w:t>
      </w:r>
    </w:p>
    <w:p w:rsidR="00FB3684" w:rsidRDefault="00FB3684" w:rsidP="00FB3684"/>
    <w:p w:rsidR="00FB3684" w:rsidRDefault="00FB3684" w:rsidP="00FB3684">
      <w:r>
        <w:t>\begin{itemize}</w:t>
      </w:r>
    </w:p>
    <w:p w:rsidR="00FB3684" w:rsidRDefault="00FB3684" w:rsidP="00FB3684">
      <w:pPr>
        <w:spacing w:before="0" w:after="200" w:line="276" w:lineRule="auto"/>
        <w:ind w:firstLine="720"/>
        <w:contextualSpacing/>
      </w:pPr>
      <w:r>
        <w:t>\item Develop an agent-based model to examine the how actors with heterogenous locations optimise welfare, given changing space costs, and using simple neoclassical economic ideas</w:t>
      </w:r>
    </w:p>
    <w:p w:rsidR="00FB3684" w:rsidRDefault="00FB3684" w:rsidP="00FB3684">
      <w:pPr>
        <w:spacing w:before="0" w:after="200" w:line="276" w:lineRule="auto"/>
        <w:ind w:firstLine="720"/>
        <w:contextualSpacing/>
      </w:pPr>
      <w:r>
        <w:t xml:space="preserve">\item </w:t>
      </w:r>
      <w:r w:rsidRPr="00D65786">
        <w:t xml:space="preserve">Analyse how </w:t>
      </w:r>
      <w:r>
        <w:t xml:space="preserve">economic and agent-based </w:t>
      </w:r>
      <w:r w:rsidRPr="00D65786">
        <w:t>models map to reality by comparing approaches to model-building</w:t>
      </w:r>
      <w:r>
        <w:t xml:space="preserve"> in those two fields</w:t>
      </w:r>
      <w:r w:rsidRPr="00D65786">
        <w:t xml:space="preserve">, and use this analysis to inform </w:t>
      </w:r>
      <w:r>
        <w:t xml:space="preserve">the </w:t>
      </w:r>
      <w:r w:rsidRPr="00D65786">
        <w:t>thesis</w:t>
      </w:r>
      <w:r>
        <w:t>'</w:t>
      </w:r>
      <w:r w:rsidRPr="00D65786">
        <w:t xml:space="preserve"> model development</w:t>
      </w:r>
    </w:p>
    <w:p w:rsidR="00FB3684" w:rsidRDefault="00FB3684" w:rsidP="00FB3684">
      <w:r>
        <w:t>\end{itemize}</w:t>
      </w:r>
    </w:p>
    <w:p w:rsidR="00FB3684" w:rsidRDefault="00FB3684" w:rsidP="00FB3684"/>
    <w:p w:rsidR="00FB3684" w:rsidRDefault="00FB3684" w:rsidP="00FB3684">
      <w:r>
        <w:t xml:space="preserve">This concluding chapter looks it these two aims, starting with an overview and an examination of the model results. </w:t>
      </w:r>
    </w:p>
    <w:p w:rsidR="00FB3684" w:rsidRDefault="00FB3684" w:rsidP="00FB3684"/>
    <w:p w:rsidR="00FB3684" w:rsidRDefault="00FB3684" w:rsidP="00FB3684">
      <w:r>
        <w:t>Before coming onto the agent model itself, chapters \ref{</w:t>
      </w:r>
      <w:r w:rsidRPr="009B0926">
        <w:t>chapter:location</w:t>
      </w:r>
      <w:r>
        <w:t>} and \ref{chapter:spaceconceptsintro} presented the economic and spatial concepts used to build it. The presentation of the spatial concepts was put into the context of how the reality of space costs have been theorised. Chapter \ref{</w:t>
      </w:r>
      <w:r w:rsidRPr="00911426">
        <w:t>chapter:modelfw</w:t>
      </w:r>
      <w:r>
        <w:t>} explained how the model framework has been put together, and spent some more time looking at the more challenging elements of model development to show why and how particular model choices were made.</w:t>
      </w:r>
    </w:p>
    <w:p w:rsidR="00FB3684" w:rsidRDefault="00FB3684" w:rsidP="00FB3684"/>
    <w:p w:rsidR="00FB3684" w:rsidRDefault="00FB3684" w:rsidP="00FB3684">
      <w:r>
        <w:t>Chapter \ref{</w:t>
      </w:r>
      <w:r w:rsidRPr="001D5179">
        <w:t>chapter:models</w:t>
      </w:r>
      <w:r>
        <w:t xml:space="preserve">} presented results from this framework. It was put through a series of `face validation' tests to make sure that the implemented economic ideas worked as they should. This was done without spatial elements initially (section \ref{sec:testingutils}) and then spatial costs were introduced in section \ref{sec:utilspace}. These models were all partial: Firms met demand, and wages were fixed so that the circular route from wages to demand and back again was avoided. </w:t>
      </w:r>
    </w:p>
    <w:p w:rsidR="00FB3684" w:rsidRDefault="00FB3684" w:rsidP="00FB3684"/>
    <w:p w:rsidR="00FB3684" w:rsidRDefault="00FB3684" w:rsidP="00FB3684">
      <w:r>
        <w:t>\cmt{Engel point removed from conc. Can I take anything from it?}</w:t>
      </w:r>
    </w:p>
    <w:p w:rsidR="00FB3684" w:rsidRPr="00315DDA" w:rsidRDefault="00FB3684" w:rsidP="00FB3684">
      <w:pPr>
        <w:rPr>
          <w:color w:val="808080" w:themeColor="background1" w:themeShade="80"/>
        </w:rPr>
      </w:pPr>
      <w:r w:rsidRPr="00315DDA">
        <w:rPr>
          <w:color w:val="808080" w:themeColor="background1" w:themeShade="80"/>
        </w:rPr>
        <w:t>%In a partial setting, the key spatial outcomes were: for the Engel function, the marginal benefits from delivery costs can determine the choice of location. For the \gls{ces} function, the value of $\rho$ has a vital role in determining the demand structure in a situation with heterogenous location. If People are allowed to choose their location, $\rho$ as well as delivery costs will also determine morphology: People are able to find utlity-maximising spots where good cost is evened out and \gls{lov} maximised. At a certain cost-point, it becomes better for them to reduce delivery costs to zero for one of their goods and so site next to a single Firm. The result is a discrete jump between spatial patterns: this is discussed more in section \ref{sec:agentsnecons} below.</w:t>
      </w:r>
    </w:p>
    <w:p w:rsidR="00FB3684" w:rsidRDefault="00FB3684" w:rsidP="00FB3684"/>
    <w:p w:rsidR="00FB3684" w:rsidRDefault="00FB3684" w:rsidP="00FB3684">
      <w:r>
        <w:t>Two different approaches to utility-maximisation were compared: a greedy algorithm that incrementally finds better mixes of goods through random peturbations of budget slices, and a constrained algorithm based on the more traditional Lagrangian constrained optimisation approach (section \ref{sec:greedyvsconstrained}). The initial motivation behind the greedy algorithm approach was to deal with the possibility of limited stock, allowing Actors to maximise whatever goods were available, and thus avoid the problem of artificially supplying an `objective' demand that Firms perhaps could not meet. These two utility-maximising methods produce identical results, save some small noise component in the greedy algorithm that is dependent on the number of iterations it is allowed. Regardless, it can never exactly match the analytic precision of the constrained method. It was argued that there are circumstances under which the greedy utility approach could be useful, but for the models here, the computational speed of the constrained algorithm was a great benefit to model development and understanding. As part of the logical journey of model building, this realisation led to thinking of methods for `objective' demand to work in a situation where stock is limited – see below.</w:t>
      </w:r>
    </w:p>
    <w:p w:rsidR="00FB3684" w:rsidRDefault="00FB3684" w:rsidP="00FB3684">
      <w:r>
        <w:t>%The initial results sections, then, demonstrated that a variety of utility methods work effectively...</w:t>
      </w:r>
    </w:p>
    <w:p w:rsidR="00FB3684" w:rsidRDefault="00FB3684" w:rsidP="00FB3684"/>
    <w:p w:rsidR="00FB3684" w:rsidRDefault="00FB3684" w:rsidP="00FB3684">
      <w:r>
        <w:t>Section \ref{sec:testspace} used a `density cost' as a useful way to examine how different costs interact with Actors' choices. It has been argued that the density cost method is a simple approach to providing a `second nature' spatial dispersion force that can act as a proxy for a mix of land costs and generic congestion costs. The main result from the process of model development was discovering that the spatial component of costs had opposite effects to the non-spatial component. In the original model, where People's wage had distance to their workplace `hard-coded' in, this was difficult to see. If the `cost of buying money/output' and the cost of moving it across space are separated in the wage, however, the parallel becomes clear in the way it impacts on Actors' rational choices.</w:t>
      </w:r>
    </w:p>
    <w:p w:rsidR="00FB3684" w:rsidRDefault="00FB3684" w:rsidP="00FB3684"/>
    <w:p w:rsidR="00FB3684" w:rsidRDefault="00FB3684" w:rsidP="00FB3684">
      <w:r>
        <w:t>The timing setup is essential to the result. The model is structured so that each Actor makes decisions in a static world. If they find that moving location increases their utility by reducing their density cost, they will move – and in so-doing, reduce subsequent density cost results for other Actors on the spot they left. Section \ref{sec:nutsnbolts} explained the background to the model choices made: problems of strategic stalemate have been avoided, and the `static' world Actors face in many of the model situations is something more like the asynchronous choices of reality. Such choices do have effects over time in reality as they do in the model, but as with the simple task of shopping at a supermarket, the shopper does not expect their buying decisions to effect outcomes before they get to the checkout. This is different to an auction-style or market-clearing approach, where bids must interact `live' and lead to a point where the market can close.</w:t>
      </w:r>
    </w:p>
    <w:p w:rsidR="00FB3684" w:rsidRDefault="00FB3684" w:rsidP="00FB3684"/>
    <w:p w:rsidR="00FB3684" w:rsidRDefault="00FB3684" w:rsidP="00FB3684">
      <w:r>
        <w:t xml:space="preserve">The first half of the results are partial models: the rest examine the goal of creating a `general' model and problems related to that. The logical journey of model development tried through a number of paths, not all of them fruitful. These involved problems relating to unsuccessful implementations of money circulation or problems with connecting stock production to People's demand – the `transmission belt' issue. One example (\ref{sec:firmsLoV}) was used to examine the central difficulty in asking Firm agents to find optimal prices. It looked at a case where Firms only had to optimise one element of their good cost, by choosing their location. In this very artificial situation, they were asked to play a simple game: find their way inside a circle of People, guided only by demand increases as they drew closer. Where a single Firm had no problem, two Firms found it more problematic. In particular, if the clarity of the demand signal was low, making correct interpretations of their data was problematic for Firms – and more so, the more their two goods became complementary. Changing their price (through changing location) would have less impact on demand as \gls{lov} decreased. </w:t>
      </w:r>
    </w:p>
    <w:p w:rsidR="00FB3684" w:rsidRDefault="00FB3684" w:rsidP="00FB3684"/>
    <w:p w:rsidR="00FB3684" w:rsidRDefault="00FB3684" w:rsidP="00FB3684">
      <w:r>
        <w:t xml:space="preserve">Firms were set up to use the same feedback method of decision-making for changing base good price and wage. This simple example suggests that, even if the issues of money and stock were solveable, Firm agents face a very complex challenge in correctly understanding what is going on in the market. This ties in to the importance of agent learning issues. This thesis has kept agents deliberately simple, but the question does arise from this: could more cognitively sophisticated Firms do better? This is discussed below in section \ref{sec:coordoverview}. </w:t>
      </w:r>
    </w:p>
    <w:p w:rsidR="00FB3684" w:rsidRDefault="00FB3684" w:rsidP="00FB3684"/>
    <w:p w:rsidR="00FB3684" w:rsidRDefault="00FB3684" w:rsidP="00FB3684">
      <w:r>
        <w:t>The final results section presented a model that dealt with many of the coordination problems by making the following modelling choices: use only a single Actor-type, each having both a demand and a production element; make a direct link between Actors' input into production and the goods they get in return; allow a `granular' production of stock, where the price signal is used to target the efficient level of production. The resulting model succeeds in `turning the transmission belt' between production and welfare, and does so through distributed interaction, actual production-level economies of scale and Actors taking decisions solely on the costs they face at their point of decision. As section \ref{sec:loveos} demonstrated, Actors find production outcomes that maximise overall welfare, though not necessarily individual utility since those furthest from an emergent central producer can actually be worse off. Again, this is discussed more below, in relation to the issue of coordination.</w:t>
      </w:r>
    </w:p>
    <w:p w:rsidR="00FB3684" w:rsidRDefault="00FB3684" w:rsidP="00FB3684"/>
    <w:p w:rsidR="00FB3684" w:rsidRDefault="00FB3684" w:rsidP="00FB3684">
      <w:r>
        <w:t>The major problem for this `transmission model' is the net-zero stock target. The Actor in question is not attempting to maximise anything except productive efficiency itself, but that begs the question: what is its motivation for doing so? It has no economic or market structure justification; for example, it is not looking to maximise its own markup. It \emph{does} succeed in producing an efficient outcome for the model as a whole: input is used as efficiently as possible in production, and the price signal succeeds in coordinating this. It manages to do this when distance is introduced, and can facilitate the transfer between different production regimes – that is, between an even spread of production across space to the emergence of a given number of more centralised production points.</w:t>
      </w:r>
    </w:p>
    <w:p w:rsidR="00FB3684" w:rsidRDefault="00FB3684" w:rsidP="00FB3684"/>
    <w:p w:rsidR="00FB3684" w:rsidRDefault="00FB3684" w:rsidP="00FB3684">
      <w:r>
        <w:t xml:space="preserve">Is it possible for disaggregated actors to coordinate production in a way that maximises welfare? Yes, in this model, it is. Can the model do this when distance costs are included: yes, it can find the correct mix of producers and economies of scale. But can it do this if the Actors are maximising their own profit as producers? The model has not been able to show that. It would require them to be able to take a \gls{coremodel}-style `markup': to price input such that they could keep some of the extra efficiency gain for themselves. Attempting this leads straight back into the \glsreset{dmr} \gls{dmr} issues just discussed: there is no simple granular target for them to aim for, as there is with efficient, zero-net-stock production. </w:t>
      </w:r>
    </w:p>
    <w:p w:rsidR="00FB3684" w:rsidRDefault="00FB3684" w:rsidP="00FB3684">
      <w:r>
        <w:t xml:space="preserve">%So yes: that ties to the ‘engine' arg – an engine driving the transmission belt! I should say that. </w:t>
      </w:r>
    </w:p>
    <w:p w:rsidR="00FB3684" w:rsidRDefault="00FB3684" w:rsidP="00FB3684"/>
    <w:p w:rsidR="00FB3684" w:rsidRDefault="00FB3684" w:rsidP="00FB3684">
      <w:pPr>
        <w:pStyle w:val="Heading1"/>
      </w:pPr>
      <w:r>
        <w:t>\section{Different types of interaction \label{sec:coordoverview}}</w:t>
      </w:r>
    </w:p>
    <w:p w:rsidR="00FB3684" w:rsidRDefault="00FB3684" w:rsidP="00FB3684"/>
    <w:p w:rsidR="00FB3684" w:rsidRDefault="00FB3684" w:rsidP="00FB3684">
      <w:r>
        <w:t xml:space="preserve">As well as examining partial models with no interaction between Actors, the thesis models have used three distinct types of interaction. The first of these, density cost, is an externality derived from proximity to other Actors: it is imposed as a `flat tax' (meaning that if an Actors' wage increases, the proportion lost to density cost drops). This externality feeds into each `Bundle' and changes their optimal location choices. The second (section \ref{sec:firmsLoV}, the `\gls{dmr} scenario') is an artificial situation set up between two Firms to examine how Actors deal with potentially unreliable price signals. The last (section \ref{sec:lovprodsetup}, the `transmission' scenario) uses price signals again to target a zero-stock level of production in the presence of economies of scale, with the goal of achieving a connection between efficient output and demand. </w:t>
      </w:r>
    </w:p>
    <w:p w:rsidR="00FB3684" w:rsidRDefault="00FB3684" w:rsidP="00FB3684"/>
    <w:p w:rsidR="00FB3684" w:rsidRDefault="00FB3684" w:rsidP="00FB3684">
      <w:r>
        <w:t>The differing problems with these types of interactions raises some interesting questions. Why can actors so successfully self-organise into spatial equilibrium arrangements when driven by density costs (section \ref{sec:spatialeq}), while even a simple \gls{dmr} problem (section \ref{sec:firmsLoV}) proves so challenging? Both are using minimal rationality, able to know only `better' from ‘worse'. Similarly, why can the `transmission' model successfully use price signals to achieve its zero stock target, despite large-scale agent interaction, when in the \gls{dmr} model, just two Firms struggle?</w:t>
      </w:r>
    </w:p>
    <w:p w:rsidR="00FB3684" w:rsidRDefault="00FB3684" w:rsidP="00FB3684"/>
    <w:p w:rsidR="00FB3684" w:rsidRDefault="00FB3684" w:rsidP="00FB3684">
      <w:r>
        <w:t>Starting with the density cost approach: the assumption is that People react to generic land and congestion costs overall \emph{as if} facing a cost imposed by density. One actor, for example, may move to the edge of an agglomeration when costs become too high at the centre. This completely bypasses any market process – so none of the issues that arise in the \gls{dmr} model arise. It does mean the density cost approach cannot ask, `how do land patterns and price signals interact?' The question could be, instead, `how are people's rational location choices affected in the presence of proximity and congestion costs?' Density cost offers a simple approach by providing a `second nature' dispersing space cost, to see how that is traded off against other costs.</w:t>
      </w:r>
    </w:p>
    <w:p w:rsidR="00FB3684" w:rsidRDefault="00FB3684" w:rsidP="00FB3684"/>
    <w:p w:rsidR="00FB3684" w:rsidRDefault="00FB3684" w:rsidP="00FB3684">
      <w:r>
        <w:t>Real land markets \emph{do use} price signals; should land models aim for realism and do the same? If Friedman is right, the lack of price signals for land cannot be a basis for rejecting the density cost approach. For certain kinds of problem, it may well be ideal to avoid the full complication of land exchange mediated by price. This sort of simplification has not been a problem for urban economic models, happy to replace the process by the end equilibrium state, but as chapter \ref{chapter:ABM} discussed, \gls{abm} often seems `locked in' to the question, `how can it emerge through interaction?'</w:t>
      </w:r>
    </w:p>
    <w:p w:rsidR="00FB3684" w:rsidRDefault="00FB3684" w:rsidP="00FB3684"/>
    <w:p w:rsidR="00FB3684" w:rsidRDefault="00FB3684" w:rsidP="00FB3684">
      <w:r>
        <w:t>The fact that this question is avoided with density cost means Actors responding to it are not capable of making a `wrong' decision, as the \gls{dmr} Firms are. Whatever outcome they choose is guaranteed optimal \emph{</w:t>
      </w:r>
      <w:r w:rsidRPr="00611B31">
        <w:t>at that point</w:t>
      </w:r>
      <w:r>
        <w:t xml:space="preserve">}. The emergent outcome, which may be sub-optimal for some, is externalised to the landscape – it does not happen inside the Actors themselves but through an accretion of location decisions. As section \ref{sec:spatnotutileq} says, the result shows a path-dependent outcome: a spatial equilibrium will result, but some actors may have hold of a better location than others. On each Actors' turn, however, if no better location is available, no change happens: an equilibrium has been reached. </w:t>
      </w:r>
    </w:p>
    <w:p w:rsidR="00FB3684" w:rsidRDefault="00FB3684" w:rsidP="00FB3684">
      <w:r>
        <w:t xml:space="preserve">%It assumes Actors are not capable of making strategic choices: they are `forced' into taking the decision as if there were no scope for strategy, thus avoiding all complications of actor expectation. </w:t>
      </w:r>
    </w:p>
    <w:p w:rsidR="00FB3684" w:rsidRDefault="00FB3684" w:rsidP="00FB3684"/>
    <w:p w:rsidR="00FB3684" w:rsidRDefault="00FB3684" w:rsidP="00FB3684">
      <w:r>
        <w:t xml:space="preserve">In contrast, the \gls{dmr} scenario in section \ref{sec:firmsLoV} makes  Firms act, then wait to see how their action affected the world. It is set up to deliberately restrict Firms' knowledge in order to see how they cope with the need to react to a simple price signal. They have only one action capable of effecting change and must work out if it has helped or hindered their aim to maximise revenue. Each Firm faces a world with one other Firm in it, both of them competing for a finite pot of demand. In the space between turns, their data may have been affected by factors other than their own action. It was shown that their ability to interpret the data correctly is dependent on the effect other actors have on the datum they are using. </w:t>
      </w:r>
    </w:p>
    <w:p w:rsidR="00FB3684" w:rsidRDefault="00FB3684" w:rsidP="00FB3684"/>
    <w:p w:rsidR="00FB3684" w:rsidRDefault="00FB3684" w:rsidP="00FB3684">
      <w:r>
        <w:t>In the \gls{dmr} model game, market structure was shown to clearly play a large role in outcome: the average speed of Firms' success in winning the game they were made to play was dependent on both market signal noise levels and \gls{lov}. This is a point that zero-intelligence models make (discussed by \citealt{</w:t>
      </w:r>
      <w:r w:rsidRPr="00F63BBA">
        <w:t>ladley_effects_2007</w:t>
      </w:r>
      <w:r>
        <w:t xml:space="preserve">} p.5): to what extent does market structure or the design of market interaction determine outcome, rather than agent cognitive sophistication? Is there any way those Firms could be equipped with the necessary sophistication to solve their \gls{dmr} problem and maximise their chances of making successful interpretations of the data? </w:t>
      </w:r>
    </w:p>
    <w:p w:rsidR="00FB3684" w:rsidRDefault="00FB3684" w:rsidP="00FB3684"/>
    <w:p w:rsidR="00FB3684" w:rsidRDefault="00FB3684" w:rsidP="00FB3684">
      <w:r>
        <w:t>As that section discussed, the specific problem they were made to face was artificial: finding the optimal location is a relatively easy challenge and the Firms were deliberately made to attempt it using only one metric. The point of the exercise is to think about whether other price decisions are just as opaque. Is the uncertainty faced by firms irreducible? If so, as section \ref{sec:connecting} discussed, does success depend on some parallel to evolutionary fitness or merely to chance? If the former, Firms could be equipped with more sophisticated learning methods to solve the problem – the simplest of these being, as Leijonhufvud points out, learning ``</w:t>
      </w:r>
      <w:r w:rsidRPr="0019715E">
        <w:t>not to respond immediately to every l</w:t>
      </w:r>
      <w:r>
        <w:t>ittle tick in the market place'' (\citealt{leijonhufvud_agent-based_2006} p.1628)\footnote{In the case of the \gls{dmr} scenario, this was tried: taking an average of market response over time seemed unable to dampen the effect of noise.}.</w:t>
      </w:r>
    </w:p>
    <w:p w:rsidR="00FB3684" w:rsidRDefault="00FB3684" w:rsidP="00FB3684"/>
    <w:p w:rsidR="00FB3684" w:rsidRDefault="00FB3684" w:rsidP="00FB3684">
      <w:r>
        <w:t>Finally, the `transmission' model finds a way to allow coordination to take place via price signal. It is much more `granular' than in the \gls{dmr} scenario. A change in price to keep demand and production input equilibriating towards zero net stock happens on each and every action, whereas in the two-Firm game, all Actors have taken their action before Firms are again able to assess a change to their revenue. As section \ref{sec:dmr} discussed, it could be the difference between the two comes down just to that difference in the speed of signalling; it is closer to the cybernetic ideal of `intrinsic control' mentioned in section \ref{sec:dmr}.</w:t>
      </w:r>
    </w:p>
    <w:p w:rsidR="00FB3684" w:rsidRDefault="00FB3684" w:rsidP="00FB3684"/>
    <w:p w:rsidR="00FB3684" w:rsidRDefault="00FB3684" w:rsidP="00FB3684">
      <w:r>
        <w:t xml:space="preserve">The `transmission' model is able to connect production and welfare in a way that does not require the replacement of production-level economies of scale with a set of market structure arguments. Production itself \emph{can} change in output and location. Some economists might respond that is exactly why the model fails: the `tricks' needed to make it work might avoid the problem of market structure – but it is precisely market structure that needs addressing for a proper `general' answer to be given. </w:t>
      </w:r>
    </w:p>
    <w:p w:rsidR="00FB3684" w:rsidRDefault="00FB3684" w:rsidP="00FB3684"/>
    <w:p w:rsidR="00FB3684" w:rsidRDefault="00FB3684" w:rsidP="00FB3684">
      <w:r>
        <w:t xml:space="preserve">The problem of market structure still looms large. This thesis has – like \gls{ge} – tactically avoided issues of collusion and strategy. </w:t>
      </w:r>
    </w:p>
    <w:p w:rsidR="00FB3684" w:rsidRDefault="00FB3684" w:rsidP="00FB3684">
      <w:r>
        <w:t xml:space="preserve">I may not even have anything like Firms able to exploit their market position. The approach certainly offers scope for exploring the problem further, though nothing will change the fact that imperfect competition is an ocean of possible model approaches with the ocassional island of analytic purity dotted about. </w:t>
      </w:r>
    </w:p>
    <w:p w:rsidR="00FB3684" w:rsidRDefault="00FB3684" w:rsidP="00FB3684"/>
    <w:p w:rsidR="00FB3684" w:rsidRDefault="00FB3684" w:rsidP="00FB3684">
      <w:r>
        <w:t xml:space="preserve">A key lesson from all of these is that, using simple economic concepts, there are a wealth of problems to explore. The transparency of the concepts themselves makes the underlying complexities of market decision-making structure more accessible to reasoned inquiry. </w:t>
      </w:r>
    </w:p>
    <w:p w:rsidR="00FB3684" w:rsidRDefault="00FB3684" w:rsidP="00FB3684"/>
    <w:p w:rsidR="00FB3684" w:rsidRDefault="00FB3684" w:rsidP="00FB3684">
      <w:r>
        <w:t xml:space="preserve">%A rich seam of agent research in the places where complexity doesn't really go... </w:t>
      </w:r>
    </w:p>
    <w:p w:rsidR="00FB3684" w:rsidRDefault="00FB3684" w:rsidP="00FB3684">
      <w:r>
        <w:t>%Difference is between offline and online decision-making? Cf. transmission.</w:t>
      </w:r>
    </w:p>
    <w:p w:rsidR="00FB3684" w:rsidRDefault="00FB3684" w:rsidP="00FB3684">
      <w:pPr>
        <w:pStyle w:val="Heading1"/>
      </w:pPr>
      <w:r>
        <w:t>\section{Reality beckons}</w:t>
      </w:r>
    </w:p>
    <w:p w:rsidR="00FB3684" w:rsidRDefault="00FB3684" w:rsidP="00FB3684"/>
    <w:p w:rsidR="00FB3684" w:rsidRDefault="00FB3684" w:rsidP="00FB3684">
      <w:r>
        <w:t>Chapter \ref{chapter:ABM} quoted Friedman saying of theory-building:</w:t>
      </w:r>
    </w:p>
    <w:p w:rsidR="00FB3684" w:rsidRDefault="00FB3684" w:rsidP="00FB3684"/>
    <w:p w:rsidR="00FB3684" w:rsidRDefault="00FB3684" w:rsidP="00FB3684">
      <w:r>
        <w:t>\begin{quote}</w:t>
      </w:r>
    </w:p>
    <w:p w:rsidR="00FB3684" w:rsidRDefault="00FB3684" w:rsidP="00FB3684">
      <w:r>
        <w:t>``The objective is to construct a language that will be most fruitful in both clarifying thought and facilitating the discovery of substantive propositions.'' (\citealt{</w:t>
      </w:r>
      <w:r w:rsidRPr="008D43F1">
        <w:t>friedman_price_1962</w:t>
      </w:r>
      <w:r>
        <w:t>} p.8)</w:t>
      </w:r>
    </w:p>
    <w:p w:rsidR="00FB3684" w:rsidRDefault="00FB3684" w:rsidP="00FB3684">
      <w:r>
        <w:t>\end{quote}</w:t>
      </w:r>
    </w:p>
    <w:p w:rsidR="00FB3684" w:rsidRDefault="00FB3684" w:rsidP="00FB3684"/>
    <w:p w:rsidR="00FB3684" w:rsidRDefault="00FB3684" w:rsidP="00FB3684">
      <w:r>
        <w:t>Using a simiilar turn of phrase, in 1998 Krugman reflected on the state of \gls{ge}, suggesting that it -</w:t>
      </w:r>
    </w:p>
    <w:p w:rsidR="00FB3684" w:rsidRDefault="00FB3684" w:rsidP="00FB3684"/>
    <w:p w:rsidR="00FB3684" w:rsidRDefault="00FB3684" w:rsidP="00FB3684">
      <w:r>
        <w:t>\begin{quote}</w:t>
      </w:r>
    </w:p>
    <w:p w:rsidR="00FB3684" w:rsidRDefault="00FB3684" w:rsidP="00FB3684">
      <w:r>
        <w:t>``– has been more successful at raising questions than at answering them, better at creating a language with which to discuss issues than at creating the tools to resolve those discussions'' (\citealt{</w:t>
      </w:r>
      <w:r w:rsidRPr="003F7E23">
        <w:t>krugman_whats_1998</w:t>
      </w:r>
      <w:r>
        <w:t xml:space="preserve">} p.15-16). </w:t>
      </w:r>
    </w:p>
    <w:p w:rsidR="00FB3684" w:rsidRDefault="00FB3684" w:rsidP="00FB3684">
      <w:r>
        <w:t>\end{quote}</w:t>
      </w:r>
    </w:p>
    <w:p w:rsidR="00FB3684" w:rsidRDefault="00FB3684" w:rsidP="00FB3684">
      <w:r>
        <w:t>%</w:t>
      </w:r>
      <w:r w:rsidRPr="00D6480A">
        <w:t xml:space="preserve"> </w:t>
      </w:r>
      <w:r>
        <w:t>``At this point, then, the new economic geography –like its sister genre the new growth theory''</w:t>
      </w:r>
    </w:p>
    <w:p w:rsidR="00FB3684" w:rsidRDefault="00FB3684" w:rsidP="00FB3684"/>
    <w:p w:rsidR="00FB3684" w:rsidRDefault="00FB3684" w:rsidP="00FB3684">
      <w:r>
        <w:t>This chimes with a common criticism of neoclassical economics generally: it stands accused of creating ``</w:t>
      </w:r>
      <w:r w:rsidRPr="00B63CF4">
        <w:t>citadels of crystalline mathematical perfection that would shatter if touch</w:t>
      </w:r>
      <w:r>
        <w:t>ed by the harsh rays of reality'' (\citealt{</w:t>
      </w:r>
      <w:r w:rsidRPr="00B63CF4">
        <w:t>ball_social_2007</w:t>
      </w:r>
      <w:r>
        <w:t xml:space="preserve">} p.647). \gls{abm}'s purported ability to deal with the `messy' reality of real human behaviour (ibid) in a more `realistic' way has been the driving force for a massive amount of modelling effort. This thesis has suggested these criticisms may have been misplaced, and that agent modelling has fallen into just the `descriptive realism' trap that Friedman outlined so well in the 1950s. </w:t>
      </w:r>
    </w:p>
    <w:p w:rsidR="00FB3684" w:rsidRDefault="00FB3684" w:rsidP="00FB3684"/>
    <w:p w:rsidR="00FB3684" w:rsidRDefault="00FB3684" w:rsidP="00FB3684">
      <w:r>
        <w:t xml:space="preserve">The thesis models, however, have been more about the `tautologous filing system' than substantive propositions - like Krugman's quote, better at raising questions than answering them. Reality still beckons. For quite different reasons, both \gls{ge} and \gls{abm} have struggled with this issue. \gls{abm} because of an over-enthusiastic commitment to descriptive mapping, made worse by the ability of agents to seemingly sit astride the boundary of theoretic and applied modelling; \gls{ge} because of its rigidity. </w:t>
      </w:r>
    </w:p>
    <w:p w:rsidR="00FB3684" w:rsidRDefault="00FB3684" w:rsidP="00FB3684"/>
    <w:p w:rsidR="00FB3684" w:rsidRPr="00D2705F" w:rsidRDefault="00FB3684" w:rsidP="00FB3684">
      <w:r>
        <w:t>Bringing models to reality is often done through a basic requirement for structural parameters that have real-world counterparts, enabling direct model testing from data. So, for example, Bosker \emph{et al.} (\citeyear{</w:t>
      </w:r>
      <w:r w:rsidRPr="00C60CEB">
        <w:t>bosker_adding_2010</w:t>
      </w:r>
      <w:r>
        <w:t>} p.811) seek out empirical counterparts for the \gls{coremodel}'s main variables. Zonal gravity models can map directly to real-world zone data. But the importance of theoretical work is in part as a source of new ideas on what sort of structural parameters might be important. This is the ultimate success of a good theory – making `substantive hypotheses' that propose new `ontological predictions' (section \ref{sec:prediction}) that suggest new places to look for real-world data, or new ways to examine existing information. Assuming all structural parameters to begin with can dampen that sort of discovery. That is absolutely necessary for applied models, but potentially ossifying for theoretic models.</w:t>
      </w:r>
    </w:p>
    <w:p w:rsidR="00FB3684" w:rsidRDefault="00FB3684" w:rsidP="00FB3684"/>
    <w:p w:rsidR="00FB3684" w:rsidRDefault="00FB3684" w:rsidP="00FB3684">
      <w:r>
        <w:t xml:space="preserve">%For the purposes of this thesis, the model work has been a success: in Friedman's terms, it has been `fruitful in clarifying thought'. </w:t>
      </w:r>
    </w:p>
    <w:p w:rsidR="00FB3684" w:rsidRDefault="00FB3684" w:rsidP="00FB3684">
      <w:r>
        <w:t xml:space="preserve">Though it is tempting to present any model as the inevitable outcome of a systematic plan, this misses the essential point about the model development process itself – a point that mirrors the difference between building virtual worlds and engines of analysis. The model is not the understanding, it is a tool to develop understanding. </w:t>
      </w:r>
    </w:p>
    <w:p w:rsidR="00FB3684" w:rsidRDefault="00FB3684" w:rsidP="00FB3684"/>
    <w:p w:rsidR="00FB3684" w:rsidRDefault="00FB3684" w:rsidP="00FB3684">
      <w:pPr>
        <w:pStyle w:val="Heading1"/>
      </w:pPr>
      <w:r>
        <w:t>\section{Combining agents with economics \label{sec:agentsnecons}}</w:t>
      </w:r>
    </w:p>
    <w:p w:rsidR="00FB3684" w:rsidRDefault="00FB3684" w:rsidP="00FB3684"/>
    <w:p w:rsidR="00FB3684" w:rsidRDefault="00FB3684" w:rsidP="00FB3684">
      <w:r>
        <w:t xml:space="preserve">This thesis has used a set of micro-economic tools to enable Actors to react to cost changes in defined, consistent ways. These have been combined with simple mathematical ways to define the cost of moving goods and people across space that fit into the cost elements required by those micro-economic tools. By also enabling them to compare the costs and benefits to a set of different locations, those Actors have been able to optimise both cost and location. They have done this facing their own unique set of costs, both in partial, interactive and general scenarios. </w:t>
      </w:r>
    </w:p>
    <w:p w:rsidR="00FB3684" w:rsidRDefault="00FB3684" w:rsidP="00FB3684"/>
    <w:p w:rsidR="00FB3684" w:rsidRDefault="00FB3684" w:rsidP="00FB3684">
      <w:r>
        <w:t>Combining \gls{abm} and analytic methods effectively was achieved by building an agent model from the ground up and working through problems and issues as they arose. These issues led directly to many of the subjects discussed in this thesis. Fowler found during the process of developing his agent model that analytic choices made to gain tractability can ``actually make the problem less tractable'' in an agent setting (\citealt{</w:t>
      </w:r>
      <w:r w:rsidRPr="00A918B9">
        <w:t>fowler_taking_2007</w:t>
      </w:r>
      <w:r>
        <w:t xml:space="preserve">} p.283). For this thesis, an example would be the difference in approaches to economies of scale. Fixed and marginal requirements for production make sense in an algebraic setting, where a variable for each can be manipulated. Getting that to work in an agent model is not necessarily an insurmountable problem, but as section \ref{sec:blindvsrational} explored, it presents quite specific timing and decision problems that using a `smooth' production function does not. </w:t>
      </w:r>
    </w:p>
    <w:p w:rsidR="00FB3684" w:rsidRDefault="00FB3684" w:rsidP="00FB3684"/>
    <w:p w:rsidR="00FB3684" w:rsidRDefault="00FB3684" w:rsidP="00FB3684">
      <w:r>
        <w:t>Many of the usual dynamics associated with \gls{cas} theory have been absent. For example, while the random order of action may determine \emph{which} Actor can occupy a higher utility position in a density cost model, the aggregate picture was not sensitive to initial conditions. Adaptive behaviour was not the subject of inquiry. The thesis started by saying that \gls{cas} theory is an incredibly powerful set of ideas, and that is true, but these results also suggest \gls{abm} has uses for examining more mundane aggregate outcomes in the presence of heterogeneity.</w:t>
      </w:r>
    </w:p>
    <w:p w:rsidR="00FB3684" w:rsidRDefault="00FB3684" w:rsidP="00FB3684"/>
    <w:p w:rsidR="00FB3684" w:rsidRDefault="00FB3684" w:rsidP="00FB3684">
      <w:r>
        <w:t xml:space="preserve">As chapter \ref{chapter:ABM} argued, \gls{cas} theory as applied to agent modelling has tended also to privilege the Hayekian research agenda: to ``show how a solution is produced by the interactions of people each of whom possesses only partial knowledge'' (\citealt{hayek_use_1945}). Epstein's `generative' modelling philosophy was presented as a particularly strong example of this. Such an approach offers quite specific research questions. For example, the `transmission' model could be posed as an answer to the `coordination problem'. That is: can many agents, through price signals, coordinate to produce an optimal production level that maximises welfare? But a different question can be asked: what is the spatial and welfare outcome in a model with economies of scale, if space costs change? Section \ref{sec:lovprodsetup} offered an answer: actors find a path between discrete production outcomes, either spreading production out or relying on increasing returns from a small number of producers. In an agent context, the coordination question arises due to the nature of the modelling method – but that does not make it the default question to be asked. If there are ways round having to solve it, there may be good reasons to do so. From this point of view, it could be argued, \gls{abm} has a major drawback as a modelling paradigm: precisely that coordination needs so explicitly addressing (or avoiding, as with the density cost approach to land) before any research questions can be addressed. </w:t>
      </w:r>
    </w:p>
    <w:p w:rsidR="00FB3684" w:rsidRDefault="00FB3684" w:rsidP="00FB3684"/>
    <w:p w:rsidR="00FB3684" w:rsidRDefault="00FB3684" w:rsidP="00FB3684">
      <w:r>
        <w:t>Might it be that all these coordination-related problems are a huge distraction from the central problems of spatial economics? Should \gls{abm} models stick to questions of emergence, of studying the result of many interacting components? What is to be gained by disaggregating in the way this thesis has done? The answer is the same as for any modelling method: the costs and benefits of use must be considered, given the goals. For the thesis, \gls{abm} has offered a highly valuable flexibility for exploring fundamental space-cost issues. This approach has worked well in tandem with analytic approaches. As methods, the two can help support each other – and help support the researcher in testing ideas and finding new avenues to explore.</w:t>
      </w:r>
    </w:p>
    <w:p w:rsidR="00FB3684" w:rsidRDefault="00FB3684" w:rsidP="00FB3684"/>
    <w:p w:rsidR="00FB3684" w:rsidRDefault="00FB3684" w:rsidP="00FB3684">
      <w:r>
        <w:t>Overall, then, the model has used a mix of different assumptions. The use of density cost has been discussed in detail in the conclusion above: this method was asked to stand in for the messy complexities of price-based land market interactions, as well as more intangible `congestion costs'. The \gls{ces} function is another key assumption, discussed below. But the most important is, of course, utility. Chapter \ref{chapter:ABM} spent some time exploring critiques of utility. It also discussed how there was some confusion over the `level' that utility should be applied at, whether assumptions like the \gls{repag} could lead to problems, and whether the fact that people are not, actually, utility-maximisers means it should be avoided in agent models. The framework presented has demonstrated at the very least that rational spatial outcomes can result from the interaction of many agents given utility functions. It has been able to deal with the imposition of heterogeneity that spatial location introduces: actors in different places will face differing costs, and this will in part determine their optimal location choices. It has been argued that there is no need to appeal to psychological plausibility: to the extent that people will react to space cost changes consistently, treating agents as utility-maximisers is useful.</w:t>
      </w:r>
    </w:p>
    <w:p w:rsidR="00FB3684" w:rsidRDefault="00FB3684" w:rsidP="00FB3684"/>
    <w:p w:rsidR="00FB3684" w:rsidRDefault="00FB3684" w:rsidP="00FB3684">
      <w:r>
        <w:t>One analytic tool in particular, the \gls{ces} function, proves the value of combining methods. It has been an indispensable `Swiss-army knife' for simplifying model dynamics: an `as if' proxy for much more complex processes. The consumption of $n$ goods through a \gls{ces} utility function is, of course, unrealistic. It subsumes a whole collection of processes that would, in reality, have to take place for such diverse bundles to be assembled. People do not need to travel to `fetch' each good; because of this, all route complexities are bypassed. Nor are People required to find a marketplace to buy them. They face no uncertainty in their space search: prices of all goods are known, regardless of distance. But in Feynman's terms, being in a framework that allows the \gls{ces} approach to be true does not mean being ignorant of the messy reality it is being asked to summarise.</w:t>
      </w:r>
      <w:r w:rsidRPr="00831531">
        <w:t xml:space="preserve"> </w:t>
      </w:r>
      <w:r>
        <w:t>As a method for approaching the problem of space-costs using a relatively simple set of assumptions, it has proved invaluable.</w:t>
      </w:r>
    </w:p>
    <w:p w:rsidR="00FB3684" w:rsidRDefault="00FB3684" w:rsidP="00FB3684"/>
    <w:p w:rsidR="00FB3684" w:rsidRDefault="00FB3684" w:rsidP="00FB3684">
      <w:pPr>
        <w:pStyle w:val="Heading1"/>
      </w:pPr>
      <w:r>
        <w:t>\section{Future work and concluding comments}</w:t>
      </w:r>
    </w:p>
    <w:p w:rsidR="00FB3684" w:rsidRDefault="00FB3684" w:rsidP="00FB3684"/>
    <w:p w:rsidR="00FB3684" w:rsidRDefault="00FB3684" w:rsidP="00FB3684">
      <w:r>
        <w:t xml:space="preserve">What happens when space costs change? This simple question raises a Byzantine array of possible answers, some of which this thesis has presented. Extant approaches have been discussed; it has been argued these tend to either lack any spatial component, or be very much applied work – and thus partial by definition. As section \ref{sec:appliedvstheory} outlined, applied theory must take key elements of reality as fixed, as much of transport economics and operations research does. </w:t>
      </w:r>
    </w:p>
    <w:p w:rsidR="00FB3684" w:rsidRDefault="00FB3684" w:rsidP="00FB3684"/>
    <w:p w:rsidR="00FB3684" w:rsidRDefault="00FB3684" w:rsidP="00FB3684">
      <w:r>
        <w:t>Starting to work out what difference changes in space costs actually make would require coming at the problem from two directions. The first would be a much more fine-grained, data-driven attack on reality. Chapter \ref{chapter:spaceconceptsintro} took a broad overview; what are the details? The second would be a continual improvement in modelling approaches and understanding of its role in developing both the intuition of researchers and its scope for `ontological prediction' – that is, finding ways of seeing the reality of spatial economics that had perhaps not been apparent previously.</w:t>
      </w:r>
    </w:p>
    <w:p w:rsidR="00FB3684" w:rsidRDefault="00FB3684" w:rsidP="00FB3684"/>
    <w:p w:rsidR="00FB3684" w:rsidRDefault="00FB3684" w:rsidP="00FB3684">
      <w:r>
        <w:t xml:space="preserve">The question is multi-faceted, and this thesis' favourite Friedman quote applies: `everything depends on the problem'. Two promising facets are as follows. Firstly, there is scope for taking up Haggett \emph{et al.}'s challenge of further developing a `comprehensive model of route development' (\citealt{haggett_locational_1977} p.95) capable of incorporating actors' response to cost changes, and some generic way to understand how interests shape network outcomes. Secondly, this thesis' simple approach to production functions is a vital next step. Only a single input into production has been considered. In the thesis model, Firms have not been capable of combining inputs in any way: doing so is essential to understanding how `the effect of wealth increases on the distribution of expenditures' (Zimmerman) and production morphology interact. </w:t>
      </w:r>
    </w:p>
    <w:p w:rsidR="00FB3684" w:rsidRDefault="00FB3684" w:rsidP="00FB3684"/>
    <w:p w:rsidR="00FB3684" w:rsidRDefault="00FB3684" w:rsidP="00FB3684">
      <w:r>
        <w:t>Food production and consumption is a fascinating case study in that respect: the shift in agricultural production is a quintessential `Engel's law' dynamic (\citealt{zimmerman_ernst_1932}; \citealt{murata_rural-urban_2002}; \citealt{murata_engels_2008}), where an increase in overall wealth leads to a drop in the percentage of revenue going into food production. In terms of production morphology, that dynamic masks a complex process where the changing opportunity costs of time have moved food processing out of the `productive unit' of the household (see e.g. \citealt{</w:t>
      </w:r>
      <w:r w:rsidRPr="00662367">
        <w:t>taylor_agricultural_2003</w:t>
      </w:r>
      <w:r>
        <w:t xml:space="preserve">}), slowly `outsourcing' more elements of food processing into the marketplace. The morphology of food production, then, has </w:t>
      </w:r>
      <w:r w:rsidRPr="00682BC2">
        <w:t>change</w:t>
      </w:r>
      <w:r>
        <w:t>d</w:t>
      </w:r>
      <w:r w:rsidRPr="00682BC2">
        <w:t xml:space="preserve"> </w:t>
      </w:r>
      <w:r>
        <w:t>`</w:t>
      </w:r>
      <w:r w:rsidRPr="00682BC2">
        <w:t>from field to fork</w:t>
      </w:r>
      <w:r>
        <w:t>'. The problem is a difficult one, however, precisely because those changes are not isolated within any one, neatly definable sector.</w:t>
      </w:r>
    </w:p>
    <w:p w:rsidR="00FB3684" w:rsidRDefault="00FB3684" w:rsidP="00FB3684"/>
    <w:p w:rsidR="00FB3684" w:rsidRDefault="00FB3684" w:rsidP="00FB3684">
      <w:r>
        <w:t>The `transition' literature mentioned in the introduction has a large bias towards food: a burgeoning literature on `alternative food networks' has developed, in which by and large `</w:t>
      </w:r>
      <w:r w:rsidRPr="00EB7E5D">
        <w:t xml:space="preserve">alternative </w:t>
      </w:r>
      <w:r>
        <w:t>equals</w:t>
      </w:r>
      <w:r w:rsidRPr="00EB7E5D">
        <w:t xml:space="preserve"> good / conventional </w:t>
      </w:r>
      <w:r>
        <w:t>equals</w:t>
      </w:r>
      <w:r w:rsidRPr="00EB7E5D">
        <w:t xml:space="preserve"> bad</w:t>
      </w:r>
      <w:r>
        <w:t>' (\citealt{</w:t>
      </w:r>
      <w:r w:rsidRPr="00A1538B">
        <w:t>penker_mapping_2006</w:t>
      </w:r>
      <w:r>
        <w:t xml:space="preserve">} p.377). The underlying rationale for recommending localising these networks is a common-sense view that as increase in fuel prices (either due to peak oil or a carbon price) will make the primary need for food (and the localisation of other key non-food activities as far as possible) over-ride all other economic considerations. The economic case for this common-sense view is unproven; most extant theories say it is wrong. But equally, this thesis suggests there is no clear refutation of it either, if one considers space cost change in the round. </w:t>
      </w:r>
    </w:p>
    <w:p w:rsidR="00FB3684" w:rsidRDefault="00FB3684" w:rsidP="00FB3684"/>
    <w:p w:rsidR="00FB3684" w:rsidRDefault="00FB3684" w:rsidP="00FB3684">
      <w:r>
        <w:t>Though many approaches exist able to say important things about aspects of the problem, given what has been discussed in this thesis, it is understandable that many economic geography researchers are skeptical of both economic and agent-based methods, if spatial economic approaches simply ignore problems beyond their `streetlight'. It is unlikely any one theoretical approach will offer definitive answers and as Isard says, ``formal theory, in and of itself, is highly unsatisfactory, too general and accordingly too sterile'' (\citealt{</w:t>
      </w:r>
      <w:r w:rsidRPr="009E34BE">
        <w:t>isard_location_195</w:t>
      </w:r>
      <w:r>
        <w:t xml:space="preserve">6} p.36). The tendency to disappear into virtual worlds, rather than find ways to use theory as an `engine of analysis', must be fought. </w:t>
      </w:r>
    </w:p>
    <w:p w:rsidR="00FB3684" w:rsidRDefault="00FB3684" w:rsidP="00FB3684"/>
    <w:p w:rsidR="00FB3684" w:rsidRDefault="00FB3684" w:rsidP="00FB3684">
      <w:r>
        <w:t>Complex shifts in production structure, altering forward and backward linkages (to use Marshall's language), are a likely consequence of changes in space costs over time. The full problem of modelling the Jacobs-like `tangled bank' (\citealt{</w:t>
      </w:r>
      <w:r w:rsidRPr="00AC3E68">
        <w:t>ellerman_jane_2002</w:t>
      </w:r>
      <w:r>
        <w:t>} p.6) of connections between between productive units can be imagined as a mesh of differing input and output elasticities. Any logical journey to make a model capable of examining this would need to make strategic simplifications of its own, but it may well be some approach using a \gls{ces} function could achieve that goal in a generic way. In this thesis, time has been reduced to space, and all decisions forced to take place during one model iteration. The reality of time (discussed in chapter \ref{chapter:spaceconceptsintro}) is much more complex. Are there simplifications that can be made to keep this problem tractable when moving towards a more `tangled bank' model, or are more complex timing relations required?</w:t>
      </w:r>
    </w:p>
    <w:p w:rsidR="00FB3684" w:rsidRDefault="00FB3684" w:rsidP="00FB3684"/>
    <w:p w:rsidR="00FB3684" w:rsidRDefault="00FB3684" w:rsidP="00FB3684">
      <w:r>
        <w:t>Is it possible to use input-output frameworks to model changes in morphology in this `tangled bank?' Is it possible to understand its relation to fundamental `primary sector' production and each following stage? The problem is in combining the fact that ``all products are simultaneously inputs to some organisations and outputs from others'' (\citealt{</w:t>
      </w:r>
      <w:r w:rsidRPr="000D48AA">
        <w:t>birkin_industrial_1986</w:t>
      </w:r>
      <w:r>
        <w:t>} p.176)  with how cost changes may affect the long-term location choices of actors, and (as mentioned above) the infrastructure development they must work with. Chapter \ref{</w:t>
      </w:r>
      <w:r w:rsidRPr="00911426">
        <w:t>chapter:</w:t>
      </w:r>
      <w:r>
        <w:t>intro} mentioned the work of Kerschner and Hubacek (\citeyear{kerschner_assessing_2009}) examining the effect of oil cost change in an input-output framework but such approaches are bound both by rigid categories and an inability to conceptualise geographical change. This is something Jacobs was particularly critical of: in theorising how production morphology developed, she argued that:</w:t>
      </w:r>
    </w:p>
    <w:p w:rsidR="00FB3684" w:rsidRDefault="00FB3684" w:rsidP="00FB3684"/>
    <w:p w:rsidR="00FB3684" w:rsidRDefault="00FB3684" w:rsidP="00FB3684">
      <w:r>
        <w:t>\begin{quote}</w:t>
      </w:r>
    </w:p>
    <w:p w:rsidR="00FB3684" w:rsidRDefault="00FB3684" w:rsidP="00FB3684">
      <w:r>
        <w:t>``The point is that when new work is added to older work, the addition often cuts ruthlessly across categories of work, no matter how one may analyse the categories. Only in stagnant economies does work stay docilely within given categories'' (\citealt{</w:t>
      </w:r>
      <w:r w:rsidRPr="001209EB">
        <w:t>jacobs_economy_1970</w:t>
      </w:r>
      <w:r>
        <w:t>} p.62).</w:t>
      </w:r>
    </w:p>
    <w:p w:rsidR="00FB3684" w:rsidRDefault="00FB3684" w:rsidP="00FB3684">
      <w:r>
        <w:t>\end{quote}</w:t>
      </w:r>
    </w:p>
    <w:p w:rsidR="00FB3684" w:rsidRDefault="00FB3684" w:rsidP="00FB3684">
      <w:r>
        <w:t>%She has a dig at economic planning, zoning, unions:</w:t>
      </w:r>
    </w:p>
    <w:p w:rsidR="00FB3684" w:rsidRDefault="00FB3684" w:rsidP="00FB3684"/>
    <w:p w:rsidR="00FB3684" w:rsidRDefault="00FB3684" w:rsidP="00FB3684">
      <w:r>
        <w:t>If she is right, the kind of categorisation methods used to collect data for input-output models will struggle with modelling change. While Jacobs' absolutism would appear to rule out data collection altogether, the kind of analysis carried out by Kerschner and Hubacek clearly helps to develop understanding of how different economic sectors are stressed by space cost change. But can generic methods be developed, parallel to the flexibility of the \gls{ces} function, able to model changes in input-output in a fluid way? Such an approach could look towards other generic approaches to product differentiation such as that developed by Lancaster (\citeyear{</w:t>
      </w:r>
      <w:r w:rsidRPr="00321D2A">
        <w:t>lancaster_socially_1975</w:t>
      </w:r>
      <w:r>
        <w:t>}), where good are distinguished by their distance in something akin to a `characteristics space', rather than the generic, across-the-board \gls{lov} used in this thesis.</w:t>
      </w:r>
    </w:p>
    <w:p w:rsidR="00FB3684" w:rsidRDefault="00FB3684" w:rsidP="00FB3684"/>
    <w:p w:rsidR="00FB3684" w:rsidRDefault="00FB3684" w:rsidP="00FB3684">
      <w:r>
        <w:t>Agent modelling could be ideal: as this thesis has demonstrated, spatial economic agents are capable of producing robust rational outcomes in a flexible way. They could perhaps be particularly well-suited to the kind of change just described – not in creating complex, descriptive simulacra, but in using generic micro-economic ideas to study shifts in morphology.</w:t>
      </w:r>
    </w:p>
    <w:p w:rsidR="00FB3684" w:rsidRDefault="00FB3684" w:rsidP="00FB3684"/>
    <w:p w:rsidR="00FB3684" w:rsidRDefault="00FB3684" w:rsidP="00FB3684">
      <w:r>
        <w:t xml:space="preserve">Section \ref{sec:CESloc} gave a simple example of how space cost change can produce a jump between discrete outcomes. In that case, if those costs are low enough, the marginal utility-maximising outcome is a completely different spatial outcome. This naturally presents the question: what sort of radical changes in morphology potentially exist in reality? The `transition' literature's take suggests </w:t>
      </w:r>
      <w:r w:rsidRPr="00526D42">
        <w:t xml:space="preserve">cheap energy </w:t>
      </w:r>
      <w:r>
        <w:t xml:space="preserve">is </w:t>
      </w:r>
      <w:r w:rsidRPr="00526D42">
        <w:t xml:space="preserve">a prerequisite for </w:t>
      </w:r>
      <w:r>
        <w:t xml:space="preserve">the existing industrial </w:t>
      </w:r>
      <w:r w:rsidRPr="00526D42">
        <w:t>food network morphology</w:t>
      </w:r>
      <w:r>
        <w:t>. T</w:t>
      </w:r>
      <w:r w:rsidRPr="00526D42">
        <w:t xml:space="preserve">he extreme version </w:t>
      </w:r>
      <w:r>
        <w:t xml:space="preserve">of this is that </w:t>
      </w:r>
      <w:r w:rsidRPr="00526D42">
        <w:t xml:space="preserve">we </w:t>
      </w:r>
      <w:r>
        <w:t>`</w:t>
      </w:r>
      <w:r w:rsidRPr="00526D42">
        <w:t xml:space="preserve">eat </w:t>
      </w:r>
      <w:r>
        <w:t xml:space="preserve">fossil fuels' </w:t>
      </w:r>
      <w:r w:rsidRPr="00526D42">
        <w:t xml:space="preserve">and </w:t>
      </w:r>
      <w:r>
        <w:t>as the cost of those goes up</w:t>
      </w:r>
      <w:r w:rsidRPr="00526D42">
        <w:t xml:space="preserve">, </w:t>
      </w:r>
      <w:r>
        <w:t>that industrial system will not survive. Kerschner and Hubacek's examination of the data says exactly the opposite: the agricultural sector is one of the \emph{least} vulnerable to oil cost change. This lack of agreements suggests there is some way to go before a full understanding of changes in morphology can exist, but it also hints that modelling and data-driven analyses can offer answers quite at odds with common-sense empirical understandings.</w:t>
      </w:r>
    </w:p>
    <w:p w:rsidR="00FB3684" w:rsidRDefault="00FB3684" w:rsidP="00FB3684"/>
    <w:p w:rsidR="00FB3684" w:rsidRDefault="00FB3684" w:rsidP="00FB3684">
      <w:r>
        <w:t xml:space="preserve">Any such approach can never hope to capture the fundamental creativity of development and the profound structural changes that result. The development of the internet is a recent example: perhaps the economic equivalent of the development of the backbone. But, again, any model should not be asked to stand in as a virtual world, only help as an engine of analysis. </w:t>
      </w:r>
    </w:p>
    <w:p w:rsidR="00FB3684" w:rsidRDefault="00FB3684" w:rsidP="00FB3684"/>
    <w:p w:rsidR="00FB3684" w:rsidRDefault="00FB3684" w:rsidP="00FB3684">
      <w:r>
        <w:t>As Lucas says (section \ref{sec:ABMintro}), economics means `programming robot imitations of people'. No modelling analysis will be able to `solve' the problem of optimal production given changing space costs. What modelling \emph{should} offer is a way to think through assumptions and develop new, informed intuitions. As Marshall put it:</w:t>
      </w:r>
    </w:p>
    <w:p w:rsidR="00FB3684" w:rsidRDefault="00FB3684" w:rsidP="00FB3684"/>
    <w:p w:rsidR="00FB3684" w:rsidRDefault="00FB3684" w:rsidP="00FB3684">
      <w:r>
        <w:t>\begin{quote}</w:t>
      </w:r>
    </w:p>
    <w:p w:rsidR="00FB3684" w:rsidRDefault="00FB3684" w:rsidP="00FB3684">
      <w:r>
        <w:t>``Economic laws and reasonings in fact are merely a part of the material of which conscience and common-sense have to make use in solving practical problems, and in laying down rules which may be a guide to life.'' (\citealt{</w:t>
      </w:r>
      <w:r w:rsidRPr="003479FB">
        <w:t>marshall_principles_1895</w:t>
      </w:r>
      <w:r>
        <w:t>} p.x)</w:t>
      </w:r>
    </w:p>
    <w:p w:rsidR="00FB3684" w:rsidRDefault="00FB3684" w:rsidP="00FB3684">
      <w:r>
        <w:t>\end{quote}</w:t>
      </w:r>
    </w:p>
    <w:p w:rsidR="00FB3684" w:rsidRPr="00D86068" w:rsidRDefault="00FB3684" w:rsidP="00FB3684"/>
    <w:p w:rsidR="00FB3684" w:rsidRDefault="00FB3684" w:rsidP="00FB3684">
      <w:pPr>
        <w:pStyle w:val="Heading1"/>
      </w:pPr>
      <w:r>
        <w:t>%%cuttinz</w:t>
      </w:r>
    </w:p>
    <w:p w:rsidR="00FB3684" w:rsidRDefault="00FB3684" w:rsidP="00FB3684">
      <w:r>
        <w:t>%</w:t>
      </w:r>
      <w:r w:rsidRPr="00EB7E5D">
        <w:t xml:space="preserve">But as </w:t>
      </w:r>
      <w:smartTag w:uri="urn:schemas-microsoft-com:office:smarttags" w:element="place">
        <w:smartTag w:uri="urn:schemas-microsoft-com:office:smarttags" w:element="City">
          <w:r w:rsidRPr="00EB7E5D">
            <w:t>Wilson</w:t>
          </w:r>
        </w:smartTag>
      </w:smartTag>
      <w:r w:rsidRPr="00EB7E5D">
        <w:t xml:space="preserve"> argues, the </w:t>
      </w:r>
      <w:r>
        <w:t>``</w:t>
      </w:r>
      <w:r w:rsidRPr="00EB7E5D">
        <w:t>holy grail of Friedmanite predictive power goes largely unvalidated when compared to the culture of replicability in the physical sciences</w:t>
      </w:r>
      <w:r>
        <w:t>''</w:t>
      </w:r>
      <w:r w:rsidRPr="00EB7E5D">
        <w:t xml:space="preserve"> </w:t>
      </w:r>
    </w:p>
    <w:p w:rsidR="00FB3684" w:rsidRDefault="00FB3684" w:rsidP="00FB3684">
      <w:r>
        <w:t>%(\citealt{</w:t>
      </w:r>
      <w:r w:rsidRPr="00B70426">
        <w:t>wilson_social_2000</w:t>
      </w:r>
      <w:r>
        <w:t>} p.1)</w:t>
      </w:r>
    </w:p>
    <w:p w:rsidR="00FB3684" w:rsidRDefault="00FB3684" w:rsidP="00FB3684">
      <w:r>
        <w:t>%Should also note the many ways density cost can be tweaked (e.g. on what element of the model values it ends up being imposed; it's currently a `flat tax', so higher wages make density costs more affordable.)</w:t>
      </w:r>
    </w:p>
    <w:p w:rsidR="00FB3684" w:rsidRDefault="00FB3684" w:rsidP="00FB3684">
      <w:r>
        <w:t>A world where space no longer matters is science fiction. Indeed, Chapman imagines something like that, where Star Trek's teleporters are the norm: ``the universal availability of the kind of technology at the disposal of the Star-trekkers would transform these [spatial] relationships by effectively nullifying the role of distance as an obstacle to movement between one place and another.'' (\citealt{chapman} p.1)</w:t>
      </w:r>
    </w:p>
    <w:p w:rsidR="00FB3684" w:rsidRDefault="00FB3684" w:rsidP="00FB3684">
      <w:r w:rsidRPr="00682BC2">
        <w:t>how; and how this will map to the spatial economy. The model combines agent-based and formal approaches. Methods from geographical economics are used, as they take account of the overall shape of the economy. For example, what is the relative size of the food production sector? The answer influences food network morphology due to changes in people</w:t>
      </w:r>
      <w:r>
        <w:t>'</w:t>
      </w:r>
      <w:r w:rsidRPr="00682BC2">
        <w:t>s tastes as they become wealthier.</w:t>
      </w:r>
    </w:p>
    <w:p w:rsidR="00FB3684" w:rsidRDefault="00FB3684" w:rsidP="00FB3684"/>
    <w:p w:rsidR="00FB3684" w:rsidRDefault="00FB3684" w:rsidP="00FB3684">
      <w:r>
        <w:t>``Perfect competition is, of course, an oxymoron, since it is a case of no competition whatsoever between firms.'' (\citealt{</w:t>
      </w:r>
      <w:r w:rsidRPr="00547740">
        <w:t>blaug_trade-off_2009</w:t>
      </w:r>
      <w:r>
        <w:t>} p.223) Harsh!</w:t>
      </w:r>
    </w:p>
    <w:p w:rsidR="00FB3684" w:rsidRDefault="00FB3684" w:rsidP="00FB3684">
      <w:r>
        <w:t>As Isard puts it:</w:t>
      </w:r>
    </w:p>
    <w:p w:rsidR="00FB3684" w:rsidRDefault="00FB3684" w:rsidP="00FB3684"/>
    <w:p w:rsidR="00FB3684" w:rsidRDefault="00FB3684" w:rsidP="00FB3684">
      <w:r>
        <w:t>``the space economy [is] assumed to operate under a set of conditions customarily postulated by the economists. To the same extent that the postulates are unacceptable to the reader, the ensuing analysis will be devoid of significance.'' (\citealt{</w:t>
      </w:r>
      <w:r w:rsidRPr="000F5705">
        <w:t>isard_location_1956</w:t>
      </w:r>
      <w:r>
        <w:t>} p.221)</w:t>
      </w:r>
    </w:p>
    <w:p w:rsidR="00FB3684" w:rsidRDefault="00FB3684" w:rsidP="00FB3684"/>
    <w:p w:rsidR="00FB3684" w:rsidRDefault="00FB3684" w:rsidP="00FB3684">
      <w:r>
        <w:t>The first, obvious difference is this: the spatial equilibrium outcome works with a \emph{proxy} of `real' land costs. It does not model any of the price interactions of a land market, or the time costs associated with congestion. Any such attempt at a more realistic land market becomes much more akin to Firms' \gls{dmr} problem – and consequently more troublesome.</w:t>
      </w:r>
    </w:p>
    <w:p w:rsidR="00FB3684" w:rsidRDefault="00FB3684" w:rsidP="00FB3684">
      <w:r>
        <w:t>In fact, all it does is provide an externality, albeit a specific one: intensity of actor numbers has a negative effect on income.</w:t>
      </w:r>
    </w:p>
    <w:p w:rsidR="00FB3684" w:rsidRDefault="00FB3684" w:rsidP="00FB3684">
      <w:r>
        <w:t>One argument would be: the model is faulty because Firms are not cognitively sophisticated enough. But if that is the case, what distinguishes this model from other interative dynamics that \emph{do} succeed in producing stable global outcomes?</w:t>
      </w:r>
    </w:p>
    <w:p w:rsidR="00FB3684" w:rsidRDefault="00FB3684" w:rsidP="00FB3684">
      <w:r>
        <w:t xml:space="preserve">Then the final example, the transmission model. One that succeeds at its particular job – but </w:t>
      </w:r>
      <w:r w:rsidRPr="00173DC6">
        <w:rPr>
          <w:b/>
        </w:rPr>
        <w:t>how?</w:t>
      </w:r>
      <w:r>
        <w:t xml:space="preserve"> Through a bunch of simplifications. </w:t>
      </w:r>
    </w:p>
    <w:p w:rsidR="00FB3684" w:rsidRDefault="00FB3684" w:rsidP="00FB3684">
      <w:r>
        <w:t>Actually that should lead nicely into the `what next' stuff, which is about dealing with the considerably more complex forms of changing morphology. Some problems along the way, some tricks to solve them, but ultimate point being Friedman's `everything depends on the problem!'</w:t>
      </w:r>
    </w:p>
    <w:p w:rsidR="00FB3684" w:rsidRDefault="00FB3684" w:rsidP="00FB3684">
      <w:r>
        <w:t>Other more market-based approaches are possible, but face all the same coordination issues as other trading agents. For example, `Landlord' agents have been tested...</w:t>
      </w:r>
    </w:p>
    <w:p w:rsidR="00FB3684" w:rsidRDefault="00FB3684" w:rsidP="00FB3684">
      <w:r>
        <w:t>Section \ref{sec:decstruct} discussed the interdependence of decision structures</w:t>
      </w:r>
    </w:p>
    <w:p w:rsidR="00FB3684" w:rsidRDefault="00FB3684" w:rsidP="00FB3684">
      <w:r>
        <w:t>%Related: greedy vs constrained, and the point about breaking down the process, and when and if that's a useful thing to do.</w:t>
      </w:r>
    </w:p>
    <w:p w:rsidR="00FB3684" w:rsidRDefault="00FB3684" w:rsidP="00FB3684">
      <w:r>
        <w:t>\begin{figure}[h!]</w:t>
      </w:r>
    </w:p>
    <w:p w:rsidR="00FB3684" w:rsidRDefault="00FB3684" w:rsidP="00FB3684">
      <w:r>
        <w:t>\centering</w:t>
      </w:r>
    </w:p>
    <w:p w:rsidR="00FB3684" w:rsidRDefault="00FB3684" w:rsidP="00FB3684">
      <w:r>
        <w:t>\subfloat[low density cost]</w:t>
      </w:r>
    </w:p>
    <w:p w:rsidR="00FB3684" w:rsidRDefault="00FB3684" w:rsidP="00FB3684">
      <w:r>
        <w:t>{\label{fig:dcr1}\includegraphics[width=0.3\textwidth]{ChapterModels/Figures/DCrealism2}}%</w:t>
      </w:r>
    </w:p>
    <w:p w:rsidR="00FB3684" w:rsidRDefault="00FB3684" w:rsidP="00FB3684">
      <w:r>
        <w:t xml:space="preserve">\hspace{0.2}  </w:t>
      </w:r>
    </w:p>
    <w:p w:rsidR="00FB3684" w:rsidRDefault="00FB3684" w:rsidP="00FB3684">
      <w:r>
        <w:t>\subfloat[Density cost increased]{\label{fig:dcr2}\includegraphics[width=0.3\textwidth]{ChapterModels/Figures/Dcrealism3}}</w:t>
      </w:r>
    </w:p>
    <w:p w:rsidR="00FB3684" w:rsidRDefault="00FB3684" w:rsidP="00FB3684">
      <w:r>
        <w:t>\hspace{0.2}</w:t>
      </w:r>
    </w:p>
    <w:p w:rsidR="00FB3684" w:rsidRDefault="00FB3684" w:rsidP="00FB3684">
      <w:r>
        <w:t>\subfloat[Increased further]{\label{fig:dcr3}\includegraphics[width=0.3\textwidth]{ChapterModels/Figures/Dcrealism4}}</w:t>
      </w:r>
    </w:p>
    <w:p w:rsidR="00FB3684" w:rsidRDefault="00FB3684" w:rsidP="00FB3684">
      <w:r>
        <w:t>\caption{Two fixed Firms, mobile People, CES utility. Three values for density cost, showing self-organisation. \label{fig:dcrealism}}%</w:t>
      </w:r>
    </w:p>
    <w:p w:rsidR="00FB3684" w:rsidRDefault="00FB3684" w:rsidP="00FB3684">
      <w:r>
        <w:t>\end{figure}</w:t>
      </w:r>
    </w:p>
    <w:p w:rsidR="00FB3684" w:rsidRDefault="00FB3684" w:rsidP="00FB3684"/>
    <w:p w:rsidR="00FB3684" w:rsidRDefault="00FB3684" w:rsidP="00FB3684">
      <w:r>
        <w:t>The outcome produced by density cost is useful for thinking about the idea of realism. In figure \ref{fig:dcrealism}, 400 \gls{ces}-optimising People find locations between two Firms. Low to high values of density cost lead to different utility equilibrium outcomes. It is, however, in itself hardly `realistic'. People arrange themselves based on minimising costs, which means a tendency towards hexagonal patterns. Real land markets do not do this. However, the model is not being used to produce land patterns. The point of the density cost is to provide a `second nature' dispersing space cost, to see how that is traded off against other costs. The specific resulting morphology may or may not be of relevance, but the particular patterning does not matter here.</w:t>
      </w:r>
    </w:p>
    <w:p w:rsidR="00FB3684" w:rsidRDefault="00FB3684" w:rsidP="00FB3684">
      <w:r>
        <w:t>..</w:t>
      </w:r>
    </w:p>
    <w:p w:rsidR="00FB3684" w:rsidRDefault="00FB3684" w:rsidP="00FB3684">
      <w:r>
        <w:t xml:space="preserve">What I want to argue here: general eq economists would take issue with urban economists' use of spatial equilibrium in the first place, assuming as it does that utility can be compared. If it cannot – as they argue – then $\delta u / \delta d$ makes no sense. What is unclear is why this particular simplifying assumption – allowing model comparison between utility levels in what are, after all, `robot imititations of people' – should be so beyond the pale. </w:t>
      </w:r>
    </w:p>
    <w:p w:rsidR="00FB3684" w:rsidRDefault="00FB3684" w:rsidP="00FB3684"/>
    <w:p w:rsidR="00FB3684" w:rsidRDefault="00FB3684" w:rsidP="00FB3684">
      <w:r>
        <w:t xml:space="preserve">More than this, in an agent context, there is no need to directly compare Actors' internal states. The impact on welfare or morphology comes about through interaction. The modeller may know they all have the same tastes but, as it were, the Actors do not. </w:t>
      </w:r>
    </w:p>
    <w:p w:rsidR="00FB3684" w:rsidRDefault="00FB3684" w:rsidP="00FB3684"/>
    <w:p w:rsidR="00FB3684" w:rsidRDefault="00FB3684" w:rsidP="00FB3684">
      <w:r>
        <w:t>“there is no simple granular target for them to aim for, as there is with efficient, zero-net-stock production.”</w:t>
      </w:r>
    </w:p>
    <w:p w:rsidR="00FB3684" w:rsidRDefault="00FB3684" w:rsidP="00FB3684">
      <w:r>
        <w:t>..</w:t>
      </w:r>
    </w:p>
    <w:p w:rsidR="00FB3684" w:rsidRDefault="00FB3684" w:rsidP="00FB3684">
      <w:r>
        <w:t xml:space="preserve">The basic idea can be converted into an economic argument about subsitution. As fuel costs rise, people reach a point where their own gardens or local land becomes more productive under cultivation than it does when used for leisure (a similar argument used to discuss utility in section \ref{sec:produtility_agents}). </w:t>
      </w:r>
    </w:p>
    <w:p w:rsidR="00FB3684" w:rsidRDefault="00FB3684" w:rsidP="00FB3684">
      <w:r>
        <w:t xml:space="preserve">Two points flow from that. The first mirrors the quote from chapter \ref{chapter:ABM}: much of the valorisation of local food production is a change in tastes that does not necessarily have a traceable origin in economic fundamentals (e.g. a change in overall income causing a shift in time expenditure). </w:t>
      </w:r>
    </w:p>
    <w:p w:rsidR="00FB3684" w:rsidRDefault="00FB3684" w:rsidP="00FB3684">
      <w:r>
        <w:t>%Obviously a very broad area, I am taking ideas to piece together an abstract picture of the functioning of energy in society. This includes the work of the UK Energy Research Centre, whose summer school I attended, Vaclav Smil's framework of energy density, and his research into energy use in agriculture (Smil 2008), and work on the relationship between energy and total production (e.g. Apergis &amp; Payne 2009).</w:t>
      </w:r>
    </w:p>
    <w:p w:rsidR="00FB3684" w:rsidRDefault="00FB3684" w:rsidP="00FB3684">
      <w:r>
        <w:t>...</w:t>
      </w:r>
    </w:p>
    <w:p w:rsidR="00FB3684" w:rsidRDefault="00FB3684" w:rsidP="00FB3684">
      <w:r>
        <w:t>%%%As discussed in the conclusion, this is a happy synergy: the agent model helping to highlight possible lines of inquiry, and an analytic approach shedding further light on the issues.</w:t>
      </w:r>
    </w:p>
    <w:p w:rsidR="00FB3684" w:rsidRDefault="00FB3684" w:rsidP="00FB3684"/>
    <w:p w:rsidR="00FB3684" w:rsidRDefault="00FB3684" w:rsidP="00FB3684">
      <w:r>
        <w:t>%%</w:t>
      </w:r>
    </w:p>
    <w:p w:rsidR="00FB3684" w:rsidRDefault="00FB3684" w:rsidP="00FB3684">
      <w:r>
        <w:t xml:space="preserve">%So the ultimate goal is to produce a `general' model, with heterogenous agents acting outside of the `clearing market' assumptions of neoclassical equilibrium (see section \ref{sec:ace}), able to link production to actors' overall welfare. </w:t>
      </w:r>
    </w:p>
    <w:p w:rsidR="00FB3684" w:rsidRDefault="00FB3684" w:rsidP="00FB3684">
      <w:r>
        <w:t>%What the thesis model tries to do is simple: ask how changing space costs affects both morphology and welfare, given that the feasible distance of moving goods and people may change. It does this by using a set of economic relations between actors to  investigate how they react to cost changes. It works with the fact that space itself imposes heterogenous costs: if actors have different locations, the costs they face must differ, and the outcomes of their decisions may leave costs differentiated.</w:t>
      </w:r>
    </w:p>
    <w:p w:rsidR="00FB3684" w:rsidRDefault="00FB3684" w:rsidP="00FB3684">
      <w:pPr>
        <w:pStyle w:val="Heading2"/>
      </w:pPr>
      <w:r>
        <w:t>More cuttinz</w:t>
      </w:r>
    </w:p>
    <w:p w:rsidR="00FB3684" w:rsidRPr="00513F4B" w:rsidRDefault="00FB3684" w:rsidP="00FB3684">
      <w:pPr>
        <w:rPr>
          <w:color w:val="808080" w:themeColor="background1" w:themeShade="80"/>
        </w:rPr>
      </w:pPr>
      <w:r>
        <w:rPr>
          <w:color w:val="808080" w:themeColor="background1" w:themeShade="80"/>
        </w:rPr>
        <w:t>%</w:t>
      </w:r>
      <w:r w:rsidRPr="00513F4B">
        <w:rPr>
          <w:color w:val="808080" w:themeColor="background1" w:themeShade="80"/>
        </w:rPr>
        <w:t>As Marshall put it at the end of the nineteenth century:</w:t>
      </w:r>
    </w:p>
    <w:p w:rsidR="00FB3684" w:rsidRPr="00513F4B" w:rsidRDefault="00FB3684" w:rsidP="00FB3684">
      <w:pPr>
        <w:rPr>
          <w:color w:val="808080" w:themeColor="background1" w:themeShade="80"/>
        </w:rPr>
      </w:pPr>
      <w:r>
        <w:rPr>
          <w:color w:val="808080" w:themeColor="background1" w:themeShade="80"/>
        </w:rPr>
        <w:t>%</w:t>
      </w:r>
      <w:r w:rsidRPr="00513F4B">
        <w:rPr>
          <w:color w:val="808080" w:themeColor="background1" w:themeShade="80"/>
        </w:rPr>
        <w:t>\begin{quote}</w:t>
      </w:r>
    </w:p>
    <w:p w:rsidR="00FB3684" w:rsidRPr="00513F4B" w:rsidRDefault="00FB3684" w:rsidP="00FB3684">
      <w:pPr>
        <w:rPr>
          <w:color w:val="808080" w:themeColor="background1" w:themeShade="80"/>
        </w:rPr>
      </w:pPr>
      <w:r>
        <w:rPr>
          <w:color w:val="808080" w:themeColor="background1" w:themeShade="80"/>
        </w:rPr>
        <w:t>%</w:t>
      </w:r>
      <w:r w:rsidRPr="00513F4B">
        <w:rPr>
          <w:color w:val="808080" w:themeColor="background1" w:themeShade="80"/>
        </w:rPr>
        <w:t>``though we are bound, before entering on any study, to consider carefully what are its uses, we should not plan out our work with direct reference to them. For by so doing we are tempted to break off each line of thought as soon as it ceases to have an immediate bearing on that particular aim which we have in view at the time.'' (\citealt{marshall_principles_1895} p.114-5)</w:t>
      </w:r>
    </w:p>
    <w:p w:rsidR="00FB3684" w:rsidRPr="00513F4B" w:rsidRDefault="00FB3684" w:rsidP="00FB3684">
      <w:pPr>
        <w:rPr>
          <w:color w:val="808080" w:themeColor="background1" w:themeShade="80"/>
        </w:rPr>
      </w:pPr>
      <w:r>
        <w:rPr>
          <w:color w:val="808080" w:themeColor="background1" w:themeShade="80"/>
        </w:rPr>
        <w:t>%</w:t>
      </w:r>
      <w:r w:rsidRPr="00513F4B">
        <w:rPr>
          <w:color w:val="808080" w:themeColor="background1" w:themeShade="80"/>
        </w:rPr>
        <w:t>\end{quote}</w:t>
      </w:r>
    </w:p>
    <w:p w:rsidR="00FB3684" w:rsidRPr="00513F4B" w:rsidRDefault="00FB3684" w:rsidP="00FB3684">
      <w:pPr>
        <w:rPr>
          <w:color w:val="808080" w:themeColor="background1" w:themeShade="80"/>
        </w:rPr>
      </w:pPr>
      <w:r>
        <w:rPr>
          <w:color w:val="808080" w:themeColor="background1" w:themeShade="80"/>
        </w:rPr>
        <w:t>%</w:t>
      </w:r>
      <w:r w:rsidRPr="00513F4B">
        <w:rPr>
          <w:color w:val="808080" w:themeColor="background1" w:themeShade="80"/>
        </w:rPr>
        <w:t xml:space="preserve">Actually, that's talking about something a little different. </w:t>
      </w:r>
    </w:p>
    <w:p w:rsidR="00FB3684" w:rsidRDefault="00FB3684" w:rsidP="00FB3684"/>
    <w:p w:rsidR="00FB3684" w:rsidRDefault="00FB3684" w:rsidP="00FB3684">
      <w:pPr>
        <w:pStyle w:val="Heading2"/>
      </w:pPr>
      <w:r>
        <w:t>Things I may actually want to come back to</w:t>
      </w:r>
    </w:p>
    <w:p w:rsidR="00FB3684" w:rsidRDefault="00FB3684" w:rsidP="00FB3684">
      <w:r>
        <w:t>Two of the main methods employed in the thesis to achieve agent outcomes could be seen as compromises imposed by the method. The use of a `second nature' density cost allows a transparent investigation of the interaction of space and proximity costs. Allowing People to `leave' their time with a Firm between decision points could be justified with a verbal argument: it perhaps parallels the fact that people do, in reality, input into their workplaces as a `flow' over time, not in discrete chunks. But the motivation for the method was to fix a modelling problem; post-hoc points about reality may help support or undermine the model, of course - this is clearly a part of the longer-term testing process of any modelling approach beyond face validation.</w:t>
      </w:r>
    </w:p>
    <w:p w:rsidR="00FB3684" w:rsidRPr="008A2F1C" w:rsidRDefault="00FB3684" w:rsidP="00FB3684"/>
    <w:p w:rsidR="00FB3684" w:rsidRPr="00E15448" w:rsidRDefault="00FB3684" w:rsidP="00FB3684"/>
    <w:p w:rsidR="00FB3684" w:rsidRPr="00A56368" w:rsidRDefault="00FB3684" w:rsidP="00FB3684">
      <w:pPr>
        <w:pStyle w:val="Heading1"/>
      </w:pPr>
      <w:r>
        <w:t>\end{comment}</w:t>
      </w:r>
    </w:p>
    <w:p w:rsidR="00F87A92" w:rsidRDefault="00F87A92">
      <w:bookmarkStart w:id="0" w:name="_GoBack"/>
      <w:bookmarkEnd w:id="0"/>
    </w:p>
    <w:sectPr w:rsidR="00F87A92" w:rsidSect="00D465AF">
      <w:footerReference w:type="even" r:id="rId5"/>
      <w:footerReference w:type="default" r:id="rId6"/>
      <w:pgSz w:w="12240" w:h="15840"/>
      <w:pgMar w:top="851" w:right="851" w:bottom="851" w:left="85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900" w:rsidRDefault="00FB368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A34900" w:rsidRDefault="00FB3684" w:rsidP="0006193E">
    <w:pPr>
      <w:pStyle w:val="Footer"/>
      <w:ind w:right="360"/>
    </w:pPr>
  </w:p>
  <w:p w:rsidR="00A34900" w:rsidRDefault="00FB3684"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900" w:rsidRDefault="00FB368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A34900" w:rsidRDefault="00FB3684" w:rsidP="0006193E">
    <w:pPr>
      <w:pStyle w:val="Footer"/>
      <w:ind w:right="360"/>
    </w:pPr>
  </w:p>
  <w:p w:rsidR="00A34900" w:rsidRDefault="00FB3684" w:rsidP="0006193E">
    <w:pPr>
      <w:pStyle w:val="Footer"/>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684"/>
    <w:rsid w:val="005B10A2"/>
    <w:rsid w:val="005E2AE3"/>
    <w:rsid w:val="00F87A92"/>
    <w:rsid w:val="00FB3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684"/>
    <w:pPr>
      <w:spacing w:before="120" w:after="120" w:line="240" w:lineRule="auto"/>
    </w:pPr>
    <w:rPr>
      <w:rFonts w:ascii="Verdana" w:eastAsia="Times New Roman" w:hAnsi="Verdana" w:cs="Times New Roman"/>
      <w:color w:val="000000"/>
      <w:sz w:val="24"/>
      <w:szCs w:val="24"/>
      <w:lang w:eastAsia="en-GB"/>
    </w:rPr>
  </w:style>
  <w:style w:type="paragraph" w:styleId="Heading1">
    <w:name w:val="heading 1"/>
    <w:basedOn w:val="Normal"/>
    <w:next w:val="Normal"/>
    <w:link w:val="Heading1Char"/>
    <w:uiPriority w:val="9"/>
    <w:qFormat/>
    <w:rsid w:val="00FB3684"/>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FB3684"/>
    <w:pPr>
      <w:keepNext/>
      <w:pBdr>
        <w:top w:val="dotted" w:sz="4" w:space="1" w:color="auto"/>
        <w:bottom w:val="single" w:sz="4" w:space="1" w:color="auto"/>
      </w:pBdr>
      <w:spacing w:before="240" w:after="60"/>
      <w:outlineLvl w:val="1"/>
    </w:pPr>
    <w:rPr>
      <w:rFonts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84"/>
    <w:rPr>
      <w:rFonts w:ascii="Verdana" w:eastAsia="Times New Roman" w:hAnsi="Verdana" w:cs="Arial"/>
      <w:b/>
      <w:bCs/>
      <w:color w:val="000000"/>
      <w:kern w:val="32"/>
      <w:sz w:val="32"/>
      <w:szCs w:val="32"/>
      <w:lang w:eastAsia="en-GB"/>
    </w:rPr>
  </w:style>
  <w:style w:type="character" w:customStyle="1" w:styleId="Heading2Char">
    <w:name w:val="Heading 2 Char"/>
    <w:basedOn w:val="DefaultParagraphFont"/>
    <w:link w:val="Heading2"/>
    <w:rsid w:val="00FB3684"/>
    <w:rPr>
      <w:rFonts w:ascii="Verdana" w:eastAsia="Times New Roman" w:hAnsi="Verdana" w:cs="Arial"/>
      <w:color w:val="000000"/>
      <w:sz w:val="28"/>
      <w:szCs w:val="28"/>
      <w:lang w:eastAsia="en-GB"/>
    </w:rPr>
  </w:style>
  <w:style w:type="paragraph" w:styleId="Footer">
    <w:name w:val="footer"/>
    <w:basedOn w:val="Normal"/>
    <w:link w:val="FooterChar"/>
    <w:rsid w:val="00FB3684"/>
    <w:pPr>
      <w:tabs>
        <w:tab w:val="center" w:pos="4153"/>
        <w:tab w:val="right" w:pos="8306"/>
      </w:tabs>
    </w:pPr>
  </w:style>
  <w:style w:type="character" w:customStyle="1" w:styleId="FooterChar">
    <w:name w:val="Footer Char"/>
    <w:basedOn w:val="DefaultParagraphFont"/>
    <w:link w:val="Footer"/>
    <w:rsid w:val="00FB3684"/>
    <w:rPr>
      <w:rFonts w:ascii="Verdana" w:eastAsia="Times New Roman" w:hAnsi="Verdana" w:cs="Times New Roman"/>
      <w:color w:val="000000"/>
      <w:sz w:val="24"/>
      <w:szCs w:val="24"/>
      <w:lang w:eastAsia="en-GB"/>
    </w:rPr>
  </w:style>
  <w:style w:type="character" w:styleId="PageNumber">
    <w:name w:val="page number"/>
    <w:basedOn w:val="DefaultParagraphFont"/>
    <w:rsid w:val="00FB3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684"/>
    <w:pPr>
      <w:spacing w:before="120" w:after="120" w:line="240" w:lineRule="auto"/>
    </w:pPr>
    <w:rPr>
      <w:rFonts w:ascii="Verdana" w:eastAsia="Times New Roman" w:hAnsi="Verdana" w:cs="Times New Roman"/>
      <w:color w:val="000000"/>
      <w:sz w:val="24"/>
      <w:szCs w:val="24"/>
      <w:lang w:eastAsia="en-GB"/>
    </w:rPr>
  </w:style>
  <w:style w:type="paragraph" w:styleId="Heading1">
    <w:name w:val="heading 1"/>
    <w:basedOn w:val="Normal"/>
    <w:next w:val="Normal"/>
    <w:link w:val="Heading1Char"/>
    <w:uiPriority w:val="9"/>
    <w:qFormat/>
    <w:rsid w:val="00FB3684"/>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FB3684"/>
    <w:pPr>
      <w:keepNext/>
      <w:pBdr>
        <w:top w:val="dotted" w:sz="4" w:space="1" w:color="auto"/>
        <w:bottom w:val="single" w:sz="4" w:space="1" w:color="auto"/>
      </w:pBdr>
      <w:spacing w:before="240" w:after="60"/>
      <w:outlineLvl w:val="1"/>
    </w:pPr>
    <w:rPr>
      <w:rFonts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84"/>
    <w:rPr>
      <w:rFonts w:ascii="Verdana" w:eastAsia="Times New Roman" w:hAnsi="Verdana" w:cs="Arial"/>
      <w:b/>
      <w:bCs/>
      <w:color w:val="000000"/>
      <w:kern w:val="32"/>
      <w:sz w:val="32"/>
      <w:szCs w:val="32"/>
      <w:lang w:eastAsia="en-GB"/>
    </w:rPr>
  </w:style>
  <w:style w:type="character" w:customStyle="1" w:styleId="Heading2Char">
    <w:name w:val="Heading 2 Char"/>
    <w:basedOn w:val="DefaultParagraphFont"/>
    <w:link w:val="Heading2"/>
    <w:rsid w:val="00FB3684"/>
    <w:rPr>
      <w:rFonts w:ascii="Verdana" w:eastAsia="Times New Roman" w:hAnsi="Verdana" w:cs="Arial"/>
      <w:color w:val="000000"/>
      <w:sz w:val="28"/>
      <w:szCs w:val="28"/>
      <w:lang w:eastAsia="en-GB"/>
    </w:rPr>
  </w:style>
  <w:style w:type="paragraph" w:styleId="Footer">
    <w:name w:val="footer"/>
    <w:basedOn w:val="Normal"/>
    <w:link w:val="FooterChar"/>
    <w:rsid w:val="00FB3684"/>
    <w:pPr>
      <w:tabs>
        <w:tab w:val="center" w:pos="4153"/>
        <w:tab w:val="right" w:pos="8306"/>
      </w:tabs>
    </w:pPr>
  </w:style>
  <w:style w:type="character" w:customStyle="1" w:styleId="FooterChar">
    <w:name w:val="Footer Char"/>
    <w:basedOn w:val="DefaultParagraphFont"/>
    <w:link w:val="Footer"/>
    <w:rsid w:val="00FB3684"/>
    <w:rPr>
      <w:rFonts w:ascii="Verdana" w:eastAsia="Times New Roman" w:hAnsi="Verdana" w:cs="Times New Roman"/>
      <w:color w:val="000000"/>
      <w:sz w:val="24"/>
      <w:szCs w:val="24"/>
      <w:lang w:eastAsia="en-GB"/>
    </w:rPr>
  </w:style>
  <w:style w:type="character" w:styleId="PageNumber">
    <w:name w:val="page number"/>
    <w:basedOn w:val="DefaultParagraphFont"/>
    <w:rsid w:val="00FB3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7029</Words>
  <Characters>40070</Characters>
  <Application>Microsoft Office Word</Application>
  <DocSecurity>0</DocSecurity>
  <Lines>333</Lines>
  <Paragraphs>94</Paragraphs>
  <ScaleCrop>false</ScaleCrop>
  <Company>University of Leeds</Company>
  <LinksUpToDate>false</LinksUpToDate>
  <CharactersWithSpaces>47005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Olner</dc:creator>
  <cp:lastModifiedBy>Dan Olner</cp:lastModifiedBy>
  <cp:revision>1</cp:revision>
  <dcterms:created xsi:type="dcterms:W3CDTF">2013-06-10T09:43:00Z</dcterms:created>
  <dcterms:modified xsi:type="dcterms:W3CDTF">2013-06-10T09:43:00Z</dcterms:modified>
</cp:coreProperties>
</file>