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2.png" ContentType="image/png"/>
  <Override PartName="/word/media/rId30.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Marine</w:t>
      </w:r>
      <w:r>
        <w:t xml:space="preserve"> </w:t>
      </w:r>
      <w:r>
        <w:t xml:space="preserve">Proteced</w:t>
      </w:r>
      <w:r>
        <w:t xml:space="preserve"> </w:t>
      </w:r>
      <w:r>
        <w:t xml:space="preserve">Areas</w:t>
      </w:r>
      <w:r>
        <w:t xml:space="preserve"> </w:t>
      </w:r>
      <w:r>
        <w:t xml:space="preserve">on</w:t>
      </w:r>
      <w:r>
        <w:t xml:space="preserve"> </w:t>
      </w:r>
      <w:r>
        <w:t xml:space="preserve">Regional</w:t>
      </w:r>
      <w:r>
        <w:t xml:space="preserve"> </w:t>
      </w:r>
      <w:r>
        <w:t xml:space="preserve">Conservation</w:t>
      </w:r>
      <w:r>
        <w:t xml:space="preserve"> </w:t>
      </w:r>
      <w:r>
        <w:t xml:space="preserve">Goals</w:t>
      </w:r>
      <w:r>
        <w:t xml:space="preserve"> </w:t>
      </w:r>
      <w:r>
        <w:t xml:space="preserve">Are</w:t>
      </w:r>
      <w:r>
        <w:t xml:space="preserve"> </w:t>
      </w:r>
      <w:r>
        <w:t xml:space="preserve">Unclear</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Date"/>
      </w:pPr>
      <w:r>
        <w:t xml:space="preserve">2020-04-22</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called</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is</w:t>
      </w:r>
      <w:r>
        <w:t xml:space="preserve"> </w:t>
      </w:r>
      <w:r>
        <w:t xml:space="preserve">now</w:t>
      </w:r>
      <w:r>
        <w:t xml:space="preserve"> </w:t>
      </w:r>
      <w:r>
        <w:t xml:space="preserve">calling</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may</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numerical</w:t>
      </w:r>
      <w:r>
        <w:t xml:space="preserve"> </w:t>
      </w:r>
      <w:r>
        <w:t xml:space="preserve">or</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these</w:t>
      </w:r>
      <w:r>
        <w:t xml:space="preserve"> </w:t>
      </w:r>
      <w:r>
        <w:t xml:space="preserve">metrics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the</w:t>
      </w:r>
      <w:r>
        <w:t xml:space="preserve"> </w:t>
      </w:r>
      <w:r>
        <w:t xml:space="preserve">importance</w:t>
      </w:r>
      <w:r>
        <w:t xml:space="preserve"> </w:t>
      </w:r>
      <w:r>
        <w:t xml:space="preserve">and</w:t>
      </w:r>
      <w:r>
        <w:t xml:space="preserve"> </w:t>
      </w:r>
      <w:r>
        <w:t xml:space="preserve">challenges</w:t>
      </w:r>
      <w:r>
        <w:t xml:space="preserve"> </w:t>
      </w:r>
      <w:r>
        <w:t xml:space="preserve">of</w:t>
      </w:r>
      <w:r>
        <w:t xml:space="preserve"> </w:t>
      </w:r>
      <w:r>
        <w:t xml:space="preserve">estimating</w:t>
      </w:r>
      <w:r>
        <w:t xml:space="preserve"> </w:t>
      </w:r>
      <w:r>
        <w:t xml:space="preserve">regional</w:t>
      </w:r>
      <w:r>
        <w:t xml:space="preserve"> </w:t>
      </w:r>
      <w:r>
        <w:t xml:space="preserve">MPA</w:t>
      </w:r>
      <w:r>
        <w:t xml:space="preserve"> </w:t>
      </w:r>
      <w:r>
        <w:t xml:space="preserve">effects.</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on</w:t>
      </w:r>
      <w:r>
        <w:t xml:space="preserve"> </w:t>
      </w:r>
      <w:r>
        <w:t xml:space="preserve">biomass</w:t>
      </w:r>
      <w:r>
        <w:t xml:space="preserve"> </w:t>
      </w:r>
      <w:r>
        <w:t xml:space="preserve">densities</w:t>
      </w:r>
      <w:r>
        <w:t xml:space="preserve"> </w:t>
      </w:r>
      <w:r>
        <w:t xml:space="preserve">of</w:t>
      </w:r>
      <w:r>
        <w:t xml:space="preserve"> </w:t>
      </w:r>
      <w:r>
        <w:t xml:space="preserve">targeted</w:t>
      </w:r>
      <w:r>
        <w:t xml:space="preserve"> </w:t>
      </w:r>
      <w:r>
        <w:t xml:space="preserve">finfish</w:t>
      </w:r>
      <w:r>
        <w:t xml:space="preserve"> </w:t>
      </w:r>
      <w:r>
        <w:t xml:space="preserve">throughout</w:t>
      </w:r>
      <w:r>
        <w:t xml:space="preserve"> </w:t>
      </w:r>
      <w:r>
        <w:t xml:space="preserve">the</w:t>
      </w:r>
      <w:r>
        <w:t xml:space="preserve"> </w:t>
      </w:r>
      <w:r>
        <w:t xml:space="preserve">Channel</w:t>
      </w:r>
      <w:r>
        <w:t xml:space="preserve"> </w:t>
      </w:r>
      <w:r>
        <w:t xml:space="preserve">Islands</w:t>
      </w:r>
      <w:r>
        <w:t xml:space="preserve"> </w:t>
      </w:r>
      <w:r>
        <w:t xml:space="preserve">region.</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We</w:t>
      </w:r>
      <w:r>
        <w:t xml:space="preserve"> </w:t>
      </w:r>
      <w:r>
        <w:t xml:space="preserve">show</w:t>
      </w:r>
      <w:r>
        <w:t xml:space="preserve"> </w:t>
      </w:r>
      <w:r>
        <w:t xml:space="preserve">that</w:t>
      </w:r>
      <w:r>
        <w:t xml:space="preserve"> </w:t>
      </w:r>
      <w:r>
        <w:t xml:space="preserve">MPA</w:t>
      </w:r>
      <w:r>
        <w:t xml:space="preserve"> </w:t>
      </w:r>
      <w:r>
        <w:t xml:space="preserve">effect</w:t>
      </w:r>
      <w:r>
        <w:t xml:space="preserve"> </w:t>
      </w:r>
      <w:r>
        <w:t xml:space="preserve">sizes</w:t>
      </w:r>
      <w:r>
        <w:t xml:space="preserve"> </w:t>
      </w:r>
      <w:r>
        <w:t xml:space="preserve">less</w:t>
      </w:r>
      <w:r>
        <w:t xml:space="preserve"> </w:t>
      </w:r>
      <w:r>
        <w:t xml:space="preserve">than</w:t>
      </w:r>
      <w:r>
        <w:t xml:space="preserve"> </w:t>
      </w:r>
      <w:r>
        <w:t xml:space="preserve">30%</w:t>
      </w:r>
      <w:r>
        <w:t xml:space="preserve"> </w:t>
      </w:r>
      <w:r>
        <w:t xml:space="preserve">are</w:t>
      </w:r>
      <w:r>
        <w:t xml:space="preserve"> </w:t>
      </w:r>
      <w:r>
        <w:t xml:space="preserve">likely</w:t>
      </w:r>
      <w:r>
        <w:t xml:space="preserve"> </w:t>
      </w:r>
      <w:r>
        <w:t xml:space="preserve">to</w:t>
      </w:r>
      <w:r>
        <w:t xml:space="preserve"> </w:t>
      </w:r>
      <w:r>
        <w:t xml:space="preserve">be</w:t>
      </w:r>
      <w:r>
        <w:t xml:space="preserve"> </w:t>
      </w:r>
      <w:r>
        <w:t xml:space="preserve">difficult</w:t>
      </w:r>
      <w:r>
        <w:t xml:space="preserve"> </w:t>
      </w:r>
      <w:r>
        <w:t xml:space="preserve">to</w:t>
      </w:r>
      <w:r>
        <w:t xml:space="preserve"> </w:t>
      </w:r>
      <w:r>
        <w:t xml:space="preserve">detect,</w:t>
      </w:r>
      <w:r>
        <w:t xml:space="preserve"> </w:t>
      </w:r>
      <w:r>
        <w:t xml:space="preserve">and</w:t>
      </w:r>
      <w:r>
        <w:t xml:space="preserve"> </w:t>
      </w:r>
      <w:r>
        <w:t xml:space="preserve">the</w:t>
      </w:r>
      <w:r>
        <w:t xml:space="preserve"> </w:t>
      </w:r>
      <w:r>
        <w:t xml:space="preserve">size</w:t>
      </w:r>
      <w:r>
        <w:t xml:space="preserve"> </w:t>
      </w:r>
      <w:r>
        <w:t xml:space="preserve">of</w:t>
      </w:r>
      <w:r>
        <w:t xml:space="preserve"> </w:t>
      </w:r>
      <w:r>
        <w:t xml:space="preserve">many</w:t>
      </w:r>
      <w:r>
        <w:t xml:space="preserve"> </w:t>
      </w:r>
      <w:r>
        <w:t xml:space="preserve">MPA</w:t>
      </w:r>
      <w:r>
        <w:t xml:space="preserve"> </w:t>
      </w:r>
      <w:r>
        <w:t xml:space="preserve">networks</w:t>
      </w:r>
      <w:r>
        <w:t xml:space="preserve"> </w:t>
      </w:r>
      <w:r>
        <w:t xml:space="preserve">suggests</w:t>
      </w:r>
      <w:r>
        <w:t xml:space="preserve"> </w:t>
      </w:r>
      <w:r>
        <w:t xml:space="preserve">that</w:t>
      </w:r>
      <w:r>
        <w:t xml:space="preserve"> </w:t>
      </w:r>
      <w:r>
        <w:t xml:space="preserve">effect</w:t>
      </w:r>
      <w:r>
        <w:t xml:space="preserve"> </w:t>
      </w:r>
      <w:r>
        <w:t xml:space="preserve">sizes</w:t>
      </w:r>
      <w:r>
        <w:t xml:space="preserve"> </w:t>
      </w:r>
      <w:r>
        <w:t xml:space="preserve">may</w:t>
      </w:r>
      <w:r>
        <w:t xml:space="preserve"> </w:t>
      </w:r>
      <w:r>
        <w:t xml:space="preserve">often</w:t>
      </w:r>
      <w:r>
        <w:t xml:space="preserve"> </w:t>
      </w:r>
      <w:r>
        <w:t xml:space="preserve">be</w:t>
      </w:r>
      <w:r>
        <w:t xml:space="preserve"> </w:t>
      </w:r>
      <w:r>
        <w:t xml:space="preserve">smaller</w:t>
      </w:r>
      <w:r>
        <w:t xml:space="preserve"> </w:t>
      </w:r>
      <w:r>
        <w:t xml:space="preserve">than</w:t>
      </w:r>
      <w:r>
        <w:t xml:space="preserve"> </w:t>
      </w:r>
      <w:r>
        <w:t xml:space="preserve">30%.</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communities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(MPAs) are increasingly being used to conserve and manage these ecosystems. Our study pairs theory with empirical methods to show that the regional conservation effects of marine protected areas can be highly variable and dependent on human drivers. We find no statistically clear effect of a large and well protected network of MPAs in the Channel Island, California, on targeted finfish after 14 years of protection, which our simulation analysis suggests is actually to be expected. MPA practitioners must clearly communicate expectations from MPA networks, and plan monitoring and adaptations strategies that directly address the challenges of estimating regional conservation effects of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SeaGrant. This study would not be possible without the work provided by PISCO divers over the years, with special thanks to to Kathyrn Davis Koehn and Avrey Parsons-Field. We also thank Cody Szuwalski, Julia Lawson, André Punt, and two anonymous reviewers for helpful comments and technical support.</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Recent international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Indeed, Numerous studies provide evidence that well-enforced and appropriately sized MPAs can produce conservation benefits within their borders</w:t>
      </w:r>
      <w:r>
        <w:t xml:space="preserve"> </w:t>
      </w:r>
      <w:r>
        <w:t xml:space="preserve">(5–8)</w:t>
      </w:r>
      <w:r>
        <w:t xml:space="preserve">. However, our collective scientific understanding of the regional-scale conservation and fishery impacts of current and future MPAs is surprisingly limited.</w:t>
      </w:r>
    </w:p>
    <w:p>
      <w:pPr>
        <w:pStyle w:val="BodyText"/>
      </w:pPr>
      <w:r>
        <w:t xml:space="preserve">As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However, empirically detecting the regional net effects of spillover on fish populations and fisheries is much more difficult.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Channel Islands National Marine Sanctuary, California, USA (hereafter the Channel Islands) provide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w:t>
      </w:r>
      <w:r>
        <w:t xml:space="preserve"> </w:t>
      </w:r>
      <w:r>
        <w:t xml:space="preserve">(24)</w:t>
      </w:r>
      <w:r>
        <w:t xml:space="preserve">.</w:t>
      </w:r>
    </w:p>
    <w:p>
      <w:pPr>
        <w:pStyle w:val="BodyText"/>
      </w:pPr>
      <w:r>
        <w:t xml:space="preserve">We use data from the first 14 years of protection to provide what is to our knowledge the first empirical assessment of the regional effect of a large MPA network on a wide array of finfish species. For the purpose of this study, we define a regional effect as the effect of MPAs on the mean biomass density of targeted finfish both inside and outside of MPAs.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discussion"/>
      <w:r>
        <w:t xml:space="preserve">Results &amp; Discussion</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The assumption that MPAs will have conservation benefits beyond their borders for most species is implicit in all multilateral calls for MPA expansion, but these benefits have not been widely measured.</w:t>
      </w:r>
    </w:p>
    <w:p>
      <w:pPr>
        <w:pStyle w:val="BodyText"/>
      </w:pPr>
      <w:r>
        <w:t xml:space="preserve">We define the regional conservation effects of MPAs as the change in mean total biomass densities of targeted finfish both inside and outside of MPAs, relative to the mean total biomass densities of targeted finfish inside and outside of MPAs that would have occurred without the MPAs. While other outcomes such as increased biodiversity or resiliency are also important to conservation, these are beyond the scope of this analysis). As an example of a regional MPA effect, consider a evenly distributed population that has 50% of its range protected by an MPA. Suppose that the MPA increase biomass densities inside the reserves by 20%, and by 0% outside the reserve. By our metric the regional conservation effect of the MPA would be 10%.</w:t>
      </w:r>
    </w:p>
    <w:p>
      <w:pPr>
        <w:pStyle w:val="BodyText"/>
      </w:pPr>
      <w:r>
        <w:t xml:space="preserve">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the age and degree of enforcement</w:t>
      </w:r>
      <w:r>
        <w:t xml:space="preserve"> </w:t>
      </w:r>
      <w:r>
        <w:t xml:space="preserve">(7)</w:t>
      </w:r>
      <w:r>
        <w:t xml:space="preserve">, how overfished the population would be without the MPA, and how fishing and management responds to the implementation of the MPAs</w:t>
      </w:r>
      <w:r>
        <w:t xml:space="preserve"> </w:t>
      </w:r>
      <w:r>
        <w:t xml:space="preserve">(4, 32–43)</w:t>
      </w:r>
      <w:r>
        <w:t xml:space="preserve">. In addition, even for the same total area of MPAs, the location and spacing of the MPAs can have a profound influence on their cumulative impact through network effects</w:t>
      </w:r>
      <w:r>
        <w:t xml:space="preserve"> </w:t>
      </w:r>
      <w:r>
        <w:t xml:space="preserve">(4, 44)</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(45)</w:t>
      </w:r>
      <w:r>
        <w:t xml:space="preserve">.</w:t>
      </w:r>
    </w:p>
    <w:p>
      <w:pPr>
        <w:pStyle w:val="BodyText"/>
      </w:pPr>
      <w:r>
        <w:t xml:space="preserve">The MPAs in this study cover 20% of the surface waters of the Channel Islands, a region spanning roughly 90km east to west. Detailed dispersal studies are not available for all of the species covered by our study, but what information we have suggest that while adults of some of these species are likely to exhibit site fidelity</w:t>
      </w:r>
      <w:r>
        <w:t xml:space="preserve"> </w:t>
      </w:r>
      <w:r>
        <w:t xml:space="preserve">(46)</w:t>
      </w:r>
      <w:r>
        <w:t xml:space="preserve">, larvae are likely distributed beyond the Channel Islands</w:t>
      </w:r>
      <w:r>
        <w:t xml:space="preserve"> </w:t>
      </w:r>
      <w:r>
        <w:t xml:space="preserve">(47)</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likely resulting in biomass levels below management targets during the early 2000s</w:t>
      </w:r>
      <w:r>
        <w:t xml:space="preserve"> </w:t>
      </w:r>
      <w:r>
        <w:t xml:space="preserve">(48, 49)</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varying key unknowns such as the degree of pre-MPA depletion, species’ movement rates, and fleet dynamics. While a wide range of MPA effects are plausible, from 0% to upwards of 200%, the median simulated effect size for a stylized version of the Channel Islands after over ten years of protection was roughly 16% (Fig.</w:t>
      </w:r>
      <w:r>
        <w:t xml:space="preserve">2</w:t>
      </w:r>
      <w:r>
        <w:t xml:space="preserve">).</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 This provides evidence that the Channel Islands MPAs are large enough and sufficiently well-enforced as to provide meaningful protection within their borders.</w:t>
      </w:r>
    </w:p>
    <w:p>
      <w:pPr>
        <w:pStyle w:val="BodyText"/>
      </w:pPr>
      <w:r>
        <w:t xml:space="preserve">Unfortunately, these response ratios do not provide sufficient evidence for significant regional-scale effects of the Channel Islands MPAs. Control sites used in calculating response ratios are often selected based on abiotic or ecological traits such as habitat characteristics</w:t>
      </w:r>
      <w:r>
        <w:t xml:space="preserve"> </w:t>
      </w:r>
      <w:r>
        <w:t xml:space="preserve">(50)</w:t>
      </w:r>
      <w:r>
        <w:t xml:space="preserve">. Selection of these sites is complicated, though,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As a result of these challenges, response ratios can be a highly imprecise and biased measure of the regional conservation effect of an MPA network</w:t>
      </w:r>
      <w:r>
        <w:t xml:space="preserve"> </w:t>
      </w:r>
      <w:r>
        <w:t xml:space="preserve">(50)</w:t>
      </w:r>
      <w:r>
        <w:t xml:space="preserve">.</w:t>
      </w:r>
    </w:p>
    <w:p>
      <w:pPr>
        <w:pStyle w:val="BodyText"/>
      </w:pPr>
      <w:r>
        <w:t xml:space="preserve">In the case of the Channel Islands MPAs, control sites are often located within a few kilometers of an MPA, suggesting that they are susceptible to both local biological spillover and by concentration of fishing effort excluded from the MPAs. Given these complications, we can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But, we cannot use these response ratio results serve as a definitive indicator of overall regional effects of the MPAs.</w:t>
      </w:r>
    </w:p>
    <w:p>
      <w:pPr>
        <w:pStyle w:val="BodyText"/>
      </w:pPr>
      <w:r>
        <w:t xml:space="preserve">To illustrate this problem, we simulated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empirical Channel Island response ratios. For example, if the mean estimated response ratio in the year 2006 (year 3 after implementation)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The response ratio trends we observe in the data could plausibly be produced by a wide range of regional MPA effects (Fig.</w:t>
      </w:r>
      <w:r>
        <w:t xml:space="preserve">1</w:t>
      </w:r>
      <w:r>
        <w:t xml:space="preserve">). Response ratios well over one were associated with regional MPA effects generally less than 25%, and, importantly, many simulations produced large response ratios but regional MPA effects close to 0% This can occur if for example fishing pressure is only moderate, adult movement is low, larval dispersal is high, and displaced fishing effort concentrates around the border of the MPAs. The response ratio results previously published for this region do not serve as sufficient evidence for the regional conservation effects of the Channel Islands MPA network.</w:t>
      </w:r>
    </w:p>
    <w:p>
      <w:pPr>
        <w:pStyle w:val="CaptionedFigure"/>
      </w:pPr>
      <w:r>
        <w:drawing>
          <wp:inline>
            <wp:extent cx="5334000" cy="6667500"/>
            <wp:effectExtent b="0" l="0" r="0" t="0"/>
            <wp:docPr descr="Figure 1: 90% Posterior probability distributions of response ratios for targeted species (x-axis) over time (y-axis) in blue. Simulated MPA effect on biomass densitie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MPA effect on biomass densities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(50, 51)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(44, 52)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Consistent with MPA theory, over the first three years of implementation (2003-2006), the effects of the MPAs are unclear, with support for a small negative effect to a substantially positive effect, with much higher probability of a small positive effect (median estimated effect 32%,</w:t>
      </w:r>
      <w:r>
        <w:t xml:space="preserve"> </w:t>
      </w:r>
      <w:r>
        <w:t xml:space="preserve">90% credible interval 3%</w:t>
      </w:r>
      <w:r>
        <w:t xml:space="preserve"> </w:t>
      </w:r>
      <w:r>
        <w:t xml:space="preserve">- 70%). Over the next six years the model estimates greater probabilities of an increasingly positive MPA effect, peaking in 2009-2011 with a median estimate of MPA effect of a 81% increase in mean total biomass density of targeted species (90% credible interval 41%</w:t>
      </w:r>
      <w:r>
        <w:t xml:space="preserve"> </w:t>
      </w:r>
      <w:r>
        <w:t xml:space="preserve">- 133%. These empirical estimates are in line with the outcomes that our simulation model suggests are plausible.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-7%,</w:t>
      </w:r>
      <w:r>
        <w:t xml:space="preserve"> </w:t>
      </w:r>
      <w:r>
        <w:t xml:space="preserve">90% credible interval -30%</w:t>
      </w:r>
      <w:r>
        <w:t xml:space="preserve"> </w:t>
      </w:r>
      <w:r>
        <w:t xml:space="preserve">- 24%.) Fig.</w:t>
      </w:r>
      <w:r>
        <w:t xml:space="preserve">2</w:t>
      </w:r>
    </w:p>
    <w:p>
      <w:pPr>
        <w:pStyle w:val="CaptionedFigure"/>
      </w:pPr>
      <w:r>
        <w:drawing>
          <wp:inline>
            <wp:extent cx="5334000" cy="4000500"/>
            <wp:effectExtent b="0" l="0" r="0" t="0"/>
            <wp:docPr descr="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w:t>
      </w:r>
    </w:p>
    <w:p>
      <w:pPr>
        <w:pStyle w:val="BodyText"/>
      </w:pPr>
      <w:r>
        <w:t xml:space="preserve">How can we explain the lack of a clear regional MPA effect after over ten years of protection? One explanation may lie in fleet dynamics. Much of the theoretical literature on MPAs assumes that all else being equal larger reserves produce larger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(53)</w:t>
      </w:r>
      <w:r>
        <w:t xml:space="preserve">). The implication of this is that total catches will scale with the size of the available population: if fishing effort moves outside the reserve, total catch will go down if the pool of fishable biomass available to the fleet is lower outside the reserve.</w:t>
      </w:r>
    </w:p>
    <w:p>
      <w:pPr>
        <w:pStyle w:val="BodyText"/>
      </w:pPr>
      <w:r>
        <w:t xml:space="preserve">Alternatively, though, fishers can pursue a</w:t>
      </w:r>
      <w:r>
        <w:t xml:space="preserve"> </w:t>
      </w:r>
      <w:r>
        <w:t xml:space="preserve">“</w:t>
      </w:r>
      <w:r>
        <w:t xml:space="preserve">constant-catch</w:t>
      </w:r>
      <w:r>
        <w:t xml:space="preserve">”</w:t>
      </w:r>
      <w:r>
        <w:t xml:space="preserve"> </w:t>
      </w:r>
      <w:r>
        <w:t xml:space="preserve">rather than an effort-based strategy. This is an important and, to our knowledge, unexplored fleet model in MPA simulation. Under the constant catch model, fishers have a catch objective, and exert as much (or little) effort as needed to achieve that objective. While a constant-catch greater than the maximum sustainable catch from the population is not possible over the long-term under the assumptions of our model, over the short-term a constant-catch scenario is possible. Subsistence fisheries may use a constant-catch style policy over the short-term, as they seek to ensure that their food needs are met.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r>
        <w:t xml:space="preserve"> </w:t>
      </w:r>
      <w:r>
        <w:t xml:space="preserve">(54)</w:t>
      </w:r>
      <w:r>
        <w:t xml:space="preserve">.</w:t>
      </w:r>
    </w:p>
    <w:p>
      <w:pPr>
        <w:pStyle w:val="BodyText"/>
      </w:pPr>
      <w:r>
        <w:t xml:space="preserve">While we do not have access to fine scale fishing data from the Channel Islands alone, reported catches for the species of interest in the Santa Barbara region exhibit a mix of stable, downward, and upward trajectories (see Fig.SXX) which indicates that a negative MPA effect caused by a constant-catch fishing strategy is unlikely. Instead, another possibility for the observed decline in Channel Islands MPA effects is environmental disturbance.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(55)</w:t>
      </w:r>
      <w:r>
        <w:t xml:space="preserve">. Many of the non-targeted species in the Channel Islands have warm thermal affinities and have increased in numbers since the heatwave</w:t>
      </w:r>
      <w:r>
        <w:t xml:space="preserve"> </w:t>
      </w:r>
      <w:r>
        <w:t xml:space="preserve">(56)</w:t>
      </w:r>
      <w:r>
        <w:t xml:space="preserve">. The targeted group is made up mostly of fishes with cold-water affinities, such as members of the genus</w:t>
      </w:r>
      <w:r>
        <w:t xml:space="preserve"> </w:t>
      </w:r>
      <w:r>
        <w:rPr>
          <w:i/>
        </w:rPr>
        <w:t xml:space="preserve">Sebastes</w:t>
      </w:r>
      <w:r>
        <w:t xml:space="preserve">. We hypothesize that the recent evidence for a decline in densities of targeted species is due to environmental conditions that disproportionately affect the targeted group (and not for example due to concentrated fishing pressure outside the reserves). The practical result of this is that in the presence of this marine heatwave the non-targeted species may no longer serve as an effective control for the evolution of biomass densities of tartegeted finfish in the absence of the MPAs (a violation of the</w:t>
      </w:r>
      <w:r>
        <w:t xml:space="preserve"> </w:t>
      </w:r>
      <w:r>
        <w:t xml:space="preserve">“</w:t>
      </w:r>
      <w:r>
        <w:t xml:space="preserve">parallel trends</w:t>
      </w:r>
      <w:r>
        <w:t xml:space="preserve">”</w:t>
      </w:r>
      <w:r>
        <w:t xml:space="preserve"> </w:t>
      </w:r>
      <w:r>
        <w:t xml:space="preserve">assumption required for Difference-in-difference models).</w:t>
      </w:r>
    </w:p>
    <w:p>
      <w:pPr>
        <w:pStyle w:val="BodyText"/>
      </w:pPr>
      <w:r>
        <w:t xml:space="preserve">This hypothesis is supported by the fact that we estimate a similar decline in the estimated MPA effect both inside and outside of the MPAs (Fig.SXX) (as well as observe the decline in the raw data, Fig.</w:t>
      </w:r>
      <w:r>
        <w:t xml:space="preserve">3</w:t>
      </w:r>
      <w:r>
        <w:t xml:space="preserve">). If the cause of recent declines was due to increases in fishing pressure we would expect to see substantial declines only in the fished areas. While we see evidence for the validity of the parallel trends assumption in the early years of our data (Fig.</w:t>
      </w:r>
      <w:r>
        <w:t xml:space="preserve">2</w:t>
      </w:r>
      <w:r>
        <w:t xml:space="preserve">, Fig.SXX), it is likely that the non-targeted species reacted in a different way to the marine heatwave than the targeted species did, causing a violation of the parallel trends assumption in the post 2014 data.</w:t>
      </w:r>
    </w:p>
    <w:p>
      <w:pPr>
        <w:pStyle w:val="CaptionedFigure"/>
      </w:pPr>
      <w:r>
        <w:drawing>
          <wp:inline>
            <wp:extent cx="5334000" cy="6667500"/>
            <wp:effectExtent b="0" l="0" r="0" t="0"/>
            <wp:docPr descr="Figure 3: Centered and scaled trends in biomass densities of targeted and non-targeted finfish included in our study Top panel shows trends across all sites, with smaller background lines showing trends for each indivi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study Top panel shows trends across all sites, with smaller background lines showing trends for each individual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broader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an uncertain but overall positive effect of the MPA network in its first few years, we are unable to detect a robust signal from 2012-2017. We believe that the disappearance of increasing probabilities of positive MPA effects estimated by our model are likely driven by the marine heatwave experienced by the region beginning in 2014. This likely violation of the parallel trends assumption means that post 2014 estimates of MPA effects may be unreliable. After 14 years of MPA protection and following a large environmental perturbation we are left without a clear picture of the effect of the Channel Island MPA network on biomass densities of targeted fin-fish species from either response ratios or the difference-in-difference model.</w:t>
      </w:r>
    </w:p>
    <w:p>
      <w:pPr>
        <w:pStyle w:val="BodyText"/>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(48, 49)</w:t>
      </w:r>
      <w:r>
        <w:t xml:space="preserve">,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(e.g. annual) common in marine systems.</w:t>
      </w:r>
    </w:p>
    <w:p>
      <w:pPr>
        <w:pStyle w:val="BodyText"/>
      </w:pPr>
      <w:r>
        <w:t xml:space="preserve">Our simulations and difference-in-difference model examine percentage changes in biomass densities (as oppose to changes in total population size). An increase in biomass densities from 0.02kg/m</w:t>
      </w:r>
      <w:r>
        <w:rPr>
          <w:vertAlign w:val="superscript"/>
        </w:rPr>
        <w:t xml:space="preserve">2</w:t>
      </w:r>
      <w:r>
        <w:t xml:space="preserve"> </w:t>
      </w:r>
      <w:r>
        <w:t xml:space="preserve">to 0.04kg/m</w:t>
      </w:r>
      <w:r>
        <w:rPr>
          <w:vertAlign w:val="superscript"/>
        </w:rPr>
        <w:t xml:space="preserve">2</w:t>
      </w:r>
      <w:r>
        <w:t xml:space="preserve"> </w:t>
      </w:r>
      <w:r>
        <w:t xml:space="preserve">would be produce as a 100% increase. While a large percentage effect, this is a small change in biomass densities relative to the variance in the observation process itself. While an MPA providing 25% protection might be expected to produce a 30% increase in biomass densities, expressed as a percentage of unfished biomass this gain is on the order of 15% (Fig.SXX).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We simulated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models fit to data generated from large effect sizes commonly misestimated the true MPA effect by 50% or more. Obtaining a mean absolute percent error (MAPE) of 25% or less across our simulated datasets required a regional MPA effect of at least 30%. This is merely an illustrative exercise, omitting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precisely estimate the true regional effect of the MPAs.</w:t>
      </w:r>
    </w:p>
    <w:p>
      <w:pPr>
        <w:pStyle w:val="CaptionedFigure"/>
      </w:pPr>
      <w:r>
        <w:drawing>
          <wp:inline>
            <wp:extent cx="5334000" cy="6667500"/>
            <wp:effectExtent b="0" l="0" r="0" t="0"/>
            <wp:docPr descr="Figure 4: Distribution of percent error in posterior estimates of MPA effect (y-axis) plotted against true simulated MPA effect (x-axis). Color shows concentration of simulations. Black line shows mean absolute percent error (MAPE)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Distribution of percent error in posterior estimates of MPA effect (y-axis) plotted against true simulated MPA effect (x-axis). Color shows concentration of simulations. Black line shows mean absolute percent error (MAPE) as a function of true simulated MPA effect.</w:t>
      </w:r>
    </w:p>
    <w:p>
      <w:pPr>
        <w:pStyle w:val="BodyText"/>
      </w:pPr>
      <w:r>
        <w:t xml:space="preserve">When should we expect to see MPA effects big enough to stand a reasonable chance of detection? We simulated 9252 MPA scenarios across a wide range of life histories, network designs, and fishing dynamics (see SI for a full description of scenarios). 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regional effect sizes that may be difficult to detect (Fig.</w:t>
      </w:r>
      <w:r>
        <w:t xml:space="preserve">5</w:t>
      </w:r>
      <w:r>
        <w:t xml:space="preserve">-A).</w:t>
      </w:r>
    </w:p>
    <w:p>
      <w:pPr>
        <w:pStyle w:val="BodyText"/>
      </w:pPr>
      <w:r>
        <w:t xml:space="preserve">The MPA literature highlights a large number of variables beyond simply size and fishing pressure that can affect performance.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5</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(57)</w:t>
      </w:r>
      <w:r>
        <w:t xml:space="preserve">, though works that include a broader range of fisheries estimate that 50% or more of stocks to fall into the heavily fished category</w:t>
      </w:r>
      <w:r>
        <w:t xml:space="preserve"> </w:t>
      </w:r>
      <w:r>
        <w:t xml:space="preserve">(59, 60)</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500"/>
            <wp:effectExtent b="0" l="0" r="0" t="0"/>
            <wp:docPr descr="Figure 5: Simulated MPA effect sizes as a function of percent of species’ range inside MPA (x-axis), and pre-MPA depletion (y-axis). Pre-MPA depletion is a measure of fishing pressure, where 0 means that the population is unfished, and 1 means that the population is extinct in the time period immediately prior to MPA implementation. Panel A) shows median MPA effects across range in MPA and pre-MPA depletion Panel B) shows distribution of simulations across range of MPA size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Simulated MPA effect sizes as a function of percent of species’ range inside MPA (x-axis), and pre-MPA depletion (y-axis). Pre-MPA depletion is a measure of fishing pressure, where 0 means that the population is unfished, and 1 means that the population is extinct in the time period immediately prior to MPA implementation. Panel A) shows median MPA effects across range in MPA and pre-MPA depletion Panel B) shows distribution of simulations across range of MPA size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This is exactly what we found in our empirical case study from the relatively large and well-studied network of MPAs in the Channel Islands, California, USA.</w:t>
      </w:r>
    </w:p>
    <w:p>
      <w:pPr>
        <w:pStyle w:val="BodyText"/>
      </w:pPr>
      <w:r>
        <w:t xml:space="preserve">A large theoretical literature has pointed out the importance of a wide range of economic and environmental factors in determining the effectiveness of MPAs</w:t>
      </w:r>
      <w:r>
        <w:t xml:space="preserve"> </w:t>
      </w:r>
      <w:r>
        <w:t xml:space="preserve">(32, 40, 43)</w:t>
      </w:r>
      <w:r>
        <w:t xml:space="preserve">. Our simulation model allows users to place this collective theory into context, clarifying under what states of the world we might expect to see particular effect sizes, and demonstrating what effect sizes we might reasonably expect to be detectable in the real world. In the case of the Channel Islands, simulation modeling suggests for the network in question, an effect size on the order of 30% or smaller is likely, which our analysis in turn demonstrates may be challenging to detect. This cautionary tale is likely to hold for many coastal MPA networks around the world.</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(61)</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(50)</w:t>
      </w:r>
      <w:r>
        <w:t xml:space="preserve">,</w:t>
      </w:r>
      <w:r>
        <w:t xml:space="preserve"> </w:t>
      </w:r>
      <w:r>
        <w:t xml:space="preserve">(51)</w:t>
      </w:r>
      <w:r>
        <w:t xml:space="preserve"> </w:t>
      </w:r>
      <w:r>
        <w:t xml:space="preserve">and further demonstrated here, without careful attention to the design of control sites (e.g. accounting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influence of environmental variability. If pre-MPA data are available, data currently used in response ratios can easily be re-purposed for an analysis such as this one; we encourage holders of such data worldwide to conduct similar exercises to examine to what extent empirical estimates of regional conservation effects match up with MPA theory.</w:t>
      </w:r>
    </w:p>
    <w:p>
      <w:pPr>
        <w:pStyle w:val="BodyText"/>
      </w:pPr>
      <w:r>
        <w:t xml:space="preserve">While this does not mean that all MPAs will face similar challenges in estimating their effects, our results in the relatively large, well-enforced, and rigorously studied Channel Islands Marine Protected Area network make clear that in many instances empirically detecting a clear regional effect of MPAs on total biomass densities of targeted finfish may not be possible. How then should stakeholders go about adaptively monitoring and managing MPAs? Simulation modeling incorporating the diverse drivers represented here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(62)</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pPr>
        <w:pStyle w:val="BodyText"/>
      </w:pPr>
      <w:r>
        <w:t xml:space="preserve">Stock assessment models</w:t>
      </w:r>
      <w:r>
        <w:t xml:space="preserve"> </w:t>
      </w:r>
      <w:r>
        <w:t xml:space="preserve">(63)</w:t>
      </w:r>
      <w:r>
        <w:t xml:space="preserve"> </w:t>
      </w:r>
      <w:r>
        <w:t xml:space="preserve">that account for the population within the MPAs</w:t>
      </w:r>
      <w:r>
        <w:t xml:space="preserve"> </w:t>
      </w:r>
      <w:r>
        <w:t xml:space="preserve">(64)</w:t>
      </w:r>
      <w:r>
        <w:t xml:space="preserve"> </w:t>
      </w:r>
      <w:r>
        <w:t xml:space="preserve">may be able to answer the management relevant question of whether fishing mortality rates and biomass levels from systems containing MPAs are in-line with management objectives</w:t>
      </w:r>
      <w:r>
        <w:t xml:space="preserve"> </w:t>
      </w:r>
      <w:r>
        <w:t xml:space="preserve">(62)</w:t>
      </w:r>
      <w:r>
        <w:t xml:space="preserve">. However, such an approach does not necessarily shed light on whether the MPAs themselves caused the estimated state of the population, and of course are highly data intensive, potentially restricting our ability to provide stock-assessment based inference of MPA outcomes for broad arrays of targeted species.</w:t>
      </w:r>
    </w:p>
    <w:p>
      <w:pPr>
        <w:pStyle w:val="BodyText"/>
      </w:pPr>
      <w:r>
        <w:t xml:space="preserve">Non-equilibrium analyses also help set expectations for effect sizes over time</w:t>
      </w:r>
      <w:r>
        <w:t xml:space="preserve"> </w:t>
      </w:r>
      <w:r>
        <w:t xml:space="preserve">(62)</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relaxation of other fishery management strategies. Rather, results and subsequent management actions (such as adaptation of MPA networks) must be considered in the context of reasonable expectations given the size, age, and degree of 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 task which has to date not been widely addressed.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at scale.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(66)</w:t>
      </w:r>
      <w:r>
        <w:t xml:space="preserve">. Our main difference-in-difference model was fit using Stan</w:t>
      </w:r>
      <w:r>
        <w:t xml:space="preserve"> </w:t>
      </w:r>
      <w:r>
        <w:t xml:space="preserve">(67)</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(68)</w:t>
      </w:r>
      <w:r>
        <w:t xml:space="preserve">. All materials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The model consists of 50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(45)</w:t>
      </w:r>
      <w:r>
        <w:t xml:space="preserve"> </w:t>
      </w:r>
      <w:r>
        <w:t xml:space="preserve">package in R. We pair these data with randomly selected values between 0.6 and 0.95 for Beverton-Holt steepness</w:t>
      </w:r>
      <w:r>
        <w:t xml:space="preserve"> </w:t>
      </w:r>
      <w:r>
        <w:t xml:space="preserve">(69)</w:t>
      </w:r>
      <w:r>
        <w:t xml:space="preserve">, as well as larval and adult dispersal rates. We randomly assign whether adult fish preferentially move towards patches with lower relative densities, as well as one of three potential types of recruitment density dependence</w:t>
      </w:r>
      <w:r>
        <w:t xml:space="preserve"> </w:t>
      </w:r>
      <w:r>
        <w:t xml:space="preserve">(70)</w:t>
      </w:r>
      <w:r>
        <w:t xml:space="preserve">. Simulations are also assigned random fleet dynamics (open access ,constant effort, constant catch), responses to MPA (leave the fishery or concentrate outside MPAs), a fleet dispersal model (uniform in response to catch-per-unit-effort, in response to profit-per-unit-effort),</w:t>
      </w:r>
    </w:p>
    <w:p>
      <w:pPr>
        <w:pStyle w:val="BodyText"/>
      </w:pPr>
      <w:r>
        <w:t xml:space="preserve">Each simulation is assigned an MPA scenario, defined by the number and size of MPAs, the placement of those MPAs, and the year that the MPAs are put in place. The population begins at unfished equilibrium and then fishing effort is applied in accordance to the fleet model. The MPAs are then placed during the randomly selected start year, allowing some runs to explore how the early dynamics of the MPA play out when the fishery and population they are placed on is not already at equilibrium. Each simulation is run to equilibrium with and without the selected MPA strategy (holding all else constant). We then measure the difference in biomass densities each time step in the scenario with and without the MPAs to calculate the regional conservation effect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5334000" cy="8001000"/>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It is important to note that the model is agnostic as to the root causes of the parallel trends, so long as they hold.</w:t>
      </w:r>
    </w:p>
    <w:p>
      <w:pPr>
        <w:pStyle w:val="BodyText"/>
      </w:pPr>
      <w:r>
        <w:t xml:space="preserve">The regression amounts to estimating the pre-post MPA difference in the biomass densities of targeted species minus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 46% of the samples in the raw data come from within MPAs, while the MPAs themselves cover 20% of the surface waters of the Channel Islands. As such, we weight each observation such that within MPA data are assigned a total weight of 0.2 and outside-MPA data a total weight of 0.8.</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(Fig.SXX). However, we believe that the parallel trends assumption is likely violated in the post 2014 data.</w:t>
      </w:r>
    </w:p>
    <w:p>
      <w:pPr>
        <w:pStyle w:val="BodyText"/>
      </w:pPr>
      <w:r>
        <w:t xml:space="preserve">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w:t>
      </w:r>
      <w:r>
        <w:t xml:space="preserve"> </w:t>
      </w:r>
      <w:r>
        <w:t xml:space="preserve">(71, 72)</w:t>
      </w:r>
      <w:r>
        <w:t xml:space="preserve">. We used convergent cross mapping (CCM), in the manner of</w:t>
      </w:r>
      <w:r>
        <w:t xml:space="preserve"> </w:t>
      </w:r>
      <w:r>
        <w:t xml:space="preserve">(73)</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20"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(2012) The role of science in MPA establishment in California: A personal perspective.</w:t>
      </w:r>
      <w:r>
        <w:t xml:space="preserve"> </w:t>
      </w:r>
      <w:r>
        <w:rPr>
          <w:i/>
        </w:rPr>
        <w:t xml:space="preserve">Environmental Conservation</w:t>
      </w:r>
      <w:r>
        <w:t xml:space="preserve"> </w:t>
      </w:r>
      <w:r>
        <w:t xml:space="preserve">39(03):195–198.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Pauly D, Christensen V, Kitchell JF (2000) Representing Density Dependent Consequences of Life History Strategies in Aquatic Ecosystems: EcoSim II.</w:t>
      </w:r>
      <w:r>
        <w:t xml:space="preserve"> </w:t>
      </w:r>
      <w:r>
        <w:rPr>
          <w:i/>
        </w:rPr>
        <w:t xml:space="preserve">Ecosystems</w:t>
      </w:r>
      <w:r>
        <w:t xml:space="preserve"> </w:t>
      </w:r>
      <w:r>
        <w:t xml:space="preserve">3(1):70–83.</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white2010c"/>
    <w:p>
      <w:pPr>
        <w:pStyle w:val="Bibliography"/>
      </w:pPr>
      <w:r>
        <w:t xml:space="preserve">43. White JW, Botsford LW, Moffitt EA, Fischer DT (2010) Decision analysis for designing marine protected areas for multiple species with uncertain fishery status.</w:t>
      </w:r>
      <w:r>
        <w:t xml:space="preserve"> </w:t>
      </w:r>
      <w:r>
        <w:rPr>
          <w:i/>
        </w:rPr>
        <w:t xml:space="preserve">Ecological Applications</w:t>
      </w:r>
      <w:r>
        <w:t xml:space="preserve"> </w:t>
      </w:r>
      <w:r>
        <w:t xml:space="preserve">20(6):1523–1541.</w:t>
      </w:r>
    </w:p>
    <w:bookmarkEnd w:id="85"/>
    <w:bookmarkStart w:id="86" w:name="ref-costello2010a"/>
    <w:p>
      <w:pPr>
        <w:pStyle w:val="Bibliography"/>
      </w:pPr>
      <w:r>
        <w:t xml:space="preserve">44.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6"/>
    <w:bookmarkStart w:id="87" w:name="ref-thorson2017c"/>
    <w:p>
      <w:pPr>
        <w:pStyle w:val="Bibliography"/>
      </w:pPr>
      <w:r>
        <w:t xml:space="preserve">45. Thorson JT, Munch SB, Cope JM, Gao J (2017) Predicting life history parameters for all fishes worldwide.</w:t>
      </w:r>
      <w:r>
        <w:t xml:space="preserve"> </w:t>
      </w:r>
      <w:r>
        <w:rPr>
          <w:i/>
        </w:rPr>
        <w:t xml:space="preserve">Ecological Applications</w:t>
      </w:r>
      <w:r>
        <w:t xml:space="preserve">:n/a–n/a.</w:t>
      </w:r>
    </w:p>
    <w:bookmarkEnd w:id="87"/>
    <w:bookmarkStart w:id="88" w:name="ref-love2011"/>
    <w:p>
      <w:pPr>
        <w:pStyle w:val="Bibliography"/>
      </w:pPr>
      <w:r>
        <w:t xml:space="preserve">46.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8"/>
    <w:bookmarkStart w:id="89" w:name="ref-rassweiler2012"/>
    <w:p>
      <w:pPr>
        <w:pStyle w:val="Bibliography"/>
      </w:pPr>
      <w:r>
        <w:t xml:space="preserve">47.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9"/>
    <w:bookmarkStart w:id="90" w:name="ref-alonzo2004"/>
    <w:p>
      <w:pPr>
        <w:pStyle w:val="Bibliography"/>
      </w:pPr>
      <w:r>
        <w:t xml:space="preserve">48. Alonzo S, Key M, Ish T, MacCall AD (2004)</w:t>
      </w:r>
      <w:r>
        <w:t xml:space="preserve"> </w:t>
      </w:r>
      <w:r>
        <w:rPr>
          <w:i/>
        </w:rPr>
        <w:t xml:space="preserve">Status of the California Sheephead Stock for 2004</w:t>
      </w:r>
      <w:r>
        <w:t xml:space="preserve">.</w:t>
      </w:r>
    </w:p>
    <w:bookmarkEnd w:id="90"/>
    <w:bookmarkStart w:id="91" w:name="ref-dick2017"/>
    <w:p>
      <w:pPr>
        <w:pStyle w:val="Bibliography"/>
      </w:pPr>
      <w:r>
        <w:t xml:space="preserve">49.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1"/>
    <w:bookmarkStart w:id="92" w:name="ref-ferraro2018"/>
    <w:p>
      <w:pPr>
        <w:pStyle w:val="Bibliography"/>
      </w:pPr>
      <w:r>
        <w:t xml:space="preserve">50. Ferraro PJ, Sanchirico JN, Smith MD (2018) Causal inference in coupled human and natural systems.</w:t>
      </w:r>
      <w:r>
        <w:t xml:space="preserve"> </w:t>
      </w:r>
      <w:r>
        <w:rPr>
          <w:i/>
        </w:rPr>
        <w:t xml:space="preserve">Proceedings of the National Academy of Sciences</w:t>
      </w:r>
      <w:r>
        <w:t xml:space="preserve">:201805563.</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halpern2004"/>
    <w:p>
      <w:pPr>
        <w:pStyle w:val="Bibliography"/>
      </w:pPr>
      <w:r>
        <w:t xml:space="preserve">53.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6"/>
    <w:bookmarkStart w:id="97" w:name="ref-liu2018"/>
    <w:p>
      <w:pPr>
        <w:pStyle w:val="Bibliography"/>
      </w:pPr>
      <w:r>
        <w:t xml:space="preserve">54. Liu OR, Kleisner KM, Smith SL, Kritzer JP (2018) The use of spatial management tools in rights-based groundfish fisheries.</w:t>
      </w:r>
      <w:r>
        <w:t xml:space="preserve"> </w:t>
      </w:r>
      <w:r>
        <w:rPr>
          <w:i/>
        </w:rPr>
        <w:t xml:space="preserve">Fish and Fisheries</w:t>
      </w:r>
      <w:r>
        <w:t xml:space="preserve"> </w:t>
      </w:r>
      <w:r>
        <w:t xml:space="preserve">19(5):821–838.</w:t>
      </w:r>
    </w:p>
    <w:bookmarkEnd w:id="97"/>
    <w:bookmarkStart w:id="98" w:name="ref-gentemann2017"/>
    <w:p>
      <w:pPr>
        <w:pStyle w:val="Bibliography"/>
      </w:pPr>
      <w:r>
        <w:t xml:space="preserve">55.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8"/>
    <w:bookmarkStart w:id="99" w:name="ref-freedman2019"/>
    <w:p>
      <w:pPr>
        <w:pStyle w:val="Bibliography"/>
      </w:pPr>
      <w:r>
        <w:t xml:space="preserve">56. Freedman R (2019) Understanding the Efficacy of Spatial Management on Emerging Threats. PhD thesis (University of California, Santa Barbara).</w:t>
      </w:r>
    </w:p>
    <w:bookmarkEnd w:id="99"/>
    <w:bookmarkStart w:id="100" w:name="ref-fao2018"/>
    <w:p>
      <w:pPr>
        <w:pStyle w:val="Bibliography"/>
      </w:pPr>
      <w:r>
        <w:t xml:space="preserve">57. FAO ed. (2018)</w:t>
      </w:r>
      <w:r>
        <w:t xml:space="preserve"> </w:t>
      </w:r>
      <w:r>
        <w:rPr>
          <w:i/>
        </w:rPr>
        <w:t xml:space="preserve">The state of world fisheries and aquaculture</w:t>
      </w:r>
      <w:r>
        <w:t xml:space="preserve"> </w:t>
      </w:r>
      <w:r>
        <w:t xml:space="preserve">(Rome).</w:t>
      </w:r>
    </w:p>
    <w:bookmarkEnd w:id="100"/>
    <w:bookmarkStart w:id="101" w:name="ref-thorson2012"/>
    <w:p>
      <w:pPr>
        <w:pStyle w:val="Bibliography"/>
      </w:pPr>
      <w:r>
        <w:t xml:space="preserve">58.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101"/>
    <w:bookmarkStart w:id="102" w:name="ref-costello2012"/>
    <w:p>
      <w:pPr>
        <w:pStyle w:val="Bibliography"/>
      </w:pPr>
      <w:r>
        <w:t xml:space="preserve">59. Costello C, Gaines S, Gerber LR (2012) Conservation science: A market approach to saving the whales.</w:t>
      </w:r>
      <w:r>
        <w:t xml:space="preserve"> </w:t>
      </w:r>
      <w:r>
        <w:rPr>
          <w:i/>
        </w:rPr>
        <w:t xml:space="preserve">Nature</w:t>
      </w:r>
      <w:r>
        <w:t xml:space="preserve"> </w:t>
      </w:r>
      <w:r>
        <w:t xml:space="preserve">481(7380):139–140.</w:t>
      </w:r>
    </w:p>
    <w:bookmarkEnd w:id="102"/>
    <w:bookmarkStart w:id="103" w:name="ref-rosenberg2018"/>
    <w:p>
      <w:pPr>
        <w:pStyle w:val="Bibliography"/>
      </w:pPr>
      <w:r>
        <w:t xml:space="preserve">60.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3"/>
    <w:bookmarkStart w:id="104" w:name="ref-halpern2002"/>
    <w:p>
      <w:pPr>
        <w:pStyle w:val="Bibliography"/>
      </w:pPr>
      <w:r>
        <w:t xml:space="preserve">61. Halpern BS, Warner RR (2002) Marine reserves have rapid and lasting effects.</w:t>
      </w:r>
      <w:r>
        <w:t xml:space="preserve"> </w:t>
      </w:r>
      <w:r>
        <w:rPr>
          <w:i/>
        </w:rPr>
        <w:t xml:space="preserve">Ecology Letters</w:t>
      </w:r>
      <w:r>
        <w:t xml:space="preserve"> </w:t>
      </w:r>
      <w:r>
        <w:t xml:space="preserve">5(3):361–366.</w:t>
      </w:r>
    </w:p>
    <w:bookmarkEnd w:id="104"/>
    <w:bookmarkStart w:id="106" w:name="ref-nickols2019"/>
    <w:p>
      <w:pPr>
        <w:pStyle w:val="Bibliography"/>
      </w:pPr>
      <w:r>
        <w:t xml:space="preserve">62.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5">
        <w:r>
          <w:rPr>
            <w:rStyle w:val="Hyperlink"/>
          </w:rPr>
          <w:t xml:space="preserve">10.1111/1365-2664.13463</w:t>
        </w:r>
      </w:hyperlink>
      <w:r>
        <w:t xml:space="preserve">.</w:t>
      </w:r>
    </w:p>
    <w:bookmarkEnd w:id="106"/>
    <w:bookmarkStart w:id="108" w:name="ref-hilborn1992b"/>
    <w:p>
      <w:pPr>
        <w:pStyle w:val="Bibliography"/>
      </w:pPr>
      <w:r>
        <w:t xml:space="preserve">63. Hilborn R, Walters CJ (1992)</w:t>
      </w:r>
      <w:r>
        <w:t xml:space="preserve"> </w:t>
      </w:r>
      <w:r>
        <w:rPr>
          <w:i/>
        </w:rPr>
        <w:t xml:space="preserve">Quantitative Fisheries Stock Assessment</w:t>
      </w:r>
      <w:r>
        <w:t xml:space="preserve"> </w:t>
      </w:r>
      <w:r>
        <w:t xml:space="preserve">(Springer US, Boston, MA) doi:</w:t>
      </w:r>
      <w:hyperlink r:id="rId107">
        <w:r>
          <w:rPr>
            <w:rStyle w:val="Hyperlink"/>
          </w:rPr>
          <w:t xml:space="preserve">10.1007/978-1-4615-3598-0</w:t>
        </w:r>
      </w:hyperlink>
      <w:r>
        <w:t xml:space="preserve">.</w:t>
      </w:r>
    </w:p>
    <w:bookmarkEnd w:id="108"/>
    <w:bookmarkStart w:id="109" w:name="ref-field2006a"/>
    <w:p>
      <w:pPr>
        <w:pStyle w:val="Bibliography"/>
      </w:pPr>
      <w:r>
        <w:t xml:space="preserve">64. Field JC, Punt AE, Methot RD, Thomson CJ (2006) Does MPA mean “Major Problem for Assessments”? Considering the consequences of place-based management systems.</w:t>
      </w:r>
      <w:r>
        <w:t xml:space="preserve"> </w:t>
      </w:r>
      <w:r>
        <w:rPr>
          <w:i/>
        </w:rPr>
        <w:t xml:space="preserve">Fish and Fisheries</w:t>
      </w:r>
      <w:r>
        <w:t xml:space="preserve"> </w:t>
      </w:r>
      <w:r>
        <w:t xml:space="preserve">7(4):284–302.</w:t>
      </w:r>
    </w:p>
    <w:bookmarkEnd w:id="109"/>
    <w:bookmarkStart w:id="110" w:name="ref-kaplan2019"/>
    <w:p>
      <w:pPr>
        <w:pStyle w:val="Bibliography"/>
      </w:pPr>
      <w:r>
        <w:t xml:space="preserve">65. Kaplan KA, et al. (2019) Setting expected timelines of fished population recovery for the adaptive management of a marine protected area network.</w:t>
      </w:r>
      <w:r>
        <w:t xml:space="preserve"> </w:t>
      </w:r>
      <w:r>
        <w:rPr>
          <w:i/>
        </w:rPr>
        <w:t xml:space="preserve">Ecological Applications</w:t>
      </w:r>
      <w:r>
        <w:t xml:space="preserve"> </w:t>
      </w:r>
      <w:r>
        <w:t xml:space="preserve">29(6):e01949.</w:t>
      </w:r>
    </w:p>
    <w:bookmarkEnd w:id="110"/>
    <w:bookmarkStart w:id="111" w:name="ref-rcoreteam2019"/>
    <w:p>
      <w:pPr>
        <w:pStyle w:val="Bibliography"/>
      </w:pPr>
      <w:r>
        <w:t xml:space="preserve">66. R Core Team (2019) R: A Language and Environment for Statistical Computing.</w:t>
      </w:r>
    </w:p>
    <w:bookmarkEnd w:id="111"/>
    <w:bookmarkStart w:id="113" w:name="ref-carpenter2017"/>
    <w:p>
      <w:pPr>
        <w:pStyle w:val="Bibliography"/>
      </w:pPr>
      <w:r>
        <w:t xml:space="preserve">67.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12">
        <w:r>
          <w:rPr>
            <w:rStyle w:val="Hyperlink"/>
          </w:rPr>
          <w:t xml:space="preserve">10.18637/jss.v076.i01</w:t>
        </w:r>
      </w:hyperlink>
      <w:r>
        <w:t xml:space="preserve">.</w:t>
      </w:r>
    </w:p>
    <w:bookmarkEnd w:id="113"/>
    <w:bookmarkStart w:id="114" w:name="ref-goodrich2020"/>
    <w:p>
      <w:pPr>
        <w:pStyle w:val="Bibliography"/>
      </w:pPr>
      <w:r>
        <w:t xml:space="preserve">68. Goodrich B, Ali I, Brilleman S (2020) Rstanarm: Bayesian applied regression modeling via Stan.</w:t>
      </w:r>
    </w:p>
    <w:bookmarkEnd w:id="114"/>
    <w:bookmarkStart w:id="115" w:name="ref-mace1994"/>
    <w:p>
      <w:pPr>
        <w:pStyle w:val="Bibliography"/>
      </w:pPr>
      <w:r>
        <w:t xml:space="preserve">69.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15"/>
    <w:bookmarkStart w:id="116" w:name="ref-babcock2011"/>
    <w:p>
      <w:pPr>
        <w:pStyle w:val="Bibliography"/>
      </w:pPr>
      <w:r>
        <w:t xml:space="preserve">70.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6"/>
    <w:bookmarkStart w:id="117" w:name="ref-babcock2010"/>
    <w:p>
      <w:pPr>
        <w:pStyle w:val="Bibliography"/>
      </w:pPr>
      <w:r>
        <w:t xml:space="preserve">71.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7"/>
    <w:bookmarkStart w:id="118" w:name="ref-pershing2015a"/>
    <w:p>
      <w:pPr>
        <w:pStyle w:val="Bibliography"/>
      </w:pPr>
      <w:r>
        <w:t xml:space="preserve">72.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8"/>
    <w:bookmarkStart w:id="119" w:name="ref-clark2015"/>
    <w:p>
      <w:pPr>
        <w:pStyle w:val="Bibliography"/>
      </w:pPr>
      <w:r>
        <w:t xml:space="preserve">73. Clark AT, et al. (2015) Spatial convergent cross mapping to detect causal relationships from short time series.</w:t>
      </w:r>
      <w:r>
        <w:t xml:space="preserve"> </w:t>
      </w:r>
      <w:r>
        <w:rPr>
          <w:i/>
        </w:rPr>
        <w:t xml:space="preserve">Ecology</w:t>
      </w:r>
      <w:r>
        <w:t xml:space="preserve"> </w:t>
      </w:r>
      <w:r>
        <w:t xml:space="preserve">96(5):1174–1181.</w:t>
      </w:r>
    </w:p>
    <w:bookmarkEnd w:id="119"/>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7" Target="https://doi.org/10.1007/978-1-4615-3598-0" TargetMode="External" /><Relationship Type="http://schemas.openxmlformats.org/officeDocument/2006/relationships/hyperlink" Id="rId105"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12"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7" Target="https://doi.org/10.1007/978-1-4615-3598-0" TargetMode="External" /><Relationship Type="http://schemas.openxmlformats.org/officeDocument/2006/relationships/hyperlink" Id="rId105"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12"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Marine Proteced Areas on Regional Conservation Goals Are Unclear</dc:title>
  <dc:creator>Daniel Ovando; Jennifer E. Caselle; Christopher Costello; Olivier Deschenes; Steven D. Gaines; Ray Hilborn; Owen Liu</dc:creator>
  <cp:keywords/>
  <dcterms:created xsi:type="dcterms:W3CDTF">2020-04-22T21:42:32Z</dcterms:created>
  <dcterms:modified xsi:type="dcterms:W3CDTF">2020-04-22T21:42:32Z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the importance and challenges of estimating regional MPA effects.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of targeted finfish throughout the Channel Islands region. We use a bio-economic simulation model to explain this discrepancy, and demonstrate under what conditions we likely can and cannot clearly estimate the regional conservation effects of MPAs. We show that MPA effect sizes less than 30% are likely to be difficult to detect, and the size of many MPA networks suggests that effect sizes may often be smaller than 30%. Our results provide a novel assessment of the regional effects of a large and iconic Marine Protected Area network, and provide guidance for communities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2020-04-22</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