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Makes</w:t>
      </w:r>
      <w:r>
        <w:t xml:space="preserve"> </w:t>
      </w:r>
      <w:r>
        <w:t xml:space="preserve">Penguins</w:t>
      </w:r>
      <w:r>
        <w:t xml:space="preserve"> </w:t>
      </w:r>
      <w:r>
        <w:t xml:space="preserve">Chonky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Ovando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Ovando</w:t>
      </w:r>
    </w:p>
    <w:p>
      <w:pPr>
        <w:pStyle w:val="Date"/>
      </w:pPr>
      <w:r>
        <w:t xml:space="preserve">2020-11-16</w:t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Penguins are pretty great. However,</w:t>
      </w:r>
      <w:r>
        <w:t xml:space="preserve"> </w:t>
      </w:r>
      <w:r>
        <w:t xml:space="preserve">Keum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(2001)</w:t>
      </w:r>
      <w:r>
        <w:t xml:space="preserve"> </w:t>
      </w:r>
      <w:r>
        <w:t xml:space="preserve">showed that both fat and imaginary penguins can</w:t>
      </w:r>
      <w:r>
        <w:t xml:space="preserve"> </w:t>
      </w:r>
      <w:r>
        <w:t xml:space="preserve">“</w:t>
      </w:r>
      <w:r>
        <w:t xml:space="preserve">decay amplitudes in perturbative QCD picture</w:t>
      </w:r>
      <w:r>
        <w:t xml:space="preserve">”</w:t>
      </w:r>
      <w:r>
        <w:t xml:space="preserve">. Since that sounds pretty bad, we should probably figure out what makes penguins fat, if not imaginary. The mean penguin weighs 9.2632844 pounds.</w:t>
      </w:r>
    </w:p>
    <w:p>
      <w:pPr>
        <w:pStyle w:val="BodyText"/>
      </w:pPr>
      <w:r>
        <w:t xml:space="preserve">Male penguins tend to be fatter than female penguins, and it looks like Gentoo penguins on Biscoe island might be at serious risk of perturbing the QCD picture (Fig.</w:t>
      </w:r>
      <w:r>
        <w:t xml:space="preserve">1.1</w:t>
      </w:r>
      <w:r>
        <w:t xml:space="preserve">)</w:t>
      </w:r>
      <w:r>
        <w:t xml:space="preserve"> </w:t>
      </w:r>
      <w:r>
        <w:t xml:space="preserve">(Keum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2001; Horst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2020)</w:t>
      </w:r>
      <w:r>
        <w:t xml:space="preserve">.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.1: Distribution of penguin weight in grams by sex,species, and island." title="" id="1" name="Picture"/>
            <a:graphic>
              <a:graphicData uri="http://schemas.openxmlformats.org/drawingml/2006/picture">
                <pic:pic>
                  <pic:nvPicPr>
                    <pic:cNvPr descr="my-pub_files/figure-docx/weight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Distribution of penguin weight in grams by sex,species, and island.</w:t>
      </w:r>
    </w:p>
    <w:p>
      <w:pPr>
        <w:pStyle w:val="BodyText"/>
      </w:pPr>
      <w:r>
        <w:t xml:space="preserve">But, it seems like bill length and flipper length matter too (Fig.</w:t>
      </w:r>
      <w:r>
        <w:t xml:space="preserve">1.2</w:t>
      </w:r>
      <w:r>
        <w:t xml:space="preserve">).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.2: Penguin body mass from Horst et al. (2020) as a function of bill length and flipper length" title="" id="1" name="Picture"/>
            <a:graphic>
              <a:graphicData uri="http://schemas.openxmlformats.org/drawingml/2006/picture">
                <pic:pic>
                  <pic:nvPicPr>
                    <pic:cNvPr descr="my-pub_files/figure-docx/weight-plot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Penguin body mass from</w:t>
      </w:r>
      <w:r>
        <w:t xml:space="preserve"> </w:t>
      </w:r>
      <w:r>
        <w:t xml:space="preserve">Horst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(2020)</w:t>
      </w:r>
      <w:r>
        <w:t xml:space="preserve"> </w:t>
      </w:r>
      <w:r>
        <w:t xml:space="preserve">as a function of bill length and flipper length</w:t>
      </w:r>
    </w:p>
    <w:p>
      <w:pPr>
        <w:pStyle w:val="BodyText"/>
      </w:pPr>
      <w:r>
        <w:t xml:space="preserve">For those that like tables, here’s a table of some penguins (Table.</w:t>
      </w:r>
      <w:r>
        <w:t xml:space="preserve">1.1</w:t>
      </w:r>
      <w:r>
        <w:t xml:space="preserve">).</w:t>
      </w:r>
    </w:p>
    <w:p>
      <w:pPr>
        <w:pStyle w:val="TableCaption"/>
      </w:pPr>
      <w:r>
        <w:t xml:space="preserve">Table 1.1: Here are some penguins</w:t>
      </w:r>
    </w:p>
    <w:tbl>
      <w:tblPr>
        <w:tblStyle w:val="Table"/>
        <w:tblW w:type="pct" w:w="5000.0"/>
        <w:tblLook w:firstRow="1"/>
        <w:tblCaption w:val="Table 1.1: Here are some penguins"/>
      </w:tblPr>
      <w:tblGrid>
        <w:gridCol w:w="711"/>
        <w:gridCol w:w="889"/>
        <w:gridCol w:w="1334"/>
        <w:gridCol w:w="1245"/>
        <w:gridCol w:w="1601"/>
        <w:gridCol w:w="1067"/>
        <w:gridCol w:w="622"/>
        <w:gridCol w:w="4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39.3</w:t>
            </w:r>
          </w:p>
        </w:tc>
        <w:tc>
          <w:p>
            <w:pPr>
              <w:pStyle w:val="Compact"/>
              <w:jc w:val="right"/>
            </w:pPr>
            <w:r>
              <w:t xml:space="preserve">20.6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3650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</w:tr>
    </w:tbl>
    <w:p>
      <w:pPr>
        <w:pStyle w:val="Heading1"/>
      </w:pPr>
      <w:bookmarkStart w:id="23" w:name="methods"/>
      <w:r>
        <w:t xml:space="preserve">2	Methods</w:t>
      </w:r>
      <w:bookmarkEnd w:id="23"/>
    </w:p>
    <w:p>
      <w:pPr>
        <w:pStyle w:val="FirstParagraph"/>
      </w:pPr>
      <w:r>
        <w:t xml:space="preserve">Here are two models we tried (Tab.</w:t>
      </w:r>
      <w:r>
        <w:t xml:space="preserve">2.1</w:t>
      </w:r>
      <w:r>
        <w:t xml:space="preserve">).</w:t>
      </w:r>
    </w:p>
    <w:p>
      <w:pPr>
        <w:pStyle w:val="TableCaption"/>
      </w:pPr>
      <w:r>
        <w:t xml:space="preserve">Table 2.1: Candidate models</w:t>
      </w:r>
    </w:p>
    <w:tbl>
      <w:tblPr>
        <w:tblStyle w:val="Table"/>
        <w:tblW w:type="pct" w:w="0.0"/>
        <w:tblLook w:firstRow="1"/>
        <w:tblCaption w:val="Table 2.1: Candidate mode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Abrev.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Islands!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Flippers!</w:t>
            </w:r>
          </w:p>
        </w:tc>
      </w:tr>
    </w:tbl>
    <w:p>
      <w:pPr>
        <w:pStyle w:val="Heading1"/>
      </w:pPr>
      <w:bookmarkStart w:id="24" w:name="results"/>
      <w:r>
        <w:t xml:space="preserve">3	Results</w:t>
      </w:r>
      <w:bookmarkEnd w:id="24"/>
    </w:p>
    <w:p>
      <w:pPr>
        <w:pStyle w:val="FirstParagraph"/>
      </w:pPr>
      <w:r>
        <w:t xml:space="preserve">Here are our models (Table.</w:t>
      </w:r>
      <w:r>
        <w:t xml:space="preserve">??</w:t>
      </w:r>
      <w:r>
        <w:t xml:space="preserve">)</w:t>
      </w:r>
    </w:p>
    <w:p>
      <w:pPr>
        <w:pStyle w:val="TableCaption"/>
      </w:pPr>
      <w:r>
        <w:t xml:space="preserve">Why are penguins fat?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4375.848***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-5736.897***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(51.323)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(307.959)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674.238***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(58.492)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islandDream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-996.806***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(63.735)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islandTorgersen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-997.284***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(88.356)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flipper_length_mm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(2.011)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bill_length_mm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(5.180)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5063.5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5078.8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-2561.630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-2527.741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142.318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536.626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Heading1"/>
      </w:pPr>
      <w:bookmarkStart w:id="25" w:name="discussion"/>
      <w:r>
        <w:t xml:space="preserve">4	Discussion</w:t>
      </w:r>
      <w:bookmarkEnd w:id="25"/>
    </w:p>
    <w:p>
      <w:pPr>
        <w:pStyle w:val="FirstParagraph"/>
      </w:pPr>
      <w:r>
        <w:t xml:space="preserve">Looks like team flipper is a better model than team island.</w:t>
      </w:r>
    </w:p>
    <w:p>
      <w:pPr>
        <w:pStyle w:val="BodyText"/>
      </w:pPr>
      <w:r>
        <w:t xml:space="preserve">For future research, we might try and model some presence and absence data using the binomial function (4.1)</w:t>
      </w:r>
    </w:p>
    <w:p>
      <w:pPr>
        <w:pStyle w:val="BodyText"/>
      </w:pPr>
    </w:p>
    <w:p>
      <w:pPr>
        <w:pStyle w:val="BodyText"/>
      </w:pPr>
      <w:r>
        <w:t xml:space="preserve">If someone gives us a lot more funding we will also do some state-space modeling</w:t>
      </w:r>
      <w:r>
        <w:t xml:space="preserve"> </w:t>
      </w:r>
      <w:r>
        <w:t xml:space="preserve">(Brooks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2017)</w:t>
      </w:r>
      <w:r>
        <w:t xml:space="preserve">, or some Bayesian stuff</w:t>
      </w:r>
      <w:r>
        <w:t xml:space="preserve"> </w:t>
      </w:r>
      <w:r>
        <w:t xml:space="preserve">(McElreath 2020)</w:t>
      </w:r>
      <w:r>
        <w:t xml:space="preserve">.</w:t>
      </w:r>
    </w:p>
    <w:p>
      <w:pPr>
        <w:pStyle w:val="Heading1"/>
      </w:pPr>
      <w:bookmarkStart w:id="26" w:name="references"/>
      <w:r>
        <w:t xml:space="preserve">5	References</w:t>
      </w:r>
      <w:bookmarkEnd w:id="26"/>
    </w:p>
    <w:bookmarkStart w:id="31" w:name="refs"/>
    <w:bookmarkStart w:id="27" w:name="ref-brooks2017"/>
    <w:p>
      <w:pPr>
        <w:pStyle w:val="Bibliography"/>
      </w:pPr>
      <w:r>
        <w:t xml:space="preserve">Brooks, M.E., Kristensen, K., van Benthem, K.J., et al. (2017) glmmTMB balances speed and flexibility among packages for zero-inflated generalized linear mixed modeling.</w:t>
      </w:r>
      <w:r>
        <w:t xml:space="preserve"> </w:t>
      </w:r>
      <w:r>
        <w:rPr>
          <w:i/>
        </w:rPr>
        <w:t xml:space="preserve">The R journal</w:t>
      </w:r>
      <w:r>
        <w:t xml:space="preserve"> </w:t>
      </w:r>
      <w:r>
        <w:rPr>
          <w:b/>
        </w:rPr>
        <w:t xml:space="preserve">9</w:t>
      </w:r>
      <w:r>
        <w:t xml:space="preserve">, 378–400.</w:t>
      </w:r>
    </w:p>
    <w:bookmarkEnd w:id="27"/>
    <w:bookmarkStart w:id="28" w:name="ref-horst2020"/>
    <w:p>
      <w:pPr>
        <w:pStyle w:val="Bibliography"/>
      </w:pPr>
      <w:r>
        <w:t xml:space="preserve">Horst, A.M., Hill, A.P. and Gorman, K.B. (2020) Allisonhorst/palmerpenguins: V0.1.0.</w:t>
      </w:r>
    </w:p>
    <w:bookmarkEnd w:id="28"/>
    <w:bookmarkStart w:id="29" w:name="ref-keum2001"/>
    <w:p>
      <w:pPr>
        <w:pStyle w:val="Bibliography"/>
      </w:pPr>
      <w:r>
        <w:t xml:space="preserve">Keum, Y.-Y., Li, H.-n. and Sanda, A.I. (2001) Fat penguins and imaginary penguins in perturbative QCD.</w:t>
      </w:r>
      <w:r>
        <w:t xml:space="preserve"> </w:t>
      </w:r>
      <w:r>
        <w:rPr>
          <w:i/>
        </w:rPr>
        <w:t xml:space="preserve">Physics Letters B</w:t>
      </w:r>
      <w:r>
        <w:t xml:space="preserve"> </w:t>
      </w:r>
      <w:r>
        <w:rPr>
          <w:b/>
        </w:rPr>
        <w:t xml:space="preserve">504</w:t>
      </w:r>
      <w:r>
        <w:t xml:space="preserve">, 6–14.</w:t>
      </w:r>
    </w:p>
    <w:bookmarkEnd w:id="29"/>
    <w:bookmarkStart w:id="30" w:name="ref-mcelreath2020"/>
    <w:p>
      <w:pPr>
        <w:pStyle w:val="Bibliography"/>
      </w:pPr>
      <w:r>
        <w:t xml:space="preserve">McElreath, R. (2020)</w:t>
      </w:r>
      <w:r>
        <w:t xml:space="preserve"> </w:t>
      </w:r>
      <w:r>
        <w:rPr>
          <w:i/>
        </w:rPr>
        <w:t xml:space="preserve">Statistical rethinking: A Bayesian course with examples in R and Stan</w:t>
      </w:r>
      <w:r>
        <w:t xml:space="preserve">, Second (CRC texts in statistical science). Taylor and Francis, CRC Press, Boca Raton.</w:t>
      </w:r>
    </w:p>
    <w:bookmarkEnd w:id="30"/>
    <w:bookmarkEnd w:id="31"/>
    <w:p>
      <w:r>
        <w:br w:type="page"/>
      </w:r>
    </w:p>
    <w:p>
      <w:pPr>
        <w:pStyle w:val="Heading1"/>
      </w:pPr>
      <w:bookmarkStart w:id="32" w:name="supplementary-materials"/>
      <w:r>
        <w:t xml:space="preserve">6	Supplementary Materials</w:t>
      </w:r>
      <w:bookmarkEnd w:id="32"/>
    </w:p>
    <w:p>
      <w:pPr>
        <w:pStyle w:val="FirstParagraph"/>
      </w:pPr>
      <w:r>
        <w:t xml:space="preserve">Here are our Supplementary Materials</w:t>
      </w:r>
    </w:p>
    <w:p>
      <w:pPr>
        <w:pStyle w:val="BodyText"/>
      </w:pPr>
      <w:r>
        <w:t xml:space="preserve">Here is another flipper model (Table.</w:t>
      </w:r>
      <w:r>
        <w:t xml:space="preserve">??</w:t>
      </w:r>
      <w:r>
        <w:t xml:space="preserve">)</w:t>
      </w:r>
    </w:p>
    <w:p>
      <w:pPr>
        <w:pStyle w:val="TableCaption"/>
      </w:pPr>
      <w:r>
        <w:t xml:space="preserve">My SI flipper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 Flipper Model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185.365***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islandDream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(1.152)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islandTorgersen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2.809**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(1.195)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(1.033)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(1.005)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6.861***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(0.624)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2138.1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-1048.718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336.881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t xml:space="preserve">As a reminder, we thought about an equation (6.1).</w:t>
      </w:r>
    </w:p>
    <w:p>
      <w:pPr>
        <w:pStyle w:val="BodyText"/>
      </w:pPr>
    </w:p>
    <w:p>
      <w:r>
        <w:br w:type="page"/>
      </w:r>
    </w:p>
    <w:p>
      <w:pPr>
        <w:pStyle w:val="Heading1"/>
      </w:pPr>
      <w:bookmarkStart w:id="33" w:name="appendix"/>
      <w:r>
        <w:t xml:space="preserve">7	Appendix</w:t>
      </w:r>
      <w:bookmarkEnd w:id="33"/>
    </w:p>
    <w:p>
      <w:pPr>
        <w:pStyle w:val="FirstParagraph"/>
      </w:pPr>
      <w:r>
        <w:t xml:space="preserve">This is an appendix</w:t>
      </w:r>
    </w:p>
    <w:p>
      <w:pPr>
        <w:pStyle w:val="BodyText"/>
      </w:pPr>
      <w:r>
        <w:t xml:space="preserve">The appendix also has equations in it (7.1), as well as a reference</w:t>
      </w:r>
      <w:r>
        <w:t xml:space="preserve"> </w:t>
      </w:r>
      <w:r>
        <w:t xml:space="preserve">(Horst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2020)</w:t>
      </w:r>
    </w:p>
    <w:p>
      <w:pPr>
        <w:pStyle w:val="BodyText"/>
      </w:pPr>
    </w:p>
    <w:sectPr w:rsidR="00E041E0" w:rsidSect="0006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86"/>
  </w:style>
  <w:style w:type="paragraph" w:styleId="Heading1">
    <w:name w:val="heading 1"/>
    <w:basedOn w:val="Normal"/>
    <w:next w:val="Normal"/>
    <w:link w:val="Heading1Char"/>
    <w:uiPriority w:val="9"/>
    <w:qFormat/>
    <w:rsid w:val="001A038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8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8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8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8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8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8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8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8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8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8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8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8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8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86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038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A038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A038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A038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A038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A03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03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03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03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8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8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A0386"/>
    <w:rPr>
      <w:i/>
      <w:iCs/>
    </w:rPr>
  </w:style>
  <w:style w:type="character" w:styleId="IntenseEmphasis">
    <w:name w:val="Intense Emphasis"/>
    <w:uiPriority w:val="21"/>
    <w:qFormat/>
    <w:rsid w:val="001A038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A038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A038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A038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38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A0386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A0386"/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Makes Penguins Chonky</dc:title>
  <dc:creator>Dan Ovando; Daniel Ovando</dc:creator>
  <cp:keywords/>
  <dcterms:created xsi:type="dcterms:W3CDTF">2020-11-17T06:27:31Z</dcterms:created>
  <dcterms:modified xsi:type="dcterms:W3CDTF">2020-11-17T06:27:31Z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pubs-in-rmarkdown.bib</vt:lpwstr>
  </property>
  <property fmtid="{D5CDD505-2E9C-101B-9397-08002B2CF9AE}" pid="4" name="csl">
    <vt:lpwstr>fish-and-fisheries.csl</vt:lpwstr>
  </property>
  <property fmtid="{D5CDD505-2E9C-101B-9397-08002B2CF9AE}" pid="5" name="date">
    <vt:lpwstr>2020-11-16</vt:lpwstr>
  </property>
  <property fmtid="{D5CDD505-2E9C-101B-9397-08002B2CF9AE}" pid="6" name="linkcolor">
    <vt:lpwstr>blue</vt:lpwstr>
  </property>
  <property fmtid="{D5CDD505-2E9C-101B-9397-08002B2CF9AE}" pid="7" name="output">
    <vt:lpwstr/>
  </property>
  <property fmtid="{D5CDD505-2E9C-101B-9397-08002B2CF9AE}" pid="8" name="params">
    <vt:lpwstr/>
  </property>
</Properties>
</file>