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Frustration and Mood Effects in Ambiguous Language Processing in Autism Spectrum Disorder</w:t>
      </w: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Pace</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Oregon University</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everyday conversation, people often must infer meaning based on context, emotional tone, and prior knowledge. For most individuals, the inference process happens quickly and automatically. However, people with Autism Spectrum Disorder (ASD) often find vague, figurative, or ambiguous language more cognitively demanding than those without ASD, commonly referred to as neurotypical (NT) individuals. (Kalandadze et al., 2018; Vulchanova &amp; Vulchanov, 2022). Individuals must rely on metaphors and implied meanings to interpret figurative and ambiguous language, and collectively this kind of language falls under what is known as pragmatic language. While people with ASD often possess the linguistic skills needed to understand pragmatic content, they may struggle to apply these skills spontaneously in everyday situations (Petit et al., 2025). Researchers have extensively studied how autistic individuals process figurative language, but few studies examine whether mood or context impacts the frustration that may accompany vague or emotionally ambiguous language.</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have used brain imaging studies to explore the cognitive demands placed on autistic individuals during interpretation tasks. Using fMRI studies, researchers show that adults with ASD activate the amygdala more strongly than NT adults when interpreting language in noisy or distracting environments (Patterson et al., 2021). In addition, figurative language tasks activate broader frontal networks in autistic adults than in NT individuals, suggesting they exert more mental effort to complete similar tasks (Graves et al., 2022). The neurological differences observed align with self-reported experiences from individuals with ASD, many of whom describe feeling overstimulated in social situations, particularly when those situations require interpretation of indirect language and emotional subtext.</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Egidi and Gerrig (2009) showed that readers better understand narratives when their mood aligns with the story's emotional tone. More recently, Leung et al. (2024) found that NT participants benefitted from “mood-congruent priming” in facial expression recognition tasks where emotional primes made it easier to interpret matching expressions. In contrast, participants with ASD showed weaker effects, suggesting a difference in how they integrate emotional cues across sources.</w:t>
      </w:r>
    </w:p>
    <w:p w:rsidR="00000000" w:rsidDel="00000000" w:rsidP="00000000" w:rsidRDefault="00000000" w:rsidRPr="00000000" w14:paraId="0000001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individuals interpret ambiguous language they must rely more on internal cues such as mood, experience, or emotional associations. When a person’s emotional state aligns with the emotional tone of the context they may find interpretation to be more intuitive. However, people with ASD may have difficulty assessing or integrating the emotional information on demand, and, as such, these cues may be unreliable. Mood and ambiguity may interact in different ways across neurotypes, either supporting understanding or increasing the cognitive demand. </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existing studies rely on simple, controlled stimuli and measure only accuracy, not the experience of interpretation. But real-world language is often vague and full of noise, and interpreting it can be frustrating, particularly for individuals with ASD. I aim to fill this gap by using music-based emotional primes and naturalistic song lyrics to measure frustration during an ambiguous language task, specifically addressing the question: Does mood influence frustration during ambiguous language interpretation, and does this differ by neurotype? </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answering this question, I hope to clarify the interplay between mood and linguistic ambiguity as it pertains to interpretative frustration and cognitive effort across neurotypes. Understanding that individuals with ASD may experience greater cognitive and emotional load during everyday communication can inform how we understand their communication challenges in school and work environments. Rather than being seen as resistant or uncooperative, these individuals may simply be using more cognitive resources to interpret the same information neurotypical individuals process intuitively.</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hypothesize that participants with ASD will report higher levels of frustration than NT participants during interpretation tasks, anxious music primes will increase frustration, especially for individuals with ASD, and happy music primes will reduce frustration for NT participants but have less effect on participants with ASD.</w:t>
      </w:r>
    </w:p>
    <w:p w:rsidR="00000000" w:rsidDel="00000000" w:rsidP="00000000" w:rsidRDefault="00000000" w:rsidRPr="00000000" w14:paraId="0000001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Participants</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recruit 80 adult participants between the ages of 18 and 40 through university flyers, social media, and community autism support groups. Half of the participants will self-identify as autistic, and half will be neurotypical (NT), meaning they do not meet clinical criteria for autism or other related conditions. Participants must speak English as their first language and report normal or corrected hearing and vision.</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participants will complete the AQ-10 (Ashwood et al., 2016), a brief screening tool for autistic traits. The AQ-10 includes 10 items drawn from the original 50-item Autism-Spectrum Quotient (Baron-Cohen et al., 2001). Each item is rated on a 4-point Likert scale ranging from 'definitely agree' to 'definitely disagree.' Responses are scored dichotomously, with one point given for each response characteristic of ASD. No items are reverse-scored. Scores range from 0 to 10, and a score of 6 or higher is considered positive for elevated autistic traits. A sample item from the AQ-10 is: 'I find it difficult to work out people’s intentions.'  I will use this score to confirm eligibility and group assignment.</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AQ-10 is not a diagnostic instrument, and Ashwood et al. (2016) found it had limited predictive power for clinical diagnosis, I will use it as a screening tool to ensure that participants who self-identify as autistic show some measurable traits consistent with ASD.</w:t>
      </w: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w:t>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will use a mixed design with two variables: Group (Autistic, NT) – between-subjects and Mood Prime (Happy, Anxious, Neutral) – within-subjects.</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participant will complete three blocks of trials with one per mood condition. I will counterbalance the order in which participants receive each mood condition to reduce order effects. That means one-third of participants will start with a happy prime, one-third with anxious, and one-third with neutral.</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independent variables will be neurotype and mood condition. The dependent variable will be frustration, measured on a Likert scale from 1 (not at all frustrated) to 5 (extremely frustrated) after each interpretation task. Participants will also select an interpretation for each lyric, giving us a secondary measure of their comprehension strategy (literal, subtextual, unrelated).</w:t>
      </w:r>
    </w:p>
    <w:p w:rsidR="00000000" w:rsidDel="00000000" w:rsidP="00000000" w:rsidRDefault="00000000" w:rsidRPr="00000000" w14:paraId="0000002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w:t>
      </w:r>
    </w:p>
    <w:p w:rsidR="00000000" w:rsidDel="00000000" w:rsidP="00000000" w:rsidRDefault="00000000" w:rsidRPr="00000000" w14:paraId="00000027">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Music Primes</w:t>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trial block will begin with a 15-second instrumental music clip. I will use a total of nine clips (three per mood type) to maintain emotional freshness and avoid repetition effects. Happy music will be major-key and upbeat; anxious clips will be in minor key with dissonance; neutral clips will be ambient or slow-paced.</w:t>
      </w:r>
    </w:p>
    <w:p w:rsidR="00000000" w:rsidDel="00000000" w:rsidP="00000000" w:rsidRDefault="00000000" w:rsidRPr="00000000" w14:paraId="00000029">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Lyric Stimuli</w:t>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read 30 ambiguous three-line song lyrics from alternative and indie rock tracks. These lyrics will appear one at a time on the screen and will be pre-rated as emotionally vague or open to interpretation. For each lyric, participants will choose between three options: a literal meaning, a plausible subtextual interpretation, and an unrelated foil.</w:t>
      </w:r>
    </w:p>
    <w:p w:rsidR="00000000" w:rsidDel="00000000" w:rsidP="00000000" w:rsidRDefault="00000000" w:rsidRPr="00000000" w14:paraId="0000002B">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Frustration Rating</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each interpretation, participants will answer: “How frustrated did you feel while interpreting this lyric?” on a digital Likert scale from 1 to 5 using a keyboard or on-screen buttons.</w:t>
      </w:r>
    </w:p>
    <w:p w:rsidR="00000000" w:rsidDel="00000000" w:rsidP="00000000" w:rsidRDefault="00000000" w:rsidRPr="00000000" w14:paraId="0000002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complete the study in a quiet, low-distraction environment using a computer. After giving informed consent and completing the AQ-10 and a baseline mood questionnaire, participants will begin the main task.</w:t>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participant will complete three trial blocks (happy, anxious, neutral), with 10 lyric tasks per block. Before each block, they will listen to a 15-second mood-inducing music clip. Then they will read the lyric excerpt, choose an interpretation using a keyboard or mouse, and rate their level of frustration digitally on a scale from 1 to 5.</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will randomize the order of music blocks and lyrics to reduce bias. At the end of the study, participants will be debriefed and compensated with a $25 gift card for their time.</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36">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Ashwood, K. L., Gillan, N., Horder, J., Hayward, H., Woodhouse, E., McEwen, F. S., … Murphy, D. G. (2016). Predicting the diagnosis of autism in adults using the Autism-Spectrum Quotient (AQ) questionnaire.</w:t>
      </w:r>
      <w:r w:rsidDel="00000000" w:rsidR="00000000" w:rsidRPr="00000000">
        <w:rPr>
          <w:rFonts w:ascii="Times New Roman" w:cs="Times New Roman" w:eastAsia="Times New Roman" w:hAnsi="Times New Roman"/>
          <w:i w:val="1"/>
          <w:iCs w:val="1"/>
          <w:sz w:val="24"/>
          <w:szCs w:val="24"/>
          <w:rtl w:val="0"/>
        </w:rPr>
        <w:t xml:space="preserve"> Psychological Medicine, 46</w:t>
      </w:r>
      <w:r w:rsidDel="00000000" w:rsidR="00000000" w:rsidRPr="00000000">
        <w:rPr>
          <w:rFonts w:ascii="Times New Roman" w:cs="Times New Roman" w:eastAsia="Times New Roman" w:hAnsi="Times New Roman"/>
          <w:sz w:val="24"/>
          <w:szCs w:val="24"/>
          <w:rtl w:val="0"/>
        </w:rPr>
        <w:t xml:space="preserve">(12), 2595–2604. doi:10.1017/S0033291716001082</w:t>
      </w:r>
    </w:p>
    <w:p w:rsidR="00000000" w:rsidDel="00000000" w:rsidP="00000000" w:rsidRDefault="00000000" w:rsidRPr="00000000" w14:paraId="00000037">
      <w:pPr>
        <w:spacing w:line="480"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Baron-Cohen, S., Wheelwright, S., Skinner, R., Martin, J., &amp; Clubley, E. (2001). The Autism-Spectrum Quotient (AQ): Evidence from asperger syndrome/high-functioning autism, males and females, scientists and mathematicians. </w:t>
      </w:r>
      <w:r w:rsidDel="00000000" w:rsidR="00000000" w:rsidRPr="00000000">
        <w:rPr>
          <w:rFonts w:ascii="Times New Roman" w:cs="Times New Roman" w:eastAsia="Times New Roman" w:hAnsi="Times New Roman"/>
          <w:i w:val="1"/>
          <w:iCs w:val="1"/>
          <w:sz w:val="24"/>
          <w:szCs w:val="24"/>
          <w:rtl w:val="0"/>
        </w:rPr>
        <w:t xml:space="preserve">Journal of Autism and Developmental Disorders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(1), 5–17.</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https://doi.org/10.1023/A:1005653411471</w:t>
        </w:r>
      </w:hyperlink>
      <w:r w:rsidDel="00000000" w:rsidR="00000000" w:rsidRPr="00000000">
        <w:rPr>
          <w:rtl w:val="0"/>
        </w:rPr>
      </w:r>
    </w:p>
    <w:p w:rsidR="00000000" w:rsidDel="00000000" w:rsidP="00000000" w:rsidRDefault="00000000" w:rsidRPr="00000000" w14:paraId="00000038">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Egidi, G., &amp; Gerrig, R. J. (2009). How valence affects language processing: Negativity bias and mood congruence in narrative comprehension. </w:t>
      </w:r>
      <w:r w:rsidDel="00000000" w:rsidR="00000000" w:rsidRPr="00000000">
        <w:rPr>
          <w:rFonts w:ascii="Times New Roman" w:cs="Times New Roman" w:eastAsia="Times New Roman" w:hAnsi="Times New Roman"/>
          <w:i w:val="1"/>
          <w:iCs w:val="1"/>
          <w:sz w:val="24"/>
          <w:szCs w:val="24"/>
          <w:rtl w:val="0"/>
        </w:rPr>
        <w:t xml:space="preserve">Memory &amp; Cognition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(5), 547–555.</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https://doi.org/10.3758/MC.37.5.547</w:t>
        </w:r>
      </w:hyperlink>
      <w:r w:rsidDel="00000000" w:rsidR="00000000" w:rsidRPr="00000000">
        <w:rPr>
          <w:rtl w:val="0"/>
        </w:rPr>
      </w:r>
    </w:p>
    <w:p w:rsidR="00000000" w:rsidDel="00000000" w:rsidP="00000000" w:rsidRDefault="00000000" w:rsidRPr="00000000" w14:paraId="00000039">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Graves, W. W., Levinson, H., Coulanges, L., Cahalan, S., Cruz, D., Sancimino, C., Bal, V. H., &amp; Rosenberg-Lee, M. (2022). Neural differences in social and figurative language processing on the autism spectrum. </w:t>
      </w:r>
      <w:r w:rsidDel="00000000" w:rsidR="00000000" w:rsidRPr="00000000">
        <w:rPr>
          <w:rFonts w:ascii="Times New Roman" w:cs="Times New Roman" w:eastAsia="Times New Roman" w:hAnsi="Times New Roman"/>
          <w:i w:val="1"/>
          <w:iCs w:val="1"/>
          <w:sz w:val="24"/>
          <w:szCs w:val="24"/>
          <w:rtl w:val="0"/>
        </w:rPr>
        <w:t xml:space="preserve">Neuropsychologia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171</w:t>
      </w:r>
      <w:r w:rsidDel="00000000" w:rsidR="00000000" w:rsidRPr="00000000">
        <w:rPr>
          <w:rFonts w:ascii="Times New Roman" w:cs="Times New Roman" w:eastAsia="Times New Roman" w:hAnsi="Times New Roman"/>
          <w:sz w:val="24"/>
          <w:szCs w:val="24"/>
          <w:rtl w:val="0"/>
        </w:rPr>
        <w:t xml:space="preserve">, Article 108240.</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https://doi.org/10.1016/j.neuropsychologia.2022.108240</w:t>
        </w:r>
      </w:hyperlink>
      <w:r w:rsidDel="00000000" w:rsidR="00000000" w:rsidRPr="00000000">
        <w:rPr>
          <w:rtl w:val="0"/>
        </w:rPr>
      </w:r>
    </w:p>
    <w:p w:rsidR="00000000" w:rsidDel="00000000" w:rsidP="00000000" w:rsidRDefault="00000000" w:rsidRPr="00000000" w14:paraId="0000003A">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Kalandadze, T., Norbury, C., Nærland, T., &amp; Næss, K.-A. B. (2018). Figurative language comprehension in individuals with autism spectrum disorder: A meta-analytic review. </w:t>
      </w:r>
      <w:r w:rsidDel="00000000" w:rsidR="00000000" w:rsidRPr="00000000">
        <w:rPr>
          <w:rFonts w:ascii="Times New Roman" w:cs="Times New Roman" w:eastAsia="Times New Roman" w:hAnsi="Times New Roman"/>
          <w:i w:val="1"/>
          <w:iCs w:val="1"/>
          <w:sz w:val="24"/>
          <w:szCs w:val="24"/>
          <w:rtl w:val="0"/>
        </w:rPr>
        <w:t xml:space="preserve">Autism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(2), 99–117.</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https://doi.org/10.1177/1362361316668652</w:t>
        </w:r>
      </w:hyperlink>
      <w:r w:rsidDel="00000000" w:rsidR="00000000" w:rsidRPr="00000000">
        <w:rPr>
          <w:rtl w:val="0"/>
        </w:rPr>
      </w:r>
    </w:p>
    <w:p w:rsidR="00000000" w:rsidDel="00000000" w:rsidP="00000000" w:rsidRDefault="00000000" w:rsidRPr="00000000" w14:paraId="0000003B">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Patterson, G., Cummings, K. K., Jung, J., Okada, N. J., Tottenham, N., Bookheimer, S. Y., Dapretto, M., &amp; Green, S. A. (2021). Effects of sensory distraction and salience priming on emotion identification in autism: An fMRI study. </w:t>
      </w:r>
      <w:r w:rsidDel="00000000" w:rsidR="00000000" w:rsidRPr="00000000">
        <w:rPr>
          <w:rFonts w:ascii="Times New Roman" w:cs="Times New Roman" w:eastAsia="Times New Roman" w:hAnsi="Times New Roman"/>
          <w:i w:val="1"/>
          <w:iCs w:val="1"/>
          <w:sz w:val="24"/>
          <w:szCs w:val="24"/>
          <w:rtl w:val="0"/>
        </w:rPr>
        <w:t xml:space="preserve">Journal of Neurodevelopmental Disorders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(1), Article 42.</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https://doi.org/10.1186/s11689-021-09391-0</w:t>
        </w:r>
      </w:hyperlink>
      <w:r w:rsidDel="00000000" w:rsidR="00000000" w:rsidRPr="00000000">
        <w:rPr>
          <w:rtl w:val="0"/>
        </w:rPr>
      </w:r>
    </w:p>
    <w:p w:rsidR="00000000" w:rsidDel="00000000" w:rsidP="00000000" w:rsidRDefault="00000000" w:rsidRPr="00000000" w14:paraId="0000003C">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Petit, N., Geoffray Cassar, M.-M., &amp; Baltazar, M. (2025). Some (but not all) pragmatic inferences are difficult for autistic children. </w:t>
      </w:r>
      <w:r w:rsidDel="00000000" w:rsidR="00000000" w:rsidRPr="00000000">
        <w:rPr>
          <w:rFonts w:ascii="Times New Roman" w:cs="Times New Roman" w:eastAsia="Times New Roman" w:hAnsi="Times New Roman"/>
          <w:i w:val="1"/>
          <w:iCs w:val="1"/>
          <w:sz w:val="24"/>
          <w:szCs w:val="24"/>
          <w:rtl w:val="0"/>
        </w:rPr>
        <w:t xml:space="preserve">Journal of Autism and Developmental Disorders</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https://doi.org/10.1007/s10803-025-06838-4</w:t>
        </w:r>
      </w:hyperlink>
      <w:r w:rsidDel="00000000" w:rsidR="00000000" w:rsidRPr="00000000">
        <w:rPr>
          <w:rtl w:val="0"/>
        </w:rPr>
      </w:r>
    </w:p>
    <w:p w:rsidR="00000000" w:rsidDel="00000000" w:rsidP="00000000" w:rsidRDefault="00000000" w:rsidRPr="00000000" w14:paraId="0000003D">
      <w:pPr>
        <w:spacing w:line="480" w:lineRule="auto"/>
        <w:ind w:left="880" w:hanging="44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Vulchanova, M., &amp; Vulchanov, V. (2022). Rethinking figurative language in autism: What evidence can we use for interventions? </w:t>
      </w:r>
      <w:r w:rsidDel="00000000" w:rsidR="00000000" w:rsidRPr="00000000">
        <w:rPr>
          <w:rFonts w:ascii="Times New Roman" w:cs="Times New Roman" w:eastAsia="Times New Roman" w:hAnsi="Times New Roman"/>
          <w:i w:val="1"/>
          <w:iCs w:val="1"/>
          <w:sz w:val="24"/>
          <w:szCs w:val="24"/>
          <w:rtl w:val="0"/>
        </w:rPr>
        <w:t xml:space="preserve">Frontiers in Communication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Article 910850.</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https://doi.org/10.3389/fcomm.2022.910850</w:t>
        </w:r>
      </w:hyperlink>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FRUSTRATION AND MOOD EFFECTS IN ASD</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i.org/10.1016/j.neuropsychologia.2022.108240" TargetMode="External"/><Relationship Id="rId10" Type="http://schemas.openxmlformats.org/officeDocument/2006/relationships/hyperlink" Target="https://doi.org/10.1016/j.neuropsychologia.2022.108240" TargetMode="External"/><Relationship Id="rId13" Type="http://schemas.openxmlformats.org/officeDocument/2006/relationships/hyperlink" Target="https://doi.org/10.1177/1362361316668652" TargetMode="External"/><Relationship Id="rId12" Type="http://schemas.openxmlformats.org/officeDocument/2006/relationships/hyperlink" Target="https://doi.org/10.1177/13623613166686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758/MC.37.5.547" TargetMode="External"/><Relationship Id="rId15" Type="http://schemas.openxmlformats.org/officeDocument/2006/relationships/hyperlink" Target="https://doi.org/10.1186/s11689-021-09391-0" TargetMode="External"/><Relationship Id="rId14" Type="http://schemas.openxmlformats.org/officeDocument/2006/relationships/hyperlink" Target="https://doi.org/10.1186/s11689-021-09391-0" TargetMode="External"/><Relationship Id="rId17" Type="http://schemas.openxmlformats.org/officeDocument/2006/relationships/hyperlink" Target="https://doi.org/10.1007/s10803-025-06838-4" TargetMode="External"/><Relationship Id="rId16" Type="http://schemas.openxmlformats.org/officeDocument/2006/relationships/hyperlink" Target="https://doi.org/10.1007/s10803-025-06838-4" TargetMode="External"/><Relationship Id="rId5" Type="http://schemas.openxmlformats.org/officeDocument/2006/relationships/styles" Target="styles.xml"/><Relationship Id="rId19" Type="http://schemas.openxmlformats.org/officeDocument/2006/relationships/hyperlink" Target="https://doi.org/10.3389/fcomm.2022.910850" TargetMode="External"/><Relationship Id="rId6" Type="http://schemas.openxmlformats.org/officeDocument/2006/relationships/hyperlink" Target="https://doi.org/10.1023/A:1005653411471" TargetMode="External"/><Relationship Id="rId18" Type="http://schemas.openxmlformats.org/officeDocument/2006/relationships/hyperlink" Target="https://doi.org/10.3389/fcomm.2022.910850" TargetMode="External"/><Relationship Id="rId7" Type="http://schemas.openxmlformats.org/officeDocument/2006/relationships/hyperlink" Target="https://doi.org/10.1023/A:1005653411471" TargetMode="External"/><Relationship Id="rId8" Type="http://schemas.openxmlformats.org/officeDocument/2006/relationships/hyperlink" Target="https://doi.org/10.3758/MC.37.5.5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