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4944C7" w14:textId="7B0C956E" w:rsidR="00C70E2A" w:rsidRDefault="00C70E2A" w:rsidP="00C70E2A">
      <w:pPr>
        <w:pStyle w:val="Heading2"/>
        <w:rPr>
          <w:rFonts w:eastAsia="Times New Roman"/>
        </w:rPr>
      </w:pPr>
      <w:r>
        <w:rPr>
          <w:rFonts w:eastAsia="Times New Roman"/>
        </w:rPr>
        <w:t xml:space="preserve">Welcome to the first edition of our monthly members’ bulletin, the Entrepreneurial Underwriter.  In addition to news from our members, this issue includes a deep dive into Lloyd’s coverholder business in Europe, an article on the advantages for MGAs of incorporating reinsurance captives in their capacity stacks, and an update on FASE’s annual conference, the MGA Rendezvous.   </w:t>
      </w:r>
    </w:p>
    <w:p w14:paraId="43F8462D" w14:textId="77777777" w:rsidR="00C70E2A" w:rsidRDefault="00C70E2A" w:rsidP="00EB3122">
      <w:pPr>
        <w:pStyle w:val="Heading1"/>
        <w:rPr>
          <w:rFonts w:eastAsia="Times New Roman"/>
        </w:rPr>
      </w:pPr>
    </w:p>
    <w:p w14:paraId="3AA4B089" w14:textId="77777777" w:rsidR="00C70E2A" w:rsidRDefault="00C70E2A" w:rsidP="00EB3122">
      <w:pPr>
        <w:pStyle w:val="Heading1"/>
        <w:rPr>
          <w:rFonts w:eastAsia="Times New Roman"/>
        </w:rPr>
      </w:pPr>
    </w:p>
    <w:p w14:paraId="5C6FB944" w14:textId="77777777" w:rsidR="00C70E2A" w:rsidRDefault="00C70E2A" w:rsidP="00EB3122">
      <w:pPr>
        <w:pStyle w:val="Heading1"/>
        <w:rPr>
          <w:rFonts w:eastAsia="Times New Roman"/>
        </w:rPr>
      </w:pPr>
    </w:p>
    <w:p w14:paraId="73F06D2D" w14:textId="77777777" w:rsidR="00C70E2A" w:rsidRDefault="00C70E2A" w:rsidP="00EB3122">
      <w:pPr>
        <w:pStyle w:val="Heading1"/>
        <w:rPr>
          <w:rFonts w:eastAsia="Times New Roman"/>
        </w:rPr>
      </w:pPr>
    </w:p>
    <w:p w14:paraId="36D55B08" w14:textId="77777777" w:rsidR="00C70E2A" w:rsidRDefault="00C70E2A" w:rsidP="00EB3122">
      <w:pPr>
        <w:pStyle w:val="Heading1"/>
        <w:rPr>
          <w:rFonts w:eastAsia="Times New Roman"/>
        </w:rPr>
      </w:pPr>
    </w:p>
    <w:p w14:paraId="78BFC296" w14:textId="77777777" w:rsidR="00C70E2A" w:rsidRDefault="00C70E2A" w:rsidP="00EB3122">
      <w:pPr>
        <w:pStyle w:val="Heading1"/>
        <w:rPr>
          <w:rFonts w:eastAsia="Times New Roman"/>
        </w:rPr>
      </w:pPr>
    </w:p>
    <w:p w14:paraId="580A5831" w14:textId="77777777" w:rsidR="00C70E2A" w:rsidRDefault="00C70E2A" w:rsidP="00EB3122">
      <w:pPr>
        <w:pStyle w:val="Heading1"/>
        <w:rPr>
          <w:rFonts w:eastAsia="Times New Roman"/>
        </w:rPr>
      </w:pPr>
    </w:p>
    <w:p w14:paraId="5CAD00AE" w14:textId="77777777" w:rsidR="00C70E2A" w:rsidRDefault="00C70E2A" w:rsidP="00EB3122">
      <w:pPr>
        <w:pStyle w:val="Heading1"/>
        <w:rPr>
          <w:rFonts w:eastAsia="Times New Roman"/>
        </w:rPr>
      </w:pPr>
    </w:p>
    <w:p w14:paraId="3C6F5ACF" w14:textId="77777777" w:rsidR="00C70E2A" w:rsidRDefault="00C70E2A" w:rsidP="00EB3122">
      <w:pPr>
        <w:pStyle w:val="Heading1"/>
        <w:rPr>
          <w:rFonts w:eastAsia="Times New Roman"/>
        </w:rPr>
      </w:pPr>
    </w:p>
    <w:p w14:paraId="4B0C48E9" w14:textId="77777777" w:rsidR="00C70E2A" w:rsidRDefault="00C70E2A" w:rsidP="00EB3122">
      <w:pPr>
        <w:pStyle w:val="Heading1"/>
        <w:rPr>
          <w:rFonts w:eastAsia="Times New Roman"/>
        </w:rPr>
      </w:pPr>
    </w:p>
    <w:p w14:paraId="4733302B" w14:textId="77777777" w:rsidR="00C70E2A" w:rsidRDefault="00C70E2A" w:rsidP="00EB3122">
      <w:pPr>
        <w:pStyle w:val="Heading1"/>
        <w:rPr>
          <w:rFonts w:eastAsia="Times New Roman"/>
        </w:rPr>
      </w:pPr>
    </w:p>
    <w:p w14:paraId="75111603" w14:textId="3155E4B1" w:rsidR="00EC6137" w:rsidRPr="00EB3122" w:rsidRDefault="00A9673D" w:rsidP="00EB3122">
      <w:pPr>
        <w:pStyle w:val="Heading1"/>
        <w:rPr>
          <w:rFonts w:eastAsia="Times New Roman"/>
        </w:rPr>
      </w:pPr>
      <w:proofErr w:type="gramStart"/>
      <w:r>
        <w:rPr>
          <w:rFonts w:eastAsia="Times New Roman"/>
        </w:rPr>
        <w:lastRenderedPageBreak/>
        <w:t>Lloyd’s</w:t>
      </w:r>
      <w:proofErr w:type="gramEnd"/>
      <w:r w:rsidR="00B55F45">
        <w:rPr>
          <w:rFonts w:eastAsia="Times New Roman"/>
        </w:rPr>
        <w:t xml:space="preserve"> in Europe:</w:t>
      </w:r>
      <w:r w:rsidR="003D0508">
        <w:rPr>
          <w:rFonts w:eastAsia="Times New Roman"/>
        </w:rPr>
        <w:t xml:space="preserve"> Coverholder Business Grow</w:t>
      </w:r>
      <w:r w:rsidR="006E1A7A">
        <w:rPr>
          <w:rFonts w:eastAsia="Times New Roman"/>
        </w:rPr>
        <w:t>ing</w:t>
      </w:r>
      <w:r w:rsidR="003D0508">
        <w:rPr>
          <w:rFonts w:eastAsia="Times New Roman"/>
        </w:rPr>
        <w:t xml:space="preserve"> Fast</w:t>
      </w:r>
      <w:r w:rsidR="006E1A7A">
        <w:rPr>
          <w:rFonts w:eastAsia="Times New Roman"/>
        </w:rPr>
        <w:t xml:space="preserve"> After 123 Years</w:t>
      </w:r>
    </w:p>
    <w:p w14:paraId="52B6ACE9" w14:textId="616C1874" w:rsidR="007240EA" w:rsidRDefault="007240EA" w:rsidP="00DF3B2A">
      <w:pPr>
        <w:shd w:val="clear" w:color="auto" w:fill="FFFFFF"/>
        <w:spacing w:after="0" w:line="240" w:lineRule="auto"/>
        <w:rPr>
          <w:rFonts w:ascii="Arial" w:eastAsia="Times New Roman" w:hAnsi="Arial" w:cs="Arial"/>
          <w:color w:val="222222"/>
          <w:kern w:val="0"/>
          <w14:ligatures w14:val="none"/>
        </w:rPr>
      </w:pPr>
    </w:p>
    <w:p w14:paraId="36C1A605" w14:textId="276D46DD" w:rsidR="00562045" w:rsidRDefault="00B55F45" w:rsidP="00DF3B2A">
      <w:pPr>
        <w:shd w:val="clear" w:color="auto" w:fill="FFFFFF"/>
        <w:spacing w:after="0" w:line="240" w:lineRule="auto"/>
        <w:rPr>
          <w:rFonts w:ascii="Arial" w:eastAsia="Times New Roman" w:hAnsi="Arial" w:cs="Arial"/>
          <w:color w:val="222222"/>
          <w:kern w:val="0"/>
          <w14:ligatures w14:val="none"/>
        </w:rPr>
      </w:pPr>
      <w:r>
        <w:rPr>
          <w:rFonts w:ascii="Arial" w:eastAsia="Times New Roman" w:hAnsi="Arial" w:cs="Arial"/>
          <w:color w:val="222222"/>
          <w:kern w:val="0"/>
          <w14:ligatures w14:val="none"/>
        </w:rPr>
        <w:t xml:space="preserve">Ever since the </w:t>
      </w:r>
      <w:r w:rsidR="0003072B">
        <w:rPr>
          <w:rFonts w:ascii="Arial" w:eastAsia="Times New Roman" w:hAnsi="Arial" w:cs="Arial"/>
          <w:color w:val="222222"/>
          <w:kern w:val="0"/>
          <w14:ligatures w14:val="none"/>
        </w:rPr>
        <w:t xml:space="preserve">pioneering </w:t>
      </w:r>
      <w:r>
        <w:rPr>
          <w:rFonts w:ascii="Arial" w:eastAsia="Times New Roman" w:hAnsi="Arial" w:cs="Arial"/>
          <w:color w:val="222222"/>
          <w:kern w:val="0"/>
          <w14:ligatures w14:val="none"/>
        </w:rPr>
        <w:t>Lloyd’s underwriter, Cuthbert Heath, first granted a binding authority to his agent in Amsterdam,</w:t>
      </w:r>
      <w:r w:rsidR="0003072B">
        <w:rPr>
          <w:rFonts w:ascii="Arial" w:eastAsia="Times New Roman" w:hAnsi="Arial" w:cs="Arial"/>
          <w:color w:val="222222"/>
          <w:kern w:val="0"/>
          <w14:ligatures w14:val="none"/>
        </w:rPr>
        <w:t xml:space="preserve"> Al</w:t>
      </w:r>
      <w:r w:rsidR="000C02DD">
        <w:rPr>
          <w:rFonts w:ascii="Arial" w:eastAsia="Times New Roman" w:hAnsi="Arial" w:cs="Arial"/>
          <w:color w:val="222222"/>
          <w:kern w:val="0"/>
          <w14:ligatures w14:val="none"/>
        </w:rPr>
        <w:t>f</w:t>
      </w:r>
      <w:r w:rsidR="0003072B">
        <w:rPr>
          <w:rFonts w:ascii="Arial" w:eastAsia="Times New Roman" w:hAnsi="Arial" w:cs="Arial"/>
          <w:color w:val="222222"/>
          <w:kern w:val="0"/>
          <w14:ligatures w14:val="none"/>
        </w:rPr>
        <w:t>red Schroder</w:t>
      </w:r>
      <w:r>
        <w:rPr>
          <w:rFonts w:ascii="Arial" w:eastAsia="Times New Roman" w:hAnsi="Arial" w:cs="Arial"/>
          <w:color w:val="222222"/>
          <w:kern w:val="0"/>
          <w14:ligatures w14:val="none"/>
        </w:rPr>
        <w:t xml:space="preserve">, in </w:t>
      </w:r>
      <w:r w:rsidR="0003072B">
        <w:rPr>
          <w:rFonts w:ascii="Arial" w:eastAsia="Times New Roman" w:hAnsi="Arial" w:cs="Arial"/>
          <w:color w:val="222222"/>
          <w:kern w:val="0"/>
          <w14:ligatures w14:val="none"/>
        </w:rPr>
        <w:t>1903</w:t>
      </w:r>
      <w:r>
        <w:rPr>
          <w:rFonts w:ascii="Arial" w:eastAsia="Times New Roman" w:hAnsi="Arial" w:cs="Arial"/>
          <w:color w:val="222222"/>
          <w:kern w:val="0"/>
          <w14:ligatures w14:val="none"/>
        </w:rPr>
        <w:t xml:space="preserve">, Lloyd’s has played a key role in the development of Europe’s delegated authority market. </w:t>
      </w:r>
    </w:p>
    <w:p w14:paraId="40580CE1" w14:textId="2644527F" w:rsidR="00562045" w:rsidRDefault="003D0508" w:rsidP="00DF3B2A">
      <w:pPr>
        <w:shd w:val="clear" w:color="auto" w:fill="FFFFFF"/>
        <w:spacing w:after="0" w:line="240" w:lineRule="auto"/>
        <w:rPr>
          <w:rFonts w:ascii="Arial" w:eastAsia="Times New Roman" w:hAnsi="Arial" w:cs="Arial"/>
          <w:color w:val="222222"/>
          <w:kern w:val="0"/>
          <w14:ligatures w14:val="none"/>
        </w:rPr>
      </w:pPr>
      <w:r>
        <w:rPr>
          <w:rFonts w:ascii="Arial" w:eastAsia="Times New Roman" w:hAnsi="Arial" w:cs="Arial"/>
          <w:noProof/>
          <w:color w:val="222222"/>
          <w:kern w:val="0"/>
        </w:rPr>
        <w:drawing>
          <wp:anchor distT="0" distB="0" distL="114300" distR="114300" simplePos="0" relativeHeight="251658240" behindDoc="0" locked="0" layoutInCell="1" allowOverlap="1" wp14:anchorId="0265E495" wp14:editId="6C0E5629">
            <wp:simplePos x="0" y="0"/>
            <wp:positionH relativeFrom="column">
              <wp:posOffset>2559957</wp:posOffset>
            </wp:positionH>
            <wp:positionV relativeFrom="paragraph">
              <wp:posOffset>92347</wp:posOffset>
            </wp:positionV>
            <wp:extent cx="3933190" cy="6439535"/>
            <wp:effectExtent l="0" t="0" r="3810" b="0"/>
            <wp:wrapSquare wrapText="bothSides"/>
            <wp:docPr id="1328258301" name="Picture 1"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258301" name="Picture 1" descr="A close-up of a graph&#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3933190" cy="6439535"/>
                    </a:xfrm>
                    <a:prstGeom prst="rect">
                      <a:avLst/>
                    </a:prstGeom>
                  </pic:spPr>
                </pic:pic>
              </a:graphicData>
            </a:graphic>
            <wp14:sizeRelH relativeFrom="page">
              <wp14:pctWidth>0</wp14:pctWidth>
            </wp14:sizeRelH>
            <wp14:sizeRelV relativeFrom="page">
              <wp14:pctHeight>0</wp14:pctHeight>
            </wp14:sizeRelV>
          </wp:anchor>
        </w:drawing>
      </w:r>
    </w:p>
    <w:p w14:paraId="4273E6CA" w14:textId="38897E9C" w:rsidR="00E752EA" w:rsidRDefault="00562045" w:rsidP="00DF3B2A">
      <w:pPr>
        <w:shd w:val="clear" w:color="auto" w:fill="FFFFFF"/>
        <w:spacing w:after="0" w:line="240" w:lineRule="auto"/>
        <w:rPr>
          <w:rFonts w:ascii="Arial" w:eastAsia="Times New Roman" w:hAnsi="Arial" w:cs="Arial"/>
          <w:color w:val="222222"/>
          <w:kern w:val="0"/>
          <w14:ligatures w14:val="none"/>
        </w:rPr>
      </w:pPr>
      <w:r>
        <w:rPr>
          <w:rFonts w:ascii="Arial" w:eastAsia="Times New Roman" w:hAnsi="Arial" w:cs="Arial"/>
          <w:color w:val="222222"/>
          <w:kern w:val="0"/>
          <w14:ligatures w14:val="none"/>
        </w:rPr>
        <w:t>Today, Lloyd’s writes approximately</w:t>
      </w:r>
      <w:r w:rsidR="006234B2">
        <w:rPr>
          <w:rFonts w:ascii="Arial" w:eastAsia="Times New Roman" w:hAnsi="Arial" w:cs="Arial"/>
          <w:color w:val="222222"/>
          <w:kern w:val="0"/>
          <w14:ligatures w14:val="none"/>
        </w:rPr>
        <w:t xml:space="preserve"> 28</w:t>
      </w:r>
      <w:r>
        <w:rPr>
          <w:rFonts w:ascii="Arial" w:eastAsia="Times New Roman" w:hAnsi="Arial" w:cs="Arial"/>
          <w:color w:val="222222"/>
          <w:kern w:val="0"/>
          <w14:ligatures w14:val="none"/>
        </w:rPr>
        <w:t>% of its total premiums</w:t>
      </w:r>
      <w:r w:rsidR="000C02DD">
        <w:rPr>
          <w:rFonts w:ascii="Arial" w:eastAsia="Times New Roman" w:hAnsi="Arial" w:cs="Arial"/>
          <w:color w:val="222222"/>
          <w:kern w:val="0"/>
          <w14:ligatures w14:val="none"/>
        </w:rPr>
        <w:t xml:space="preserve"> (€1,685m out of €5,939m)</w:t>
      </w:r>
      <w:r>
        <w:rPr>
          <w:rFonts w:ascii="Arial" w:eastAsia="Times New Roman" w:hAnsi="Arial" w:cs="Arial"/>
          <w:color w:val="222222"/>
          <w:kern w:val="0"/>
          <w14:ligatures w14:val="none"/>
        </w:rPr>
        <w:t xml:space="preserve"> </w:t>
      </w:r>
      <w:r w:rsidR="006234B2">
        <w:rPr>
          <w:rFonts w:ascii="Arial" w:eastAsia="Times New Roman" w:hAnsi="Arial" w:cs="Arial"/>
          <w:color w:val="222222"/>
          <w:kern w:val="0"/>
          <w14:ligatures w14:val="none"/>
        </w:rPr>
        <w:t>from</w:t>
      </w:r>
      <w:r>
        <w:rPr>
          <w:rFonts w:ascii="Arial" w:eastAsia="Times New Roman" w:hAnsi="Arial" w:cs="Arial"/>
          <w:color w:val="222222"/>
          <w:kern w:val="0"/>
          <w14:ligatures w14:val="none"/>
        </w:rPr>
        <w:t xml:space="preserve"> the European Economic Area plus Switzerland on a delegated authority business.  </w:t>
      </w:r>
      <w:r w:rsidR="006234B2">
        <w:rPr>
          <w:rFonts w:ascii="Arial" w:eastAsia="Times New Roman" w:hAnsi="Arial" w:cs="Arial"/>
          <w:color w:val="222222"/>
          <w:kern w:val="0"/>
          <w14:ligatures w14:val="none"/>
        </w:rPr>
        <w:t xml:space="preserve">Five hundred and thirty-two </w:t>
      </w:r>
      <w:r>
        <w:rPr>
          <w:rFonts w:ascii="Arial" w:eastAsia="Times New Roman" w:hAnsi="Arial" w:cs="Arial"/>
          <w:color w:val="222222"/>
          <w:kern w:val="0"/>
          <w14:ligatures w14:val="none"/>
        </w:rPr>
        <w:t>Lloyd’s coverholders, includ</w:t>
      </w:r>
      <w:r w:rsidR="009B756B">
        <w:rPr>
          <w:rFonts w:ascii="Arial" w:eastAsia="Times New Roman" w:hAnsi="Arial" w:cs="Arial"/>
          <w:color w:val="222222"/>
          <w:kern w:val="0"/>
          <w14:ligatures w14:val="none"/>
        </w:rPr>
        <w:t xml:space="preserve">ing </w:t>
      </w:r>
      <w:r>
        <w:rPr>
          <w:rFonts w:ascii="Arial" w:eastAsia="Times New Roman" w:hAnsi="Arial" w:cs="Arial"/>
          <w:color w:val="222222"/>
          <w:kern w:val="0"/>
          <w14:ligatures w14:val="none"/>
        </w:rPr>
        <w:t>many of the region’s leading MGAs</w:t>
      </w:r>
      <w:r w:rsidR="006234B2">
        <w:rPr>
          <w:rFonts w:ascii="Arial" w:eastAsia="Times New Roman" w:hAnsi="Arial" w:cs="Arial"/>
          <w:color w:val="222222"/>
          <w:kern w:val="0"/>
          <w14:ligatures w14:val="none"/>
        </w:rPr>
        <w:t>, underwrite a wide array of business backed by Lloyd’s binding authorities.</w:t>
      </w:r>
    </w:p>
    <w:p w14:paraId="0267504C" w14:textId="5DEB3FBA" w:rsidR="00D6338C" w:rsidRDefault="00D6338C" w:rsidP="00DF3B2A">
      <w:pPr>
        <w:shd w:val="clear" w:color="auto" w:fill="FFFFFF"/>
        <w:spacing w:after="0" w:line="240" w:lineRule="auto"/>
        <w:rPr>
          <w:rFonts w:ascii="Arial" w:eastAsia="Times New Roman" w:hAnsi="Arial" w:cs="Arial"/>
          <w:color w:val="222222"/>
          <w:kern w:val="0"/>
          <w14:ligatures w14:val="none"/>
        </w:rPr>
      </w:pPr>
    </w:p>
    <w:p w14:paraId="2C126A92" w14:textId="784F42D2" w:rsidR="009B756B" w:rsidRDefault="00D52909" w:rsidP="00DF3B2A">
      <w:pPr>
        <w:shd w:val="clear" w:color="auto" w:fill="FFFFFF"/>
        <w:spacing w:after="0" w:line="240" w:lineRule="auto"/>
        <w:rPr>
          <w:rFonts w:ascii="Arial" w:eastAsia="Times New Roman" w:hAnsi="Arial" w:cs="Arial"/>
          <w:color w:val="222222"/>
          <w:kern w:val="0"/>
          <w14:ligatures w14:val="none"/>
        </w:rPr>
      </w:pPr>
      <w:r>
        <w:rPr>
          <w:rFonts w:ascii="Arial" w:eastAsia="Times New Roman" w:hAnsi="Arial" w:cs="Arial"/>
          <w:color w:val="222222"/>
          <w:kern w:val="0"/>
          <w14:ligatures w14:val="none"/>
        </w:rPr>
        <w:t xml:space="preserve">In recent years, </w:t>
      </w:r>
      <w:r w:rsidR="00D6338C">
        <w:rPr>
          <w:rFonts w:ascii="Arial" w:eastAsia="Times New Roman" w:hAnsi="Arial" w:cs="Arial"/>
          <w:color w:val="222222"/>
          <w:kern w:val="0"/>
          <w14:ligatures w14:val="none"/>
        </w:rPr>
        <w:t>Lloyd’s managing agents</w:t>
      </w:r>
      <w:r>
        <w:rPr>
          <w:rFonts w:ascii="Arial" w:eastAsia="Times New Roman" w:hAnsi="Arial" w:cs="Arial"/>
          <w:color w:val="222222"/>
          <w:kern w:val="0"/>
          <w14:ligatures w14:val="none"/>
        </w:rPr>
        <w:t>’</w:t>
      </w:r>
      <w:r w:rsidR="00D6338C">
        <w:rPr>
          <w:rFonts w:ascii="Arial" w:eastAsia="Times New Roman" w:hAnsi="Arial" w:cs="Arial"/>
          <w:color w:val="222222"/>
          <w:kern w:val="0"/>
          <w14:ligatures w14:val="none"/>
        </w:rPr>
        <w:t xml:space="preserve"> delegated authority business in Europe has</w:t>
      </w:r>
      <w:r w:rsidR="001B35DC">
        <w:rPr>
          <w:rFonts w:ascii="Arial" w:eastAsia="Times New Roman" w:hAnsi="Arial" w:cs="Arial"/>
          <w:color w:val="222222"/>
          <w:kern w:val="0"/>
          <w14:ligatures w14:val="none"/>
        </w:rPr>
        <w:t xml:space="preserve"> </w:t>
      </w:r>
      <w:r w:rsidR="003D0508">
        <w:rPr>
          <w:rFonts w:ascii="Arial" w:eastAsia="Times New Roman" w:hAnsi="Arial" w:cs="Arial"/>
          <w:color w:val="222222"/>
          <w:kern w:val="0"/>
          <w14:ligatures w14:val="none"/>
        </w:rPr>
        <w:t>surged</w:t>
      </w:r>
      <w:r w:rsidR="00D6338C">
        <w:rPr>
          <w:rFonts w:ascii="Arial" w:eastAsia="Times New Roman" w:hAnsi="Arial" w:cs="Arial"/>
          <w:color w:val="222222"/>
          <w:kern w:val="0"/>
          <w14:ligatures w14:val="none"/>
        </w:rPr>
        <w:t xml:space="preserve">, growing by 15% annually between 2023 and 2025. </w:t>
      </w:r>
    </w:p>
    <w:p w14:paraId="667B7CC8" w14:textId="77777777" w:rsidR="009B756B" w:rsidRDefault="009B756B" w:rsidP="00DF3B2A">
      <w:pPr>
        <w:shd w:val="clear" w:color="auto" w:fill="FFFFFF"/>
        <w:spacing w:after="0" w:line="240" w:lineRule="auto"/>
        <w:rPr>
          <w:rFonts w:ascii="Arial" w:eastAsia="Times New Roman" w:hAnsi="Arial" w:cs="Arial"/>
          <w:color w:val="222222"/>
          <w:kern w:val="0"/>
          <w14:ligatures w14:val="none"/>
        </w:rPr>
      </w:pPr>
    </w:p>
    <w:p w14:paraId="71BA5329" w14:textId="77777777" w:rsidR="00C83A8E" w:rsidRDefault="00C83A8E" w:rsidP="00C83A8E">
      <w:pPr>
        <w:shd w:val="clear" w:color="auto" w:fill="FFFFFF"/>
        <w:spacing w:after="0" w:line="240" w:lineRule="auto"/>
        <w:rPr>
          <w:rFonts w:ascii="Arial" w:eastAsia="Times New Roman" w:hAnsi="Arial" w:cs="Arial"/>
          <w:color w:val="222222"/>
          <w:kern w:val="0"/>
          <w14:ligatures w14:val="none"/>
        </w:rPr>
      </w:pPr>
      <w:r>
        <w:rPr>
          <w:rFonts w:ascii="Arial" w:eastAsia="Times New Roman" w:hAnsi="Arial" w:cs="Arial"/>
          <w:color w:val="222222"/>
          <w:kern w:val="0"/>
          <w14:ligatures w14:val="none"/>
        </w:rPr>
        <w:t xml:space="preserve">The share of coverholder business in national markets varies widely.  In Italy, Lloyd’s 88 coverholders generated 61% of the market’s total premium in 2025; in France the coverholder proportion was 43%; in Ireland, 28%; in Germany, 20%; and in Switzerland just 8%.  </w:t>
      </w:r>
    </w:p>
    <w:p w14:paraId="0C551807" w14:textId="77777777" w:rsidR="00C83A8E" w:rsidRDefault="00C83A8E" w:rsidP="00C83A8E">
      <w:pPr>
        <w:shd w:val="clear" w:color="auto" w:fill="FFFFFF"/>
        <w:spacing w:after="0" w:line="240" w:lineRule="auto"/>
        <w:rPr>
          <w:rFonts w:ascii="Arial" w:eastAsia="Times New Roman" w:hAnsi="Arial" w:cs="Arial"/>
          <w:color w:val="222222"/>
          <w:kern w:val="0"/>
          <w14:ligatures w14:val="none"/>
        </w:rPr>
      </w:pPr>
    </w:p>
    <w:p w14:paraId="398A0AA6" w14:textId="14153313" w:rsidR="00C83A8E" w:rsidRDefault="00C83A8E" w:rsidP="00C83A8E">
      <w:pPr>
        <w:shd w:val="clear" w:color="auto" w:fill="FFFFFF"/>
        <w:spacing w:after="0" w:line="240" w:lineRule="auto"/>
        <w:rPr>
          <w:rFonts w:ascii="Arial" w:eastAsia="Times New Roman" w:hAnsi="Arial" w:cs="Arial"/>
          <w:color w:val="222222"/>
          <w:kern w:val="0"/>
          <w14:ligatures w14:val="none"/>
        </w:rPr>
      </w:pPr>
      <w:r>
        <w:rPr>
          <w:rFonts w:ascii="Arial" w:eastAsia="Times New Roman" w:hAnsi="Arial" w:cs="Arial"/>
          <w:color w:val="222222"/>
          <w:kern w:val="0"/>
          <w14:ligatures w14:val="none"/>
        </w:rPr>
        <w:t>The overall figures are boosted by Lloyd’s broad definition of what constitutes a coverholder, which includes 61 service companies owned and operated by Lloyd’s managing agents. Coverholder business also includes business underwritten by consortia of Lloyd’s syndicates, under which the lead syndicate operates with delegated authority from following syndicates.</w:t>
      </w:r>
    </w:p>
    <w:p w14:paraId="1E4F074E" w14:textId="77777777" w:rsidR="00C83A8E" w:rsidRDefault="00C83A8E" w:rsidP="009B756B">
      <w:pPr>
        <w:shd w:val="clear" w:color="auto" w:fill="FFFFFF"/>
        <w:spacing w:after="0" w:line="240" w:lineRule="auto"/>
        <w:rPr>
          <w:rFonts w:ascii="Arial" w:eastAsia="Times New Roman" w:hAnsi="Arial" w:cs="Arial"/>
          <w:color w:val="222222"/>
          <w:kern w:val="0"/>
          <w14:ligatures w14:val="none"/>
        </w:rPr>
      </w:pPr>
    </w:p>
    <w:p w14:paraId="6F76B757" w14:textId="635C0641" w:rsidR="009B756B" w:rsidRDefault="009B756B" w:rsidP="009B756B">
      <w:pPr>
        <w:shd w:val="clear" w:color="auto" w:fill="FFFFFF"/>
        <w:spacing w:after="0" w:line="240" w:lineRule="auto"/>
        <w:rPr>
          <w:rFonts w:ascii="Arial" w:eastAsia="Times New Roman" w:hAnsi="Arial" w:cs="Arial"/>
          <w:color w:val="222222"/>
          <w:kern w:val="0"/>
          <w14:ligatures w14:val="none"/>
        </w:rPr>
      </w:pPr>
      <w:r>
        <w:rPr>
          <w:rFonts w:ascii="Arial" w:eastAsia="Times New Roman" w:hAnsi="Arial" w:cs="Arial"/>
          <w:color w:val="222222"/>
          <w:kern w:val="0"/>
          <w14:ligatures w14:val="none"/>
        </w:rPr>
        <w:lastRenderedPageBreak/>
        <w:t xml:space="preserve">Many Lloyd’s coverholders are brokers with tightly worded binding authorities for </w:t>
      </w:r>
      <w:proofErr w:type="gramStart"/>
      <w:r>
        <w:rPr>
          <w:rFonts w:ascii="Arial" w:eastAsia="Times New Roman" w:hAnsi="Arial" w:cs="Arial"/>
          <w:color w:val="222222"/>
          <w:kern w:val="0"/>
          <w14:ligatures w14:val="none"/>
        </w:rPr>
        <w:t>particular classes</w:t>
      </w:r>
      <w:proofErr w:type="gramEnd"/>
      <w:r>
        <w:rPr>
          <w:rFonts w:ascii="Arial" w:eastAsia="Times New Roman" w:hAnsi="Arial" w:cs="Arial"/>
          <w:color w:val="222222"/>
          <w:kern w:val="0"/>
          <w14:ligatures w14:val="none"/>
        </w:rPr>
        <w:t xml:space="preserve"> of business.  They operate as an efficient distribution channel for Lloyd’s products but have little or no underwriting autonomy.</w:t>
      </w:r>
      <w:r w:rsidR="00C83A8E">
        <w:rPr>
          <w:rFonts w:ascii="Arial" w:eastAsia="Times New Roman" w:hAnsi="Arial" w:cs="Arial"/>
          <w:color w:val="222222"/>
          <w:kern w:val="0"/>
          <w14:ligatures w14:val="none"/>
        </w:rPr>
        <w:t xml:space="preserve"> </w:t>
      </w:r>
      <w:r>
        <w:rPr>
          <w:rFonts w:ascii="Arial" w:eastAsia="Times New Roman" w:hAnsi="Arial" w:cs="Arial"/>
          <w:color w:val="222222"/>
          <w:kern w:val="0"/>
          <w14:ligatures w14:val="none"/>
        </w:rPr>
        <w:t xml:space="preserve">But in common with insurance and reinsurance companies around the world, Lloyd’s syndicates have also been increasing their capacity allocations to MGAs.  And in the process some old preconceptions about the approach of the Lloyd’s market to business sourced through MGAs </w:t>
      </w:r>
      <w:r w:rsidR="00267E33">
        <w:rPr>
          <w:rFonts w:ascii="Arial" w:eastAsia="Times New Roman" w:hAnsi="Arial" w:cs="Arial"/>
          <w:color w:val="222222"/>
          <w:kern w:val="0"/>
          <w14:ligatures w14:val="none"/>
        </w:rPr>
        <w:t>may need</w:t>
      </w:r>
      <w:r>
        <w:rPr>
          <w:rFonts w:ascii="Arial" w:eastAsia="Times New Roman" w:hAnsi="Arial" w:cs="Arial"/>
          <w:color w:val="222222"/>
          <w:kern w:val="0"/>
          <w14:ligatures w14:val="none"/>
        </w:rPr>
        <w:t xml:space="preserve"> revision.</w:t>
      </w:r>
    </w:p>
    <w:p w14:paraId="3C0D0C04" w14:textId="77777777" w:rsidR="009B756B" w:rsidRPr="00855940" w:rsidRDefault="009B756B" w:rsidP="009B756B">
      <w:pPr>
        <w:pStyle w:val="Heading3"/>
        <w:rPr>
          <w:rFonts w:eastAsia="Times New Roman"/>
        </w:rPr>
      </w:pPr>
      <w:r>
        <w:rPr>
          <w:rFonts w:eastAsia="Times New Roman"/>
        </w:rPr>
        <w:t>No longer short-</w:t>
      </w:r>
      <w:proofErr w:type="spellStart"/>
      <w:r>
        <w:rPr>
          <w:rFonts w:eastAsia="Times New Roman"/>
        </w:rPr>
        <w:t>termist</w:t>
      </w:r>
      <w:proofErr w:type="spellEnd"/>
    </w:p>
    <w:p w14:paraId="5B92CE51" w14:textId="517D13CC" w:rsidR="009B756B" w:rsidRDefault="009B756B" w:rsidP="009B756B">
      <w:pPr>
        <w:shd w:val="clear" w:color="auto" w:fill="FFFFFF"/>
        <w:spacing w:after="0" w:line="240" w:lineRule="auto"/>
        <w:rPr>
          <w:rFonts w:ascii="Arial" w:eastAsia="Times New Roman" w:hAnsi="Arial" w:cs="Arial"/>
          <w:color w:val="222222"/>
          <w:kern w:val="0"/>
          <w14:ligatures w14:val="none"/>
        </w:rPr>
      </w:pPr>
      <w:r>
        <w:rPr>
          <w:rFonts w:ascii="Arial" w:eastAsia="Times New Roman" w:hAnsi="Arial" w:cs="Arial"/>
          <w:color w:val="222222"/>
          <w:kern w:val="0"/>
          <w14:ligatures w14:val="none"/>
        </w:rPr>
        <w:t>Lloyd’s capacity was historically tendered on a short</w:t>
      </w:r>
      <w:r w:rsidR="008F08CB">
        <w:rPr>
          <w:rFonts w:ascii="Arial" w:eastAsia="Times New Roman" w:hAnsi="Arial" w:cs="Arial"/>
          <w:color w:val="222222"/>
          <w:kern w:val="0"/>
          <w14:ligatures w14:val="none"/>
        </w:rPr>
        <w:t>-</w:t>
      </w:r>
      <w:r>
        <w:rPr>
          <w:rFonts w:ascii="Arial" w:eastAsia="Times New Roman" w:hAnsi="Arial" w:cs="Arial"/>
          <w:color w:val="222222"/>
          <w:kern w:val="0"/>
          <w14:ligatures w14:val="none"/>
        </w:rPr>
        <w:t>term – and often opportunistic -  basis. But since</w:t>
      </w:r>
      <w:r w:rsidR="00580C4C">
        <w:rPr>
          <w:rFonts w:ascii="Arial" w:eastAsia="Times New Roman" w:hAnsi="Arial" w:cs="Arial"/>
          <w:color w:val="222222"/>
          <w:kern w:val="0"/>
          <w14:ligatures w14:val="none"/>
        </w:rPr>
        <w:t xml:space="preserve"> 2016</w:t>
      </w:r>
      <w:r>
        <w:rPr>
          <w:rFonts w:ascii="Arial" w:eastAsia="Times New Roman" w:hAnsi="Arial" w:cs="Arial"/>
          <w:color w:val="222222"/>
          <w:kern w:val="0"/>
          <w14:ligatures w14:val="none"/>
        </w:rPr>
        <w:t xml:space="preserve"> Lloyd’s managing agencies have been permitted to enter into multi-year binding authority agreements that can run for up to three years.  A</w:t>
      </w:r>
      <w:r w:rsidR="00580C4C">
        <w:rPr>
          <w:rFonts w:ascii="Arial" w:eastAsia="Times New Roman" w:hAnsi="Arial" w:cs="Arial"/>
          <w:color w:val="222222"/>
          <w:kern w:val="0"/>
          <w14:ligatures w14:val="none"/>
        </w:rPr>
        <w:t>nd this year, Lloyd’s plans to offer</w:t>
      </w:r>
      <w:r>
        <w:rPr>
          <w:rFonts w:ascii="Arial" w:eastAsia="Times New Roman" w:hAnsi="Arial" w:cs="Arial"/>
          <w:color w:val="222222"/>
          <w:kern w:val="0"/>
          <w14:ligatures w14:val="none"/>
        </w:rPr>
        <w:t xml:space="preserve"> the option for </w:t>
      </w:r>
      <w:r w:rsidR="00F3558E">
        <w:rPr>
          <w:rFonts w:ascii="Arial" w:eastAsia="Times New Roman" w:hAnsi="Arial" w:cs="Arial"/>
          <w:color w:val="222222"/>
          <w:kern w:val="0"/>
          <w14:ligatures w14:val="none"/>
        </w:rPr>
        <w:t>continuous contracts</w:t>
      </w:r>
      <w:r>
        <w:rPr>
          <w:rFonts w:ascii="Arial" w:eastAsia="Times New Roman" w:hAnsi="Arial" w:cs="Arial"/>
          <w:color w:val="222222"/>
          <w:kern w:val="0"/>
          <w14:ligatures w14:val="none"/>
        </w:rPr>
        <w:t xml:space="preserve"> that run </w:t>
      </w:r>
      <w:r w:rsidR="00F3558E">
        <w:rPr>
          <w:rFonts w:ascii="Arial" w:eastAsia="Times New Roman" w:hAnsi="Arial" w:cs="Arial"/>
          <w:color w:val="222222"/>
          <w:kern w:val="0"/>
          <w14:ligatures w14:val="none"/>
        </w:rPr>
        <w:t>indefinitely</w:t>
      </w:r>
      <w:r>
        <w:rPr>
          <w:rFonts w:ascii="Arial" w:eastAsia="Times New Roman" w:hAnsi="Arial" w:cs="Arial"/>
          <w:color w:val="222222"/>
          <w:kern w:val="0"/>
          <w14:ligatures w14:val="none"/>
        </w:rPr>
        <w:t xml:space="preserve"> until termination.</w:t>
      </w:r>
    </w:p>
    <w:p w14:paraId="05EECD6F" w14:textId="77777777" w:rsidR="009B756B" w:rsidRDefault="009B756B" w:rsidP="009B756B">
      <w:pPr>
        <w:shd w:val="clear" w:color="auto" w:fill="FFFFFF"/>
        <w:spacing w:after="0" w:line="240" w:lineRule="auto"/>
        <w:rPr>
          <w:rFonts w:ascii="Arial" w:eastAsia="Times New Roman" w:hAnsi="Arial" w:cs="Arial"/>
          <w:color w:val="222222"/>
          <w:kern w:val="0"/>
          <w14:ligatures w14:val="none"/>
        </w:rPr>
      </w:pPr>
    </w:p>
    <w:p w14:paraId="2E6A85D8" w14:textId="5C68D111" w:rsidR="00267E33" w:rsidRDefault="009B756B" w:rsidP="009B756B">
      <w:pPr>
        <w:shd w:val="clear" w:color="auto" w:fill="FFFFFF"/>
        <w:spacing w:after="0" w:line="240" w:lineRule="auto"/>
        <w:rPr>
          <w:rFonts w:ascii="Arial" w:eastAsia="Times New Roman" w:hAnsi="Arial" w:cs="Arial"/>
          <w:color w:val="222222"/>
          <w:kern w:val="0"/>
          <w14:ligatures w14:val="none"/>
        </w:rPr>
      </w:pPr>
      <w:r>
        <w:rPr>
          <w:rFonts w:ascii="Arial" w:eastAsia="Times New Roman" w:hAnsi="Arial" w:cs="Arial"/>
          <w:color w:val="222222"/>
          <w:kern w:val="0"/>
          <w14:ligatures w14:val="none"/>
        </w:rPr>
        <w:t>This aligns with the broader market</w:t>
      </w:r>
      <w:r w:rsidR="00267E33">
        <w:rPr>
          <w:rFonts w:ascii="Arial" w:eastAsia="Times New Roman" w:hAnsi="Arial" w:cs="Arial"/>
          <w:color w:val="222222"/>
          <w:kern w:val="0"/>
          <w14:ligatures w14:val="none"/>
        </w:rPr>
        <w:t xml:space="preserve"> for capacity, in which larger MGAs in particular have been able to negotiate longer term capacity arrangements with carriers. </w:t>
      </w:r>
    </w:p>
    <w:p w14:paraId="68FFA43E" w14:textId="1D65C5F0" w:rsidR="00267E33" w:rsidRPr="009E64CD" w:rsidRDefault="00267E33" w:rsidP="001576B2">
      <w:pPr>
        <w:pStyle w:val="Heading2"/>
        <w:rPr>
          <w:rFonts w:asciiTheme="minorHAnsi" w:eastAsia="Times New Roman" w:hAnsiTheme="minorHAnsi"/>
          <w:sz w:val="28"/>
          <w:szCs w:val="28"/>
        </w:rPr>
      </w:pPr>
      <w:r w:rsidRPr="009E64CD">
        <w:rPr>
          <w:rFonts w:asciiTheme="minorHAnsi" w:eastAsia="Times New Roman" w:hAnsiTheme="minorHAnsi"/>
          <w:sz w:val="28"/>
          <w:szCs w:val="28"/>
        </w:rPr>
        <w:t>Streamlined accreditation</w:t>
      </w:r>
    </w:p>
    <w:p w14:paraId="00369E0F" w14:textId="65D12AC6" w:rsidR="00267E33" w:rsidRDefault="00267E33" w:rsidP="00267E33">
      <w:pPr>
        <w:shd w:val="clear" w:color="auto" w:fill="FFFFFF"/>
        <w:spacing w:after="0" w:line="240" w:lineRule="auto"/>
        <w:rPr>
          <w:rFonts w:ascii="Arial" w:eastAsia="Times New Roman" w:hAnsi="Arial" w:cs="Arial"/>
          <w:color w:val="222222"/>
          <w:kern w:val="0"/>
          <w14:ligatures w14:val="none"/>
        </w:rPr>
      </w:pPr>
      <w:r>
        <w:rPr>
          <w:rFonts w:ascii="Arial" w:eastAsia="Times New Roman" w:hAnsi="Arial" w:cs="Arial"/>
          <w:color w:val="222222"/>
          <w:kern w:val="0"/>
          <w14:ligatures w14:val="none"/>
        </w:rPr>
        <w:t xml:space="preserve">Another widely held preconception is that Lloyd’s coverholder accreditation is </w:t>
      </w:r>
      <w:r w:rsidR="001576B2">
        <w:rPr>
          <w:rFonts w:ascii="Arial" w:eastAsia="Times New Roman" w:hAnsi="Arial" w:cs="Arial"/>
          <w:color w:val="222222"/>
          <w:kern w:val="0"/>
          <w14:ligatures w14:val="none"/>
        </w:rPr>
        <w:t xml:space="preserve">a </w:t>
      </w:r>
      <w:r>
        <w:rPr>
          <w:rFonts w:ascii="Arial" w:eastAsia="Times New Roman" w:hAnsi="Arial" w:cs="Arial"/>
          <w:color w:val="222222"/>
          <w:kern w:val="0"/>
          <w14:ligatures w14:val="none"/>
        </w:rPr>
        <w:t>lengthy and complex</w:t>
      </w:r>
      <w:r w:rsidR="001576B2">
        <w:rPr>
          <w:rFonts w:ascii="Arial" w:eastAsia="Times New Roman" w:hAnsi="Arial" w:cs="Arial"/>
          <w:color w:val="222222"/>
          <w:kern w:val="0"/>
          <w14:ligatures w14:val="none"/>
        </w:rPr>
        <w:t xml:space="preserve"> process</w:t>
      </w:r>
      <w:r>
        <w:rPr>
          <w:rFonts w:ascii="Arial" w:eastAsia="Times New Roman" w:hAnsi="Arial" w:cs="Arial"/>
          <w:color w:val="222222"/>
          <w:kern w:val="0"/>
          <w14:ligatures w14:val="none"/>
        </w:rPr>
        <w:t>.</w:t>
      </w:r>
      <w:r w:rsidR="001576B2">
        <w:rPr>
          <w:rFonts w:ascii="Arial" w:eastAsia="Times New Roman" w:hAnsi="Arial" w:cs="Arial"/>
          <w:color w:val="222222"/>
          <w:kern w:val="0"/>
          <w14:ligatures w14:val="none"/>
        </w:rPr>
        <w:t xml:space="preserve"> It need not be so. The delegated </w:t>
      </w:r>
      <w:proofErr w:type="gramStart"/>
      <w:r w:rsidR="001576B2">
        <w:rPr>
          <w:rFonts w:ascii="Arial" w:eastAsia="Times New Roman" w:hAnsi="Arial" w:cs="Arial"/>
          <w:color w:val="222222"/>
          <w:kern w:val="0"/>
          <w14:ligatures w14:val="none"/>
        </w:rPr>
        <w:t>authorities</w:t>
      </w:r>
      <w:proofErr w:type="gramEnd"/>
      <w:r w:rsidR="001576B2">
        <w:rPr>
          <w:rFonts w:ascii="Arial" w:eastAsia="Times New Roman" w:hAnsi="Arial" w:cs="Arial"/>
          <w:color w:val="222222"/>
          <w:kern w:val="0"/>
          <w14:ligatures w14:val="none"/>
        </w:rPr>
        <w:t xml:space="preserve"> team at Lloyd’s can process coverholder applications within a few days. The due diligence performed by the Lloyd’s managing agent may take much longer, but this is not fundamentally different from the process an insurance company would require.  </w:t>
      </w:r>
    </w:p>
    <w:p w14:paraId="2D9F31E3" w14:textId="77777777" w:rsidR="00267E33" w:rsidRDefault="00267E33" w:rsidP="00267E33">
      <w:pPr>
        <w:shd w:val="clear" w:color="auto" w:fill="FFFFFF"/>
        <w:spacing w:after="0" w:line="240" w:lineRule="auto"/>
        <w:rPr>
          <w:rFonts w:ascii="Arial" w:eastAsia="Times New Roman" w:hAnsi="Arial" w:cs="Arial"/>
          <w:color w:val="222222"/>
          <w:kern w:val="0"/>
          <w14:ligatures w14:val="none"/>
        </w:rPr>
      </w:pPr>
    </w:p>
    <w:p w14:paraId="41724B6A" w14:textId="1D0C5511" w:rsidR="009E64CD" w:rsidRDefault="00B7467F" w:rsidP="00267E33">
      <w:pPr>
        <w:shd w:val="clear" w:color="auto" w:fill="FFFFFF"/>
        <w:spacing w:after="0" w:line="240" w:lineRule="auto"/>
        <w:rPr>
          <w:rFonts w:ascii="Arial" w:eastAsia="Times New Roman" w:hAnsi="Arial" w:cs="Arial"/>
          <w:color w:val="222222"/>
          <w:kern w:val="0"/>
          <w14:ligatures w14:val="none"/>
        </w:rPr>
      </w:pPr>
      <w:r>
        <w:rPr>
          <w:rFonts w:ascii="Arial" w:eastAsia="Times New Roman" w:hAnsi="Arial" w:cs="Arial"/>
          <w:color w:val="222222"/>
          <w:kern w:val="0"/>
          <w14:ligatures w14:val="none"/>
        </w:rPr>
        <w:t xml:space="preserve">For FASE members, Lloyd’s has provided two </w:t>
      </w:r>
      <w:r w:rsidR="009E64CD">
        <w:rPr>
          <w:rFonts w:ascii="Arial" w:eastAsia="Times New Roman" w:hAnsi="Arial" w:cs="Arial"/>
          <w:color w:val="222222"/>
          <w:kern w:val="0"/>
          <w14:ligatures w14:val="none"/>
        </w:rPr>
        <w:t xml:space="preserve">valuable </w:t>
      </w:r>
      <w:r w:rsidR="008F08CB">
        <w:rPr>
          <w:rFonts w:ascii="Arial" w:eastAsia="Times New Roman" w:hAnsi="Arial" w:cs="Arial"/>
          <w:color w:val="222222"/>
          <w:kern w:val="0"/>
          <w14:ligatures w14:val="none"/>
        </w:rPr>
        <w:t>guides</w:t>
      </w:r>
      <w:r w:rsidR="009E64CD">
        <w:rPr>
          <w:rFonts w:ascii="Arial" w:eastAsia="Times New Roman" w:hAnsi="Arial" w:cs="Arial"/>
          <w:color w:val="222222"/>
          <w:kern w:val="0"/>
          <w14:ligatures w14:val="none"/>
        </w:rPr>
        <w:t>:</w:t>
      </w:r>
    </w:p>
    <w:p w14:paraId="7052253A" w14:textId="77777777" w:rsidR="009E64CD" w:rsidRDefault="009E64CD" w:rsidP="00267E33">
      <w:pPr>
        <w:shd w:val="clear" w:color="auto" w:fill="FFFFFF"/>
        <w:spacing w:after="0" w:line="240" w:lineRule="auto"/>
        <w:rPr>
          <w:rFonts w:ascii="Arial" w:eastAsia="Times New Roman" w:hAnsi="Arial" w:cs="Arial"/>
          <w:color w:val="222222"/>
          <w:kern w:val="0"/>
          <w14:ligatures w14:val="none"/>
        </w:rPr>
      </w:pPr>
    </w:p>
    <w:p w14:paraId="2E56DD0A" w14:textId="3389552B" w:rsidR="009E64CD" w:rsidRDefault="0035783D" w:rsidP="009E64CD">
      <w:pPr>
        <w:pStyle w:val="ListParagraph"/>
        <w:numPr>
          <w:ilvl w:val="0"/>
          <w:numId w:val="2"/>
        </w:numPr>
        <w:shd w:val="clear" w:color="auto" w:fill="FFFFFF"/>
        <w:spacing w:after="0" w:line="240" w:lineRule="auto"/>
        <w:rPr>
          <w:rFonts w:ascii="Arial" w:eastAsia="Times New Roman" w:hAnsi="Arial" w:cs="Arial"/>
          <w:color w:val="222222"/>
          <w:kern w:val="0"/>
          <w14:ligatures w14:val="none"/>
        </w:rPr>
      </w:pPr>
      <w:r w:rsidRPr="009E64CD">
        <w:rPr>
          <w:rFonts w:ascii="Arial" w:eastAsia="Times New Roman" w:hAnsi="Arial" w:cs="Arial"/>
          <w:color w:val="222222"/>
          <w:kern w:val="0"/>
          <w14:ligatures w14:val="none"/>
        </w:rPr>
        <w:t xml:space="preserve">The </w:t>
      </w:r>
      <w:r w:rsidRPr="009E64CD">
        <w:rPr>
          <w:rFonts w:ascii="Arial" w:eastAsia="Times New Roman" w:hAnsi="Arial" w:cs="Arial"/>
          <w:color w:val="222222"/>
          <w:kern w:val="0"/>
          <w:u w:val="single"/>
          <w14:ligatures w14:val="none"/>
        </w:rPr>
        <w:t>first</w:t>
      </w:r>
      <w:r w:rsidRPr="009E64CD">
        <w:rPr>
          <w:rFonts w:ascii="Arial" w:eastAsia="Times New Roman" w:hAnsi="Arial" w:cs="Arial"/>
          <w:color w:val="222222"/>
          <w:kern w:val="0"/>
          <w14:ligatures w14:val="none"/>
        </w:rPr>
        <w:t xml:space="preserve"> charts the scale</w:t>
      </w:r>
      <w:r w:rsidR="009E64CD" w:rsidRPr="009E64CD">
        <w:rPr>
          <w:rFonts w:ascii="Arial" w:eastAsia="Times New Roman" w:hAnsi="Arial" w:cs="Arial"/>
          <w:color w:val="222222"/>
          <w:kern w:val="0"/>
          <w14:ligatures w14:val="none"/>
        </w:rPr>
        <w:t xml:space="preserve">, </w:t>
      </w:r>
      <w:r w:rsidRPr="009E64CD">
        <w:rPr>
          <w:rFonts w:ascii="Arial" w:eastAsia="Times New Roman" w:hAnsi="Arial" w:cs="Arial"/>
          <w:color w:val="222222"/>
          <w:kern w:val="0"/>
          <w14:ligatures w14:val="none"/>
        </w:rPr>
        <w:t>composition</w:t>
      </w:r>
      <w:r w:rsidR="009E64CD" w:rsidRPr="009E64CD">
        <w:rPr>
          <w:rFonts w:ascii="Arial" w:eastAsia="Times New Roman" w:hAnsi="Arial" w:cs="Arial"/>
          <w:color w:val="222222"/>
          <w:kern w:val="0"/>
          <w14:ligatures w14:val="none"/>
        </w:rPr>
        <w:t xml:space="preserve"> and growth rate</w:t>
      </w:r>
      <w:r w:rsidRPr="009E64CD">
        <w:rPr>
          <w:rFonts w:ascii="Arial" w:eastAsia="Times New Roman" w:hAnsi="Arial" w:cs="Arial"/>
          <w:color w:val="222222"/>
          <w:kern w:val="0"/>
          <w14:ligatures w14:val="none"/>
        </w:rPr>
        <w:t xml:space="preserve"> of Lloyd’s coverholder business across </w:t>
      </w:r>
      <w:r w:rsidR="009E64CD" w:rsidRPr="009E64CD">
        <w:rPr>
          <w:rFonts w:ascii="Arial" w:eastAsia="Times New Roman" w:hAnsi="Arial" w:cs="Arial"/>
          <w:color w:val="222222"/>
          <w:kern w:val="0"/>
          <w14:ligatures w14:val="none"/>
        </w:rPr>
        <w:t>nine European markets: Belgium, France, Germany, Ireland, Italy, the Netherlands, Spain, Sweden and Switzerland.</w:t>
      </w:r>
      <w:r w:rsidR="009E64CD">
        <w:rPr>
          <w:rFonts w:ascii="Arial" w:eastAsia="Times New Roman" w:hAnsi="Arial" w:cs="Arial"/>
          <w:color w:val="222222"/>
          <w:kern w:val="0"/>
          <w14:ligatures w14:val="none"/>
        </w:rPr>
        <w:br/>
      </w:r>
    </w:p>
    <w:p w14:paraId="599E1DE3" w14:textId="4435DD15" w:rsidR="009E64CD" w:rsidRDefault="009E64CD" w:rsidP="009E64CD">
      <w:pPr>
        <w:pStyle w:val="ListParagraph"/>
        <w:numPr>
          <w:ilvl w:val="0"/>
          <w:numId w:val="2"/>
        </w:numPr>
        <w:shd w:val="clear" w:color="auto" w:fill="FFFFFF"/>
        <w:spacing w:after="0" w:line="240" w:lineRule="auto"/>
        <w:rPr>
          <w:rFonts w:ascii="Arial" w:eastAsia="Times New Roman" w:hAnsi="Arial" w:cs="Arial"/>
          <w:color w:val="222222"/>
          <w:kern w:val="0"/>
          <w14:ligatures w14:val="none"/>
        </w:rPr>
      </w:pPr>
      <w:r>
        <w:rPr>
          <w:rFonts w:ascii="Arial" w:eastAsia="Times New Roman" w:hAnsi="Arial" w:cs="Arial"/>
          <w:color w:val="222222"/>
          <w:kern w:val="0"/>
          <w14:ligatures w14:val="none"/>
        </w:rPr>
        <w:t xml:space="preserve">The </w:t>
      </w:r>
      <w:r w:rsidRPr="009E64CD">
        <w:rPr>
          <w:rFonts w:ascii="Arial" w:eastAsia="Times New Roman" w:hAnsi="Arial" w:cs="Arial"/>
          <w:color w:val="222222"/>
          <w:kern w:val="0"/>
          <w:u w:val="single"/>
          <w14:ligatures w14:val="none"/>
        </w:rPr>
        <w:t>second</w:t>
      </w:r>
      <w:r>
        <w:rPr>
          <w:rFonts w:ascii="Arial" w:eastAsia="Times New Roman" w:hAnsi="Arial" w:cs="Arial"/>
          <w:color w:val="222222"/>
          <w:kern w:val="0"/>
          <w14:ligatures w14:val="none"/>
        </w:rPr>
        <w:t xml:space="preserve"> explains the benefits of becoming a Lloyd’s coverholder and how they are remunerated and regulated.</w:t>
      </w:r>
      <w:r w:rsidR="00C91982">
        <w:rPr>
          <w:rFonts w:ascii="Arial" w:eastAsia="Times New Roman" w:hAnsi="Arial" w:cs="Arial"/>
          <w:color w:val="222222"/>
          <w:kern w:val="0"/>
          <w14:ligatures w14:val="none"/>
        </w:rPr>
        <w:t xml:space="preserve"> It also explains the audit process for coverholders. </w:t>
      </w:r>
    </w:p>
    <w:p w14:paraId="577FE98B" w14:textId="0AFD6A17" w:rsidR="00267E33" w:rsidRDefault="00267E33" w:rsidP="00267E33">
      <w:pPr>
        <w:shd w:val="clear" w:color="auto" w:fill="FFFFFF"/>
        <w:spacing w:after="0" w:line="240" w:lineRule="auto"/>
        <w:rPr>
          <w:rFonts w:ascii="Arial" w:eastAsia="Times New Roman" w:hAnsi="Arial" w:cs="Arial"/>
          <w:color w:val="222222"/>
          <w:kern w:val="0"/>
          <w14:ligatures w14:val="none"/>
        </w:rPr>
      </w:pPr>
    </w:p>
    <w:p w14:paraId="5AAAAD62" w14:textId="3D948412" w:rsidR="00C86ECB" w:rsidRDefault="00E04616" w:rsidP="00C86ECB">
      <w:pPr>
        <w:shd w:val="clear" w:color="auto" w:fill="FFFFFF"/>
        <w:spacing w:after="0" w:line="240" w:lineRule="auto"/>
        <w:rPr>
          <w:rFonts w:ascii="Arial" w:eastAsia="Times New Roman" w:hAnsi="Arial" w:cs="Arial"/>
          <w:color w:val="000000"/>
          <w:kern w:val="0"/>
          <w14:ligatures w14:val="none"/>
        </w:rPr>
      </w:pPr>
      <w:r>
        <w:rPr>
          <w:rFonts w:ascii="Arial" w:eastAsia="Times New Roman" w:hAnsi="Arial" w:cs="Arial"/>
          <w:color w:val="222222"/>
          <w:kern w:val="0"/>
          <w14:ligatures w14:val="none"/>
        </w:rPr>
        <w:t xml:space="preserve">One hundred and twenty-three years after Cuthbert Heath first lent his pen to his </w:t>
      </w:r>
      <w:r w:rsidR="008F08CB">
        <w:rPr>
          <w:rFonts w:ascii="Arial" w:eastAsia="Times New Roman" w:hAnsi="Arial" w:cs="Arial"/>
          <w:color w:val="222222"/>
          <w:kern w:val="0"/>
          <w14:ligatures w14:val="none"/>
        </w:rPr>
        <w:t xml:space="preserve">trusted </w:t>
      </w:r>
      <w:r>
        <w:rPr>
          <w:rFonts w:ascii="Arial" w:eastAsia="Times New Roman" w:hAnsi="Arial" w:cs="Arial"/>
          <w:color w:val="222222"/>
          <w:kern w:val="0"/>
          <w14:ligatures w14:val="none"/>
        </w:rPr>
        <w:t xml:space="preserve">agent in Amsterdam, Lloyd’s </w:t>
      </w:r>
      <w:r w:rsidR="00C86ECB">
        <w:rPr>
          <w:rFonts w:ascii="Arial" w:eastAsia="Times New Roman" w:hAnsi="Arial" w:cs="Arial"/>
          <w:color w:val="222222"/>
          <w:kern w:val="0"/>
          <w14:ligatures w14:val="none"/>
        </w:rPr>
        <w:t>delegated authority business is still driven by the same motivation</w:t>
      </w:r>
      <w:r w:rsidR="009A294E">
        <w:rPr>
          <w:rFonts w:ascii="Arial" w:eastAsia="Times New Roman" w:hAnsi="Arial" w:cs="Arial"/>
          <w:color w:val="222222"/>
          <w:kern w:val="0"/>
          <w14:ligatures w14:val="none"/>
        </w:rPr>
        <w:t>.  In the words of Lloyd’s guid</w:t>
      </w:r>
      <w:r w:rsidR="008E758E">
        <w:rPr>
          <w:rFonts w:ascii="Arial" w:eastAsia="Times New Roman" w:hAnsi="Arial" w:cs="Arial"/>
          <w:color w:val="222222"/>
          <w:kern w:val="0"/>
          <w14:ligatures w14:val="none"/>
        </w:rPr>
        <w:t>e</w:t>
      </w:r>
      <w:r w:rsidR="009A294E">
        <w:rPr>
          <w:rFonts w:ascii="Arial" w:eastAsia="Times New Roman" w:hAnsi="Arial" w:cs="Arial"/>
          <w:color w:val="222222"/>
          <w:kern w:val="0"/>
          <w14:ligatures w14:val="none"/>
        </w:rPr>
        <w:t>, it permits access to</w:t>
      </w:r>
      <w:r w:rsidR="00C86ECB" w:rsidRPr="00C86ECB">
        <w:rPr>
          <w:rFonts w:ascii="Arial" w:eastAsia="Times New Roman" w:hAnsi="Arial" w:cs="Arial"/>
          <w:color w:val="000000"/>
          <w:kern w:val="0"/>
          <w14:ligatures w14:val="none"/>
        </w:rPr>
        <w:t xml:space="preserve"> </w:t>
      </w:r>
      <w:r w:rsidR="009A294E">
        <w:rPr>
          <w:rFonts w:ascii="Arial" w:eastAsia="Times New Roman" w:hAnsi="Arial" w:cs="Arial"/>
          <w:color w:val="000000"/>
          <w:kern w:val="0"/>
          <w14:ligatures w14:val="none"/>
        </w:rPr>
        <w:t>“</w:t>
      </w:r>
      <w:r w:rsidR="00C86ECB" w:rsidRPr="00C86ECB">
        <w:rPr>
          <w:rFonts w:ascii="Arial" w:eastAsia="Times New Roman" w:hAnsi="Arial" w:cs="Arial"/>
          <w:color w:val="000000"/>
          <w:kern w:val="0"/>
          <w14:ligatures w14:val="none"/>
        </w:rPr>
        <w:t>business that otherwise would not be seen or could not be written economically at the box.</w:t>
      </w:r>
      <w:r w:rsidR="00C86ECB">
        <w:rPr>
          <w:rFonts w:ascii="Arial" w:eastAsia="Times New Roman" w:hAnsi="Arial" w:cs="Arial"/>
          <w:color w:val="000000"/>
          <w:kern w:val="0"/>
          <w14:ligatures w14:val="none"/>
        </w:rPr>
        <w:t xml:space="preserve">”  But </w:t>
      </w:r>
      <w:r w:rsidR="009A294E">
        <w:rPr>
          <w:rFonts w:ascii="Arial" w:eastAsia="Times New Roman" w:hAnsi="Arial" w:cs="Arial"/>
          <w:color w:val="000000"/>
          <w:kern w:val="0"/>
          <w14:ligatures w14:val="none"/>
        </w:rPr>
        <w:t xml:space="preserve">the relationship between Lloyd’s managing agencies and modern MGAs is </w:t>
      </w:r>
      <w:r w:rsidR="00EA6851">
        <w:rPr>
          <w:rFonts w:ascii="Arial" w:eastAsia="Times New Roman" w:hAnsi="Arial" w:cs="Arial"/>
          <w:color w:val="000000"/>
          <w:kern w:val="0"/>
          <w14:ligatures w14:val="none"/>
        </w:rPr>
        <w:t xml:space="preserve">today </w:t>
      </w:r>
      <w:r w:rsidR="009A294E">
        <w:rPr>
          <w:rFonts w:ascii="Arial" w:eastAsia="Times New Roman" w:hAnsi="Arial" w:cs="Arial"/>
          <w:color w:val="000000"/>
          <w:kern w:val="0"/>
          <w14:ligatures w14:val="none"/>
        </w:rPr>
        <w:t>more balanced and the delegation of authority is, often, much broader.</w:t>
      </w:r>
    </w:p>
    <w:p w14:paraId="2E6F8339" w14:textId="77777777" w:rsidR="00C86ECB" w:rsidRDefault="00C86ECB" w:rsidP="00C86ECB">
      <w:pPr>
        <w:shd w:val="clear" w:color="auto" w:fill="FFFFFF"/>
        <w:spacing w:after="0" w:line="240" w:lineRule="auto"/>
        <w:rPr>
          <w:rFonts w:ascii="Arial" w:eastAsia="Times New Roman" w:hAnsi="Arial" w:cs="Arial"/>
          <w:color w:val="000000"/>
          <w:kern w:val="0"/>
          <w14:ligatures w14:val="none"/>
        </w:rPr>
      </w:pPr>
    </w:p>
    <w:p w14:paraId="3C1CB6FC" w14:textId="01D494AC" w:rsidR="008E758E" w:rsidRPr="008E758E" w:rsidRDefault="004B2D47" w:rsidP="00C86ECB">
      <w:pPr>
        <w:shd w:val="clear" w:color="auto" w:fill="FFFFFF"/>
        <w:spacing w:after="0" w:line="240" w:lineRule="auto"/>
        <w:rPr>
          <w:rFonts w:ascii="Arial" w:eastAsia="Times New Roman" w:hAnsi="Arial" w:cs="Arial"/>
          <w:i/>
          <w:iCs/>
          <w:color w:val="000000"/>
          <w:kern w:val="0"/>
          <w14:ligatures w14:val="none"/>
        </w:rPr>
      </w:pPr>
      <w:r>
        <w:rPr>
          <w:rFonts w:ascii="Arial" w:eastAsia="Times New Roman" w:hAnsi="Arial" w:cs="Arial"/>
          <w:color w:val="000000"/>
          <w:kern w:val="0"/>
          <w14:ligatures w14:val="none"/>
        </w:rPr>
        <w:t>***</w:t>
      </w:r>
      <w:r>
        <w:rPr>
          <w:rFonts w:ascii="Arial" w:eastAsia="Times New Roman" w:hAnsi="Arial" w:cs="Arial"/>
          <w:color w:val="000000"/>
          <w:kern w:val="0"/>
          <w14:ligatures w14:val="none"/>
        </w:rPr>
        <w:br/>
      </w:r>
      <w:r>
        <w:rPr>
          <w:rFonts w:ascii="Arial" w:eastAsia="Times New Roman" w:hAnsi="Arial" w:cs="Arial"/>
          <w:color w:val="000000"/>
          <w:kern w:val="0"/>
          <w14:ligatures w14:val="none"/>
        </w:rPr>
        <w:br/>
      </w:r>
      <w:r w:rsidR="008E758E" w:rsidRPr="008E758E">
        <w:rPr>
          <w:rFonts w:ascii="Arial" w:eastAsia="Times New Roman" w:hAnsi="Arial" w:cs="Arial"/>
          <w:i/>
          <w:iCs/>
          <w:color w:val="000000"/>
          <w:kern w:val="0"/>
          <w14:ligatures w14:val="none"/>
        </w:rPr>
        <w:t xml:space="preserve">The approach of Lloyd’s managing agencies towards delegated authority business varies widely.  Future issues of the Entrepreneurial Underwriter will include interviews </w:t>
      </w:r>
      <w:r w:rsidR="008E758E" w:rsidRPr="008E758E">
        <w:rPr>
          <w:rFonts w:ascii="Arial" w:eastAsia="Times New Roman" w:hAnsi="Arial" w:cs="Arial"/>
          <w:i/>
          <w:iCs/>
          <w:color w:val="000000"/>
          <w:kern w:val="0"/>
          <w14:ligatures w14:val="none"/>
        </w:rPr>
        <w:lastRenderedPageBreak/>
        <w:t xml:space="preserve">with chief underwriting officers at Lloyd’s on the strategies their organizations have adopted.  </w:t>
      </w:r>
    </w:p>
    <w:p w14:paraId="2E1A5D9F" w14:textId="77777777" w:rsidR="008E758E" w:rsidRPr="008E758E" w:rsidRDefault="008E758E" w:rsidP="00C86ECB">
      <w:pPr>
        <w:shd w:val="clear" w:color="auto" w:fill="FFFFFF"/>
        <w:spacing w:after="0" w:line="240" w:lineRule="auto"/>
        <w:rPr>
          <w:rFonts w:ascii="Arial" w:eastAsia="Times New Roman" w:hAnsi="Arial" w:cs="Arial"/>
          <w:i/>
          <w:iCs/>
          <w:color w:val="000000"/>
          <w:kern w:val="0"/>
          <w14:ligatures w14:val="none"/>
        </w:rPr>
      </w:pPr>
    </w:p>
    <w:p w14:paraId="7873A396" w14:textId="7FEEEA22" w:rsidR="007D0CBF" w:rsidRDefault="004B2D47" w:rsidP="00D65E2F">
      <w:pPr>
        <w:shd w:val="clear" w:color="auto" w:fill="FFFFFF"/>
        <w:spacing w:after="0" w:line="240" w:lineRule="auto"/>
        <w:rPr>
          <w:rFonts w:ascii="Arial" w:eastAsia="Times New Roman" w:hAnsi="Arial" w:cs="Arial"/>
          <w:i/>
          <w:iCs/>
          <w:color w:val="000000"/>
          <w:kern w:val="0"/>
          <w14:ligatures w14:val="none"/>
        </w:rPr>
      </w:pPr>
      <w:r w:rsidRPr="008E758E">
        <w:rPr>
          <w:rFonts w:ascii="Arial" w:eastAsia="Times New Roman" w:hAnsi="Arial" w:cs="Arial"/>
          <w:i/>
          <w:iCs/>
          <w:color w:val="000000"/>
          <w:kern w:val="0"/>
          <w14:ligatures w14:val="none"/>
        </w:rPr>
        <w:t>Callum Alexander, the director of delegated</w:t>
      </w:r>
      <w:r w:rsidR="008E758E" w:rsidRPr="008E758E">
        <w:rPr>
          <w:rFonts w:ascii="Arial" w:eastAsia="Times New Roman" w:hAnsi="Arial" w:cs="Arial"/>
          <w:i/>
          <w:iCs/>
          <w:color w:val="000000"/>
          <w:kern w:val="0"/>
          <w14:ligatures w14:val="none"/>
        </w:rPr>
        <w:t xml:space="preserve"> authority at Lloyd’s, will be attending the MGA Rendezvous in May and addressing the role that Lloyd’s plays in the evolving market for underwriting capacity</w:t>
      </w:r>
      <w:r w:rsidR="000C02DD">
        <w:rPr>
          <w:rFonts w:ascii="Arial" w:eastAsia="Times New Roman" w:hAnsi="Arial" w:cs="Arial"/>
          <w:i/>
          <w:iCs/>
          <w:color w:val="000000"/>
          <w:kern w:val="0"/>
          <w14:ligatures w14:val="none"/>
        </w:rPr>
        <w:t>.</w:t>
      </w:r>
    </w:p>
    <w:p w14:paraId="650BFEDE" w14:textId="77777777" w:rsidR="006366CC" w:rsidRDefault="006366CC" w:rsidP="00D65E2F">
      <w:pPr>
        <w:shd w:val="clear" w:color="auto" w:fill="FFFFFF"/>
        <w:spacing w:after="0" w:line="240" w:lineRule="auto"/>
        <w:rPr>
          <w:rFonts w:ascii="Arial" w:eastAsia="Times New Roman" w:hAnsi="Arial" w:cs="Arial"/>
          <w:i/>
          <w:iCs/>
          <w:color w:val="000000"/>
          <w:kern w:val="0"/>
          <w14:ligatures w14:val="none"/>
        </w:rPr>
      </w:pPr>
    </w:p>
    <w:p w14:paraId="3C6C72A4" w14:textId="77777777" w:rsidR="006366CC" w:rsidRPr="00A01831" w:rsidRDefault="006366CC" w:rsidP="006366CC">
      <w:pPr>
        <w:pStyle w:val="Heading1"/>
        <w:rPr>
          <w:rFonts w:eastAsia="Times New Roman"/>
        </w:rPr>
      </w:pPr>
      <w:r>
        <w:rPr>
          <w:rFonts w:eastAsia="Times New Roman"/>
        </w:rPr>
        <w:t>Seven reasons to consider a captive</w:t>
      </w:r>
    </w:p>
    <w:p w14:paraId="2776C43D" w14:textId="77777777" w:rsidR="006366CC" w:rsidRDefault="006366CC" w:rsidP="006366CC">
      <w:pPr>
        <w:shd w:val="clear" w:color="auto" w:fill="FFFFFF"/>
        <w:spacing w:after="0" w:line="240" w:lineRule="auto"/>
        <w:rPr>
          <w:rFonts w:ascii="DM Sans 14pt" w:eastAsia="Times New Roman" w:hAnsi="DM Sans 14pt" w:cs="Arial"/>
          <w:color w:val="222222"/>
          <w:kern w:val="0"/>
          <w:sz w:val="28"/>
          <w:szCs w:val="28"/>
          <w14:ligatures w14:val="none"/>
        </w:rPr>
      </w:pPr>
      <w:r>
        <w:rPr>
          <w:rFonts w:ascii="DM Sans 14pt" w:eastAsia="Times New Roman" w:hAnsi="DM Sans 14pt" w:cs="Arial"/>
          <w:color w:val="222222"/>
          <w:kern w:val="0"/>
          <w:sz w:val="28"/>
          <w:szCs w:val="28"/>
          <w14:ligatures w14:val="none"/>
        </w:rPr>
        <w:t>By Mark Elliott, Polo Insurance Managers</w:t>
      </w:r>
    </w:p>
    <w:p w14:paraId="125316A7" w14:textId="77777777" w:rsidR="006366CC" w:rsidRDefault="006366CC" w:rsidP="006366CC">
      <w:pPr>
        <w:shd w:val="clear" w:color="auto" w:fill="FFFFFF"/>
        <w:spacing w:after="0" w:line="240" w:lineRule="auto"/>
        <w:rPr>
          <w:rFonts w:ascii="DM Sans 14pt" w:eastAsia="Times New Roman" w:hAnsi="DM Sans 14pt" w:cs="Arial"/>
          <w:color w:val="222222"/>
          <w:kern w:val="0"/>
          <w:sz w:val="28"/>
          <w:szCs w:val="28"/>
          <w14:ligatures w14:val="none"/>
        </w:rPr>
      </w:pPr>
    </w:p>
    <w:p w14:paraId="1898CAE1" w14:textId="77777777" w:rsidR="006366CC" w:rsidRPr="00C33493" w:rsidRDefault="006366CC" w:rsidP="006366CC">
      <w:pPr>
        <w:shd w:val="clear" w:color="auto" w:fill="FFFFFF"/>
        <w:spacing w:after="0" w:line="240" w:lineRule="auto"/>
        <w:rPr>
          <w:rFonts w:ascii="DM Sans 14pt" w:eastAsia="Times New Roman" w:hAnsi="DM Sans 14pt" w:cs="Arial"/>
          <w:color w:val="222222"/>
          <w:kern w:val="0"/>
          <w:sz w:val="28"/>
          <w:szCs w:val="28"/>
          <w14:ligatures w14:val="none"/>
        </w:rPr>
      </w:pPr>
      <w:r w:rsidRPr="00C33493">
        <w:rPr>
          <w:rFonts w:ascii="DM Sans 14pt" w:eastAsia="Times New Roman" w:hAnsi="DM Sans 14pt" w:cs="Arial"/>
          <w:color w:val="222222"/>
          <w:kern w:val="0"/>
          <w:sz w:val="28"/>
          <w:szCs w:val="28"/>
          <w14:ligatures w14:val="none"/>
        </w:rPr>
        <w:t xml:space="preserve">The role of reinsurance captives has been growing in the capacity stack of MGAs in the United States and United Kingdom.  In the first of a series of monthly articles that </w:t>
      </w:r>
      <w:r w:rsidRPr="00C33493">
        <w:rPr>
          <w:rFonts w:ascii="DM Sans 14pt" w:eastAsia="Times New Roman" w:hAnsi="DM Sans 14pt" w:cs="Arial"/>
          <w:i/>
          <w:iCs/>
          <w:color w:val="222222"/>
          <w:kern w:val="0"/>
          <w:sz w:val="28"/>
          <w:szCs w:val="28"/>
          <w14:ligatures w14:val="none"/>
        </w:rPr>
        <w:t>Entrepreneurial Underwriter</w:t>
      </w:r>
      <w:r w:rsidRPr="00C33493">
        <w:rPr>
          <w:rFonts w:ascii="DM Sans 14pt" w:eastAsia="Times New Roman" w:hAnsi="DM Sans 14pt" w:cs="Arial"/>
          <w:color w:val="222222"/>
          <w:kern w:val="0"/>
          <w:sz w:val="28"/>
          <w:szCs w:val="28"/>
          <w14:ligatures w14:val="none"/>
        </w:rPr>
        <w:t xml:space="preserve"> will be publishing on captive management issues, Mark Elliott, CEO of Guernsey-based Polo Insurance Managers, highlights the top seven reasons why profitable MGAs of all sizes across Europe should consider establishing a captive.</w:t>
      </w:r>
    </w:p>
    <w:p w14:paraId="38ABD4C8" w14:textId="77777777" w:rsidR="006366CC" w:rsidRDefault="006366CC" w:rsidP="006366CC">
      <w:pPr>
        <w:shd w:val="clear" w:color="auto" w:fill="FFFFFF"/>
        <w:spacing w:after="0" w:line="240" w:lineRule="auto"/>
        <w:rPr>
          <w:rFonts w:ascii="Arial" w:eastAsia="Times New Roman" w:hAnsi="Arial" w:cs="Arial"/>
          <w:color w:val="222222"/>
          <w:kern w:val="0"/>
          <w14:ligatures w14:val="none"/>
        </w:rPr>
      </w:pPr>
    </w:p>
    <w:p w14:paraId="330EDB97" w14:textId="77777777" w:rsidR="006366CC" w:rsidRPr="00C33493" w:rsidRDefault="006366CC" w:rsidP="006366CC">
      <w:pPr>
        <w:shd w:val="clear" w:color="auto" w:fill="FFFFFF"/>
        <w:spacing w:after="0" w:line="240" w:lineRule="auto"/>
        <w:rPr>
          <w:rFonts w:ascii="DM Sans 14pt" w:eastAsia="Times New Roman" w:hAnsi="DM Sans 14pt" w:cs="Arial"/>
          <w:color w:val="222222"/>
          <w:kern w:val="0"/>
          <w:sz w:val="22"/>
          <w:szCs w:val="22"/>
          <w14:ligatures w14:val="none"/>
        </w:rPr>
      </w:pPr>
      <w:r w:rsidRPr="00C33493">
        <w:rPr>
          <w:rFonts w:ascii="DM Sans 14pt" w:eastAsia="Times New Roman" w:hAnsi="DM Sans 14pt" w:cs="Arial"/>
          <w:color w:val="222222"/>
          <w:kern w:val="0"/>
          <w:sz w:val="22"/>
          <w:szCs w:val="22"/>
          <w14:ligatures w14:val="none"/>
        </w:rPr>
        <w:t>It is estimated that there are over 300 MGAs in the UK retaining some of their own risk. But in continental Europe, MGAs have generally been slower to retain risk through captives.  For MGAs that can demonstrate a profitable track record, there are seven good reasons to consider retaining risk through a captive.</w:t>
      </w:r>
    </w:p>
    <w:p w14:paraId="5C0B0F03" w14:textId="77777777" w:rsidR="006366CC" w:rsidRPr="00C33493" w:rsidRDefault="006366CC" w:rsidP="006366CC">
      <w:pPr>
        <w:shd w:val="clear" w:color="auto" w:fill="FFFFFF"/>
        <w:spacing w:after="0" w:line="240" w:lineRule="auto"/>
        <w:rPr>
          <w:rFonts w:ascii="DM Sans 14pt" w:eastAsia="Times New Roman" w:hAnsi="DM Sans 14pt" w:cs="Arial"/>
          <w:color w:val="222222"/>
          <w:kern w:val="0"/>
          <w:sz w:val="22"/>
          <w:szCs w:val="22"/>
          <w14:ligatures w14:val="none"/>
        </w:rPr>
      </w:pPr>
    </w:p>
    <w:p w14:paraId="2F4BDA28" w14:textId="77777777" w:rsidR="006366CC" w:rsidRDefault="006366CC" w:rsidP="006366CC">
      <w:pPr>
        <w:pStyle w:val="ListParagraph"/>
        <w:numPr>
          <w:ilvl w:val="0"/>
          <w:numId w:val="3"/>
        </w:numPr>
        <w:shd w:val="clear" w:color="auto" w:fill="FFFFFF"/>
        <w:spacing w:after="0" w:line="240" w:lineRule="auto"/>
        <w:rPr>
          <w:rFonts w:ascii="DM Sans 14pt" w:eastAsia="Times New Roman" w:hAnsi="DM Sans 14pt" w:cs="Arial"/>
          <w:color w:val="222222"/>
          <w:kern w:val="0"/>
          <w:sz w:val="22"/>
          <w:szCs w:val="22"/>
          <w14:ligatures w14:val="none"/>
        </w:rPr>
      </w:pPr>
      <w:r w:rsidRPr="00154CA8">
        <w:rPr>
          <w:rFonts w:ascii="DM Sans 14pt" w:eastAsia="Times New Roman" w:hAnsi="DM Sans 14pt" w:cs="Arial"/>
          <w:b/>
          <w:bCs/>
          <w:color w:val="222222"/>
          <w:kern w:val="0"/>
          <w:sz w:val="22"/>
          <w:szCs w:val="22"/>
          <w14:ligatures w14:val="none"/>
        </w:rPr>
        <w:t>Enhanced margin capture</w:t>
      </w:r>
      <w:r w:rsidRPr="00154CA8">
        <w:rPr>
          <w:rFonts w:ascii="DM Sans 14pt" w:eastAsia="Times New Roman" w:hAnsi="DM Sans 14pt" w:cs="Arial"/>
          <w:color w:val="222222"/>
          <w:kern w:val="0"/>
          <w:sz w:val="22"/>
          <w:szCs w:val="22"/>
          <w14:ligatures w14:val="none"/>
        </w:rPr>
        <w:br/>
        <w:t>Retaining a portion of the risk allows the MGA to participate directly in underwriting profits rather than ceding all value to capacity providers.</w:t>
      </w:r>
      <w:r>
        <w:rPr>
          <w:rFonts w:ascii="DM Sans 14pt" w:eastAsia="Times New Roman" w:hAnsi="DM Sans 14pt" w:cs="Arial"/>
          <w:color w:val="222222"/>
          <w:kern w:val="0"/>
          <w:sz w:val="22"/>
          <w:szCs w:val="22"/>
          <w14:ligatures w14:val="none"/>
        </w:rPr>
        <w:br/>
      </w:r>
    </w:p>
    <w:p w14:paraId="0BFCF1DF" w14:textId="77777777" w:rsidR="006366CC" w:rsidRDefault="006366CC" w:rsidP="006366CC">
      <w:pPr>
        <w:pStyle w:val="ListParagraph"/>
        <w:numPr>
          <w:ilvl w:val="0"/>
          <w:numId w:val="3"/>
        </w:numPr>
        <w:shd w:val="clear" w:color="auto" w:fill="FFFFFF"/>
        <w:spacing w:after="0" w:line="240" w:lineRule="auto"/>
        <w:rPr>
          <w:rFonts w:ascii="DM Sans 14pt" w:eastAsia="Times New Roman" w:hAnsi="DM Sans 14pt" w:cs="Arial"/>
          <w:color w:val="222222"/>
          <w:kern w:val="0"/>
          <w:sz w:val="22"/>
          <w:szCs w:val="22"/>
          <w14:ligatures w14:val="none"/>
        </w:rPr>
      </w:pPr>
      <w:r w:rsidRPr="00154CA8">
        <w:rPr>
          <w:rFonts w:ascii="DM Sans 14pt" w:eastAsia="Times New Roman" w:hAnsi="DM Sans 14pt" w:cs="Arial"/>
          <w:b/>
          <w:bCs/>
          <w:color w:val="222222"/>
          <w:kern w:val="0"/>
          <w:sz w:val="22"/>
          <w:szCs w:val="22"/>
          <w14:ligatures w14:val="none"/>
        </w:rPr>
        <w:t>Greater control over capacity</w:t>
      </w:r>
      <w:r w:rsidRPr="00154CA8">
        <w:rPr>
          <w:rFonts w:ascii="DM Sans 14pt" w:eastAsia="Times New Roman" w:hAnsi="DM Sans 14pt" w:cs="Arial"/>
          <w:color w:val="222222"/>
          <w:kern w:val="0"/>
          <w:sz w:val="22"/>
          <w:szCs w:val="22"/>
          <w14:ligatures w14:val="none"/>
        </w:rPr>
        <w:br/>
        <w:t>A captive reduces dependence on third-party insurers and reinsurers, improving resilience during hard markets or sudden capacity withdrawals.</w:t>
      </w:r>
      <w:r>
        <w:rPr>
          <w:rFonts w:ascii="DM Sans 14pt" w:eastAsia="Times New Roman" w:hAnsi="DM Sans 14pt" w:cs="Arial"/>
          <w:color w:val="222222"/>
          <w:kern w:val="0"/>
          <w:sz w:val="22"/>
          <w:szCs w:val="22"/>
          <w14:ligatures w14:val="none"/>
        </w:rPr>
        <w:br/>
      </w:r>
    </w:p>
    <w:p w14:paraId="01D7BA7A" w14:textId="77777777" w:rsidR="006366CC" w:rsidRDefault="006366CC" w:rsidP="006366CC">
      <w:pPr>
        <w:pStyle w:val="ListParagraph"/>
        <w:numPr>
          <w:ilvl w:val="0"/>
          <w:numId w:val="3"/>
        </w:numPr>
        <w:shd w:val="clear" w:color="auto" w:fill="FFFFFF"/>
        <w:spacing w:after="0" w:line="240" w:lineRule="auto"/>
        <w:rPr>
          <w:rFonts w:ascii="DM Sans 14pt" w:eastAsia="Times New Roman" w:hAnsi="DM Sans 14pt" w:cs="Arial"/>
          <w:color w:val="222222"/>
          <w:kern w:val="0"/>
          <w:sz w:val="22"/>
          <w:szCs w:val="22"/>
          <w14:ligatures w14:val="none"/>
        </w:rPr>
      </w:pPr>
      <w:r w:rsidRPr="00154CA8">
        <w:rPr>
          <w:rFonts w:ascii="DM Sans 14pt" w:eastAsia="Times New Roman" w:hAnsi="DM Sans 14pt" w:cs="Arial"/>
          <w:b/>
          <w:bCs/>
          <w:color w:val="222222"/>
          <w:kern w:val="0"/>
          <w:sz w:val="22"/>
          <w:szCs w:val="22"/>
          <w14:ligatures w14:val="none"/>
        </w:rPr>
        <w:t>Alignment of underwriting incentives</w:t>
      </w:r>
      <w:r w:rsidRPr="00154CA8">
        <w:rPr>
          <w:rFonts w:ascii="DM Sans 14pt" w:eastAsia="Times New Roman" w:hAnsi="DM Sans 14pt" w:cs="Arial"/>
          <w:color w:val="222222"/>
          <w:kern w:val="0"/>
          <w:sz w:val="22"/>
          <w:szCs w:val="22"/>
          <w14:ligatures w14:val="none"/>
        </w:rPr>
        <w:br/>
        <w:t>Retention enforces stronger underwriting discipline by directly linking portfolio performance to the MGA’s own capital at risk.</w:t>
      </w:r>
      <w:r>
        <w:rPr>
          <w:rFonts w:ascii="DM Sans 14pt" w:eastAsia="Times New Roman" w:hAnsi="DM Sans 14pt" w:cs="Arial"/>
          <w:color w:val="222222"/>
          <w:kern w:val="0"/>
          <w:sz w:val="22"/>
          <w:szCs w:val="22"/>
          <w14:ligatures w14:val="none"/>
        </w:rPr>
        <w:br/>
      </w:r>
    </w:p>
    <w:p w14:paraId="4C199237" w14:textId="77777777" w:rsidR="006366CC" w:rsidRDefault="006366CC" w:rsidP="006366CC">
      <w:pPr>
        <w:pStyle w:val="ListParagraph"/>
        <w:numPr>
          <w:ilvl w:val="0"/>
          <w:numId w:val="3"/>
        </w:numPr>
        <w:shd w:val="clear" w:color="auto" w:fill="FFFFFF"/>
        <w:spacing w:after="0" w:line="240" w:lineRule="auto"/>
        <w:rPr>
          <w:rFonts w:ascii="DM Sans 14pt" w:eastAsia="Times New Roman" w:hAnsi="DM Sans 14pt" w:cs="Arial"/>
          <w:color w:val="222222"/>
          <w:kern w:val="0"/>
          <w:sz w:val="22"/>
          <w:szCs w:val="22"/>
          <w14:ligatures w14:val="none"/>
        </w:rPr>
      </w:pPr>
      <w:r w:rsidRPr="00154CA8">
        <w:rPr>
          <w:rFonts w:ascii="DM Sans 14pt" w:eastAsia="Times New Roman" w:hAnsi="DM Sans 14pt" w:cs="Arial"/>
          <w:b/>
          <w:bCs/>
          <w:color w:val="222222"/>
          <w:kern w:val="0"/>
          <w:sz w:val="22"/>
          <w:szCs w:val="22"/>
          <w14:ligatures w14:val="none"/>
        </w:rPr>
        <w:t>Improved negotiating power with carriers</w:t>
      </w:r>
      <w:r w:rsidRPr="00154CA8">
        <w:rPr>
          <w:rFonts w:ascii="DM Sans 14pt" w:eastAsia="Times New Roman" w:hAnsi="DM Sans 14pt" w:cs="Arial"/>
          <w:color w:val="222222"/>
          <w:kern w:val="0"/>
          <w:sz w:val="22"/>
          <w:szCs w:val="22"/>
          <w14:ligatures w14:val="none"/>
        </w:rPr>
        <w:br/>
        <w:t xml:space="preserve">Demonstrated “skin in the game” strengthens credibility and can lead to better commission terms, profit shares, and long-term capacity agreements. </w:t>
      </w:r>
      <w:proofErr w:type="gramStart"/>
      <w:r w:rsidRPr="00154CA8">
        <w:rPr>
          <w:rFonts w:ascii="DM Sans 14pt" w:eastAsia="Times New Roman" w:hAnsi="DM Sans 14pt" w:cs="Arial"/>
          <w:color w:val="222222"/>
          <w:kern w:val="0"/>
          <w:sz w:val="22"/>
          <w:szCs w:val="22"/>
          <w14:ligatures w14:val="none"/>
        </w:rPr>
        <w:t>Indeed</w:t>
      </w:r>
      <w:proofErr w:type="gramEnd"/>
      <w:r w:rsidRPr="00154CA8">
        <w:rPr>
          <w:rFonts w:ascii="DM Sans 14pt" w:eastAsia="Times New Roman" w:hAnsi="DM Sans 14pt" w:cs="Arial"/>
          <w:color w:val="222222"/>
          <w:kern w:val="0"/>
          <w:sz w:val="22"/>
          <w:szCs w:val="22"/>
          <w14:ligatures w14:val="none"/>
        </w:rPr>
        <w:t xml:space="preserve"> we have seen some clients who managed to increase commission just by having the captive in place – they didn’t even take a retention initially.</w:t>
      </w:r>
      <w:r>
        <w:rPr>
          <w:rFonts w:ascii="DM Sans 14pt" w:eastAsia="Times New Roman" w:hAnsi="DM Sans 14pt" w:cs="Arial"/>
          <w:color w:val="222222"/>
          <w:kern w:val="0"/>
          <w:sz w:val="22"/>
          <w:szCs w:val="22"/>
          <w14:ligatures w14:val="none"/>
        </w:rPr>
        <w:br/>
      </w:r>
    </w:p>
    <w:p w14:paraId="0C0B3528" w14:textId="77777777" w:rsidR="006366CC" w:rsidRDefault="006366CC" w:rsidP="006366CC">
      <w:pPr>
        <w:pStyle w:val="ListParagraph"/>
        <w:numPr>
          <w:ilvl w:val="0"/>
          <w:numId w:val="3"/>
        </w:numPr>
        <w:shd w:val="clear" w:color="auto" w:fill="FFFFFF"/>
        <w:spacing w:after="0" w:line="240" w:lineRule="auto"/>
        <w:rPr>
          <w:rFonts w:ascii="DM Sans 14pt" w:eastAsia="Times New Roman" w:hAnsi="DM Sans 14pt" w:cs="Arial"/>
          <w:color w:val="222222"/>
          <w:kern w:val="0"/>
          <w:sz w:val="22"/>
          <w:szCs w:val="22"/>
          <w14:ligatures w14:val="none"/>
        </w:rPr>
      </w:pPr>
      <w:r w:rsidRPr="00154CA8">
        <w:rPr>
          <w:rFonts w:ascii="DM Sans 14pt" w:eastAsia="Times New Roman" w:hAnsi="DM Sans 14pt" w:cs="Arial"/>
          <w:b/>
          <w:bCs/>
          <w:color w:val="222222"/>
          <w:kern w:val="0"/>
          <w:sz w:val="22"/>
          <w:szCs w:val="22"/>
          <w14:ligatures w14:val="none"/>
        </w:rPr>
        <w:lastRenderedPageBreak/>
        <w:t>Access to reinsurance markets on better terms</w:t>
      </w:r>
      <w:r w:rsidRPr="00154CA8">
        <w:rPr>
          <w:rFonts w:ascii="DM Sans 14pt" w:eastAsia="Times New Roman" w:hAnsi="DM Sans 14pt" w:cs="Arial"/>
          <w:color w:val="222222"/>
          <w:kern w:val="0"/>
          <w:sz w:val="22"/>
          <w:szCs w:val="22"/>
          <w14:ligatures w14:val="none"/>
        </w:rPr>
        <w:br/>
        <w:t xml:space="preserve">A captive can access quota share or excess-of-loss reinsurance directly, often at more efficient pricing than through fronted arrangements alone. There is still an insurance / reinsurance pricing arbitrage which we often see – especially when the incumbent insurer has been on the </w:t>
      </w:r>
      <w:proofErr w:type="spellStart"/>
      <w:r w:rsidRPr="00154CA8">
        <w:rPr>
          <w:rFonts w:ascii="DM Sans 14pt" w:eastAsia="Times New Roman" w:hAnsi="DM Sans 14pt" w:cs="Arial"/>
          <w:color w:val="222222"/>
          <w:kern w:val="0"/>
          <w:sz w:val="22"/>
          <w:szCs w:val="22"/>
          <w14:ligatures w14:val="none"/>
        </w:rPr>
        <w:t>programme</w:t>
      </w:r>
      <w:proofErr w:type="spellEnd"/>
      <w:r w:rsidRPr="00154CA8">
        <w:rPr>
          <w:rFonts w:ascii="DM Sans 14pt" w:eastAsia="Times New Roman" w:hAnsi="DM Sans 14pt" w:cs="Arial"/>
          <w:color w:val="222222"/>
          <w:kern w:val="0"/>
          <w:sz w:val="22"/>
          <w:szCs w:val="22"/>
          <w14:ligatures w14:val="none"/>
        </w:rPr>
        <w:t xml:space="preserve"> for many years.</w:t>
      </w:r>
      <w:r>
        <w:rPr>
          <w:rFonts w:ascii="DM Sans 14pt" w:eastAsia="Times New Roman" w:hAnsi="DM Sans 14pt" w:cs="Arial"/>
          <w:color w:val="222222"/>
          <w:kern w:val="0"/>
          <w:sz w:val="22"/>
          <w:szCs w:val="22"/>
          <w14:ligatures w14:val="none"/>
        </w:rPr>
        <w:br/>
      </w:r>
    </w:p>
    <w:p w14:paraId="2502FC9A" w14:textId="77777777" w:rsidR="006366CC" w:rsidRPr="00154CA8" w:rsidRDefault="006366CC" w:rsidP="006366CC">
      <w:pPr>
        <w:pStyle w:val="ListParagraph"/>
        <w:numPr>
          <w:ilvl w:val="0"/>
          <w:numId w:val="3"/>
        </w:numPr>
        <w:shd w:val="clear" w:color="auto" w:fill="FFFFFF"/>
        <w:spacing w:after="0" w:line="240" w:lineRule="auto"/>
        <w:rPr>
          <w:rFonts w:ascii="DM Sans 14pt" w:eastAsia="Times New Roman" w:hAnsi="DM Sans 14pt" w:cs="Arial"/>
          <w:color w:val="222222"/>
          <w:kern w:val="0"/>
          <w:sz w:val="22"/>
          <w:szCs w:val="22"/>
          <w14:ligatures w14:val="none"/>
        </w:rPr>
      </w:pPr>
      <w:r w:rsidRPr="00154CA8">
        <w:rPr>
          <w:rFonts w:ascii="DM Sans 14pt" w:eastAsia="Times New Roman" w:hAnsi="DM Sans 14pt" w:cs="Arial"/>
          <w:b/>
          <w:bCs/>
          <w:color w:val="222222"/>
          <w:kern w:val="0"/>
          <w:sz w:val="22"/>
          <w:szCs w:val="22"/>
          <w14:ligatures w14:val="none"/>
        </w:rPr>
        <w:t>Portfolio diversification and capital efficiency</w:t>
      </w:r>
      <w:r w:rsidRPr="00154CA8">
        <w:rPr>
          <w:rFonts w:ascii="DM Sans 14pt" w:eastAsia="Times New Roman" w:hAnsi="DM Sans 14pt" w:cs="Arial"/>
          <w:color w:val="222222"/>
          <w:kern w:val="0"/>
          <w:sz w:val="22"/>
          <w:szCs w:val="22"/>
          <w14:ligatures w14:val="none"/>
        </w:rPr>
        <w:br/>
        <w:t xml:space="preserve">Well-structured captives (often domiciled in EU-friendly jurisdictions) allow optimized capital usage across lines, geographies, and cycles. Traditionally Malta is an excellent location for direct EU </w:t>
      </w:r>
      <w:proofErr w:type="gramStart"/>
      <w:r w:rsidRPr="00154CA8">
        <w:rPr>
          <w:rFonts w:ascii="DM Sans 14pt" w:eastAsia="Times New Roman" w:hAnsi="DM Sans 14pt" w:cs="Arial"/>
          <w:color w:val="222222"/>
          <w:kern w:val="0"/>
          <w:sz w:val="22"/>
          <w:szCs w:val="22"/>
          <w14:ligatures w14:val="none"/>
        </w:rPr>
        <w:t>access, but</w:t>
      </w:r>
      <w:proofErr w:type="gramEnd"/>
      <w:r w:rsidRPr="00154CA8">
        <w:rPr>
          <w:rFonts w:ascii="DM Sans 14pt" w:eastAsia="Times New Roman" w:hAnsi="DM Sans 14pt" w:cs="Arial"/>
          <w:color w:val="222222"/>
          <w:kern w:val="0"/>
          <w:sz w:val="22"/>
          <w:szCs w:val="22"/>
          <w14:ligatures w14:val="none"/>
        </w:rPr>
        <w:t xml:space="preserve"> requires scale. Guernsey can operate using a fronting insurer and can sometimes be more cost-effective from a cost and capital perspective for smaller </w:t>
      </w:r>
      <w:proofErr w:type="spellStart"/>
      <w:r w:rsidRPr="00154CA8">
        <w:rPr>
          <w:rFonts w:ascii="DM Sans 14pt" w:eastAsia="Times New Roman" w:hAnsi="DM Sans 14pt" w:cs="Arial"/>
          <w:color w:val="222222"/>
          <w:kern w:val="0"/>
          <w:sz w:val="22"/>
          <w:szCs w:val="22"/>
          <w14:ligatures w14:val="none"/>
        </w:rPr>
        <w:t>programmes</w:t>
      </w:r>
      <w:proofErr w:type="spellEnd"/>
      <w:r w:rsidRPr="00154CA8">
        <w:rPr>
          <w:rFonts w:ascii="DM Sans 14pt" w:eastAsia="Times New Roman" w:hAnsi="DM Sans 14pt" w:cs="Arial"/>
          <w:color w:val="222222"/>
          <w:kern w:val="0"/>
          <w:sz w:val="22"/>
          <w:szCs w:val="22"/>
          <w14:ligatures w14:val="none"/>
        </w:rPr>
        <w:t>.</w:t>
      </w:r>
      <w:r w:rsidRPr="00154CA8">
        <w:rPr>
          <w:rFonts w:ascii="DM Sans 14pt" w:eastAsia="Times New Roman" w:hAnsi="DM Sans 14pt" w:cs="Arial"/>
          <w:color w:val="222222"/>
          <w:kern w:val="0"/>
          <w:sz w:val="22"/>
          <w:szCs w:val="22"/>
          <w14:ligatures w14:val="none"/>
        </w:rPr>
        <w:br/>
      </w:r>
    </w:p>
    <w:p w14:paraId="7EA154D7" w14:textId="03F3B984" w:rsidR="006366CC" w:rsidRPr="00154CA8" w:rsidRDefault="006366CC" w:rsidP="006366CC">
      <w:pPr>
        <w:pStyle w:val="ListParagraph"/>
        <w:numPr>
          <w:ilvl w:val="0"/>
          <w:numId w:val="3"/>
        </w:numPr>
        <w:shd w:val="clear" w:color="auto" w:fill="FFFFFF"/>
        <w:spacing w:after="0" w:line="240" w:lineRule="auto"/>
        <w:rPr>
          <w:rFonts w:ascii="DM Sans 14pt" w:eastAsia="Times New Roman" w:hAnsi="DM Sans 14pt" w:cs="Arial"/>
          <w:color w:val="222222"/>
          <w:kern w:val="0"/>
          <w:sz w:val="22"/>
          <w:szCs w:val="22"/>
          <w14:ligatures w14:val="none"/>
        </w:rPr>
      </w:pPr>
      <w:r w:rsidRPr="00154CA8">
        <w:rPr>
          <w:rFonts w:ascii="DM Sans 14pt" w:eastAsia="Times New Roman" w:hAnsi="DM Sans 14pt" w:cs="Arial"/>
          <w:b/>
          <w:bCs/>
          <w:color w:val="222222"/>
          <w:kern w:val="0"/>
          <w:sz w:val="22"/>
          <w:szCs w:val="22"/>
          <w14:ligatures w14:val="none"/>
        </w:rPr>
        <w:t>Strategic optionality and scalability</w:t>
      </w:r>
      <w:r w:rsidRPr="00154CA8">
        <w:rPr>
          <w:rFonts w:ascii="DM Sans 14pt" w:eastAsia="Times New Roman" w:hAnsi="DM Sans 14pt" w:cs="Arial"/>
          <w:color w:val="222222"/>
          <w:kern w:val="0"/>
          <w:sz w:val="22"/>
          <w:szCs w:val="22"/>
          <w14:ligatures w14:val="none"/>
        </w:rPr>
        <w:br/>
        <w:t>Captives enable controlled experimentation with new products, niches, or geographies without full reliance on external carriers. We need many new start-ups and the incubation of new products in their own captive helps collect data and demonstrate</w:t>
      </w:r>
      <w:r>
        <w:rPr>
          <w:rFonts w:ascii="DM Sans 14pt" w:eastAsia="Times New Roman" w:hAnsi="DM Sans 14pt" w:cs="Arial"/>
          <w:color w:val="222222"/>
          <w:kern w:val="0"/>
          <w:sz w:val="22"/>
          <w:szCs w:val="22"/>
          <w14:ligatures w14:val="none"/>
        </w:rPr>
        <w:t>s</w:t>
      </w:r>
      <w:r w:rsidRPr="00154CA8">
        <w:rPr>
          <w:rFonts w:ascii="DM Sans 14pt" w:eastAsia="Times New Roman" w:hAnsi="DM Sans 14pt" w:cs="Arial"/>
          <w:color w:val="222222"/>
          <w:kern w:val="0"/>
          <w:sz w:val="22"/>
          <w:szCs w:val="22"/>
          <w14:ligatures w14:val="none"/>
        </w:rPr>
        <w:t xml:space="preserve"> to insurers a positive alignment of interest.</w:t>
      </w:r>
    </w:p>
    <w:p w14:paraId="0E40C574" w14:textId="77777777" w:rsidR="006366CC" w:rsidRPr="00C33493" w:rsidRDefault="006366CC" w:rsidP="006366CC">
      <w:pPr>
        <w:rPr>
          <w:rFonts w:ascii="DM Sans 14pt" w:hAnsi="DM Sans 14pt"/>
          <w:sz w:val="22"/>
          <w:szCs w:val="22"/>
        </w:rPr>
      </w:pPr>
    </w:p>
    <w:p w14:paraId="65E3A4AB" w14:textId="77777777" w:rsidR="006366CC" w:rsidRPr="00C33493" w:rsidRDefault="006366CC" w:rsidP="006366CC">
      <w:pPr>
        <w:rPr>
          <w:rFonts w:ascii="DM Sans 14pt" w:hAnsi="DM Sans 14pt"/>
          <w:i/>
          <w:iCs/>
          <w:sz w:val="22"/>
          <w:szCs w:val="22"/>
        </w:rPr>
      </w:pPr>
      <w:r w:rsidRPr="00C33493">
        <w:rPr>
          <w:rFonts w:ascii="DM Sans 14pt" w:hAnsi="DM Sans 14pt"/>
          <w:i/>
          <w:iCs/>
          <w:sz w:val="22"/>
          <w:szCs w:val="22"/>
        </w:rPr>
        <w:t>In the March issue, we will dig further into the practicalities of captive establishment – and the merits of different domiciles – for European MGAs.</w:t>
      </w:r>
    </w:p>
    <w:p w14:paraId="097DDBF8" w14:textId="77777777" w:rsidR="006366CC" w:rsidRDefault="006366CC" w:rsidP="00D65E2F">
      <w:pPr>
        <w:shd w:val="clear" w:color="auto" w:fill="FFFFFF"/>
        <w:spacing w:after="0" w:line="240" w:lineRule="auto"/>
        <w:rPr>
          <w:rFonts w:ascii="Arial" w:eastAsia="Times New Roman" w:hAnsi="Arial" w:cs="Arial"/>
          <w:i/>
          <w:iCs/>
          <w:color w:val="000000"/>
          <w:kern w:val="0"/>
          <w14:ligatures w14:val="none"/>
        </w:rPr>
      </w:pPr>
    </w:p>
    <w:p w14:paraId="37EEC9A2" w14:textId="77777777" w:rsidR="00906715" w:rsidRDefault="00906715" w:rsidP="00906715">
      <w:pPr>
        <w:pStyle w:val="Heading1"/>
      </w:pPr>
      <w:r>
        <w:t>MGA Rendezvous registrations set rapid pace</w:t>
      </w:r>
    </w:p>
    <w:p w14:paraId="5EBA1AC0" w14:textId="77777777" w:rsidR="00906715" w:rsidRDefault="00906715" w:rsidP="00906715"/>
    <w:p w14:paraId="24A11BDB" w14:textId="77777777" w:rsidR="00906715" w:rsidRDefault="00906715" w:rsidP="00906715">
      <w:r>
        <w:t>More than 170 delegates have so far registered to attend the 2026 MGA Rendezvous, FASE’s annual conference, representing 35 MGAs, 20 carriers and seven service providers. Total attendance at the conference, which is due to take place at the Hotel Arts in Barcelona on May 11 and 12, is now expected to exceed 500.</w:t>
      </w:r>
    </w:p>
    <w:p w14:paraId="53B66DCF" w14:textId="77777777" w:rsidR="00906715" w:rsidRDefault="00906715" w:rsidP="00906715">
      <w:r>
        <w:t xml:space="preserve">The conference will be cohosted this year by FASE and the Spanish MGA association, ASASE and sponsored by Howden. It will feature presentations and panel discussions with business leaders from Europe and the United States, but a significant portion of the day and a half event will be given over to networking. Prior to the Rendezvous, carriers will be invited to share information about their risk appetite and MGAs about their areas of risk focus so that productive and efficient meetings can be scheduled for Barcelona. </w:t>
      </w:r>
    </w:p>
    <w:p w14:paraId="189F8275" w14:textId="77777777" w:rsidR="00906715" w:rsidRDefault="00906715" w:rsidP="00906715">
      <w:r>
        <w:t xml:space="preserve">FASE members are entitled to a 50% discount on passes to the event. For an MGA, a single conference pass would therefore cost €400; for a carrier or broker, €550; and for a service provider €700.  </w:t>
      </w:r>
    </w:p>
    <w:p w14:paraId="4702C82A" w14:textId="77777777" w:rsidR="00906715" w:rsidRDefault="00906715" w:rsidP="00906715">
      <w:r>
        <w:lastRenderedPageBreak/>
        <w:t xml:space="preserve">If you have yet to register for the 2026 MGA Rendezvous, you can do so at mgarendezvous.com/register.  </w:t>
      </w:r>
    </w:p>
    <w:p w14:paraId="3A5C7754" w14:textId="35C0F84F" w:rsidR="00906715" w:rsidRDefault="00906715" w:rsidP="00906715">
      <w:r>
        <w:t>We look forward to seeing you in Barcelona.</w:t>
      </w:r>
    </w:p>
    <w:p w14:paraId="085AAD88" w14:textId="77777777" w:rsidR="00906715" w:rsidRDefault="00906715" w:rsidP="00906715"/>
    <w:p w14:paraId="19BFEFFC" w14:textId="77777777" w:rsidR="00906715" w:rsidRDefault="00906715" w:rsidP="00906715"/>
    <w:p w14:paraId="73664526" w14:textId="77777777" w:rsidR="00906715" w:rsidRDefault="00906715" w:rsidP="00906715"/>
    <w:p w14:paraId="3577C242" w14:textId="77777777" w:rsidR="00906715" w:rsidRPr="009627FF" w:rsidRDefault="00906715" w:rsidP="00906715"/>
    <w:p w14:paraId="2D97E9BD" w14:textId="77777777" w:rsidR="00906715" w:rsidRPr="00D65E2F" w:rsidRDefault="00906715" w:rsidP="00D65E2F">
      <w:pPr>
        <w:shd w:val="clear" w:color="auto" w:fill="FFFFFF"/>
        <w:spacing w:after="0" w:line="240" w:lineRule="auto"/>
        <w:rPr>
          <w:rFonts w:ascii="Arial" w:eastAsia="Times New Roman" w:hAnsi="Arial" w:cs="Arial"/>
          <w:i/>
          <w:iCs/>
          <w:color w:val="000000"/>
          <w:kern w:val="0"/>
          <w14:ligatures w14:val="none"/>
        </w:rPr>
      </w:pPr>
    </w:p>
    <w:sectPr w:rsidR="00906715" w:rsidRPr="00D65E2F" w:rsidSect="006E1A7A">
      <w:pgSz w:w="12240" w:h="15840"/>
      <w:pgMar w:top="1296"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EFF" w:usb1="C000785B" w:usb2="00000009" w:usb3="00000000" w:csb0="000001FF" w:csb1="00000000"/>
  </w:font>
  <w:font w:name="DM Sans 14pt">
    <w:panose1 w:val="00000000000000000000"/>
    <w:charset w:val="4D"/>
    <w:family w:val="auto"/>
    <w:pitch w:val="variable"/>
    <w:sig w:usb0="8000002F" w:usb1="4000204B"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6391D"/>
    <w:multiLevelType w:val="hybridMultilevel"/>
    <w:tmpl w:val="AFB2B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9EE1BE4"/>
    <w:multiLevelType w:val="hybridMultilevel"/>
    <w:tmpl w:val="6868FE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65DA3723"/>
    <w:multiLevelType w:val="hybridMultilevel"/>
    <w:tmpl w:val="0088D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6712586">
    <w:abstractNumId w:val="2"/>
  </w:num>
  <w:num w:numId="2" w16cid:durableId="1785079433">
    <w:abstractNumId w:val="0"/>
  </w:num>
  <w:num w:numId="3" w16cid:durableId="192094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B2A"/>
    <w:rsid w:val="0003072B"/>
    <w:rsid w:val="0008680D"/>
    <w:rsid w:val="000C02DD"/>
    <w:rsid w:val="000D3968"/>
    <w:rsid w:val="001576B2"/>
    <w:rsid w:val="00187BA2"/>
    <w:rsid w:val="001B35DC"/>
    <w:rsid w:val="00267E33"/>
    <w:rsid w:val="002D5BA9"/>
    <w:rsid w:val="002E17EF"/>
    <w:rsid w:val="002F1DFD"/>
    <w:rsid w:val="00301B67"/>
    <w:rsid w:val="00314236"/>
    <w:rsid w:val="0033035B"/>
    <w:rsid w:val="0035783D"/>
    <w:rsid w:val="003D0508"/>
    <w:rsid w:val="003E182D"/>
    <w:rsid w:val="00481446"/>
    <w:rsid w:val="004B2D47"/>
    <w:rsid w:val="00562045"/>
    <w:rsid w:val="00580C4C"/>
    <w:rsid w:val="00584ECA"/>
    <w:rsid w:val="005B131D"/>
    <w:rsid w:val="005C4874"/>
    <w:rsid w:val="006234B2"/>
    <w:rsid w:val="006366CC"/>
    <w:rsid w:val="006D7C05"/>
    <w:rsid w:val="006E1A7A"/>
    <w:rsid w:val="007240EA"/>
    <w:rsid w:val="00747BA6"/>
    <w:rsid w:val="0076220A"/>
    <w:rsid w:val="007724EF"/>
    <w:rsid w:val="007D0CBF"/>
    <w:rsid w:val="00855940"/>
    <w:rsid w:val="008E758E"/>
    <w:rsid w:val="008F08CB"/>
    <w:rsid w:val="008F7255"/>
    <w:rsid w:val="00906715"/>
    <w:rsid w:val="00916B8D"/>
    <w:rsid w:val="00967099"/>
    <w:rsid w:val="009805DC"/>
    <w:rsid w:val="009945C2"/>
    <w:rsid w:val="009A294E"/>
    <w:rsid w:val="009B756B"/>
    <w:rsid w:val="009E64CD"/>
    <w:rsid w:val="009F10B5"/>
    <w:rsid w:val="009F3AC5"/>
    <w:rsid w:val="00A358B3"/>
    <w:rsid w:val="00A9673D"/>
    <w:rsid w:val="00AA5CD7"/>
    <w:rsid w:val="00AA79FA"/>
    <w:rsid w:val="00AD7D2F"/>
    <w:rsid w:val="00B0545B"/>
    <w:rsid w:val="00B226F5"/>
    <w:rsid w:val="00B55F45"/>
    <w:rsid w:val="00B7467F"/>
    <w:rsid w:val="00BF402C"/>
    <w:rsid w:val="00C46694"/>
    <w:rsid w:val="00C70E2A"/>
    <w:rsid w:val="00C83A8E"/>
    <w:rsid w:val="00C86ECB"/>
    <w:rsid w:val="00C91982"/>
    <w:rsid w:val="00CF06EF"/>
    <w:rsid w:val="00D33376"/>
    <w:rsid w:val="00D52909"/>
    <w:rsid w:val="00D6338C"/>
    <w:rsid w:val="00D65E2F"/>
    <w:rsid w:val="00D90FAD"/>
    <w:rsid w:val="00DB31B4"/>
    <w:rsid w:val="00DF1CF0"/>
    <w:rsid w:val="00DF3B2A"/>
    <w:rsid w:val="00E04616"/>
    <w:rsid w:val="00E271E0"/>
    <w:rsid w:val="00E54DC8"/>
    <w:rsid w:val="00E752EA"/>
    <w:rsid w:val="00EA4B55"/>
    <w:rsid w:val="00EA6851"/>
    <w:rsid w:val="00EB3122"/>
    <w:rsid w:val="00EC6137"/>
    <w:rsid w:val="00ED4E31"/>
    <w:rsid w:val="00ED7D13"/>
    <w:rsid w:val="00F17A85"/>
    <w:rsid w:val="00F3558E"/>
    <w:rsid w:val="00F7610C"/>
    <w:rsid w:val="00FF34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8C9BD"/>
  <w15:chartTrackingRefBased/>
  <w15:docId w15:val="{F340591E-1AD6-FB47-B93C-1616EB9E7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3B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F3B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F3B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3B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3B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3B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3B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3B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3B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3B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F3B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F3B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3B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3B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3B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3B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3B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3B2A"/>
    <w:rPr>
      <w:rFonts w:eastAsiaTheme="majorEastAsia" w:cstheme="majorBidi"/>
      <w:color w:val="272727" w:themeColor="text1" w:themeTint="D8"/>
    </w:rPr>
  </w:style>
  <w:style w:type="paragraph" w:styleId="Title">
    <w:name w:val="Title"/>
    <w:basedOn w:val="Normal"/>
    <w:next w:val="Normal"/>
    <w:link w:val="TitleChar"/>
    <w:uiPriority w:val="10"/>
    <w:qFormat/>
    <w:rsid w:val="00DF3B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3B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3B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3B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3B2A"/>
    <w:pPr>
      <w:spacing w:before="160"/>
      <w:jc w:val="center"/>
    </w:pPr>
    <w:rPr>
      <w:i/>
      <w:iCs/>
      <w:color w:val="404040" w:themeColor="text1" w:themeTint="BF"/>
    </w:rPr>
  </w:style>
  <w:style w:type="character" w:customStyle="1" w:styleId="QuoteChar">
    <w:name w:val="Quote Char"/>
    <w:basedOn w:val="DefaultParagraphFont"/>
    <w:link w:val="Quote"/>
    <w:uiPriority w:val="29"/>
    <w:rsid w:val="00DF3B2A"/>
    <w:rPr>
      <w:i/>
      <w:iCs/>
      <w:color w:val="404040" w:themeColor="text1" w:themeTint="BF"/>
    </w:rPr>
  </w:style>
  <w:style w:type="paragraph" w:styleId="ListParagraph">
    <w:name w:val="List Paragraph"/>
    <w:basedOn w:val="Normal"/>
    <w:uiPriority w:val="34"/>
    <w:qFormat/>
    <w:rsid w:val="00DF3B2A"/>
    <w:pPr>
      <w:ind w:left="720"/>
      <w:contextualSpacing/>
    </w:pPr>
  </w:style>
  <w:style w:type="character" w:styleId="IntenseEmphasis">
    <w:name w:val="Intense Emphasis"/>
    <w:basedOn w:val="DefaultParagraphFont"/>
    <w:uiPriority w:val="21"/>
    <w:qFormat/>
    <w:rsid w:val="00DF3B2A"/>
    <w:rPr>
      <w:i/>
      <w:iCs/>
      <w:color w:val="0F4761" w:themeColor="accent1" w:themeShade="BF"/>
    </w:rPr>
  </w:style>
  <w:style w:type="paragraph" w:styleId="IntenseQuote">
    <w:name w:val="Intense Quote"/>
    <w:basedOn w:val="Normal"/>
    <w:next w:val="Normal"/>
    <w:link w:val="IntenseQuoteChar"/>
    <w:uiPriority w:val="30"/>
    <w:qFormat/>
    <w:rsid w:val="00DF3B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3B2A"/>
    <w:rPr>
      <w:i/>
      <w:iCs/>
      <w:color w:val="0F4761" w:themeColor="accent1" w:themeShade="BF"/>
    </w:rPr>
  </w:style>
  <w:style w:type="character" w:styleId="IntenseReference">
    <w:name w:val="Intense Reference"/>
    <w:basedOn w:val="DefaultParagraphFont"/>
    <w:uiPriority w:val="32"/>
    <w:qFormat/>
    <w:rsid w:val="00DF3B2A"/>
    <w:rPr>
      <w:b/>
      <w:bCs/>
      <w:smallCaps/>
      <w:color w:val="0F4761" w:themeColor="accent1" w:themeShade="BF"/>
      <w:spacing w:val="5"/>
    </w:rPr>
  </w:style>
  <w:style w:type="paragraph" w:customStyle="1" w:styleId="p1">
    <w:name w:val="p1"/>
    <w:basedOn w:val="Normal"/>
    <w:rsid w:val="005B131D"/>
    <w:pPr>
      <w:spacing w:after="0" w:line="240" w:lineRule="auto"/>
    </w:pPr>
    <w:rPr>
      <w:rFonts w:ascii="Helvetica" w:eastAsia="Times New Roman" w:hAnsi="Helvetica" w:cs="Times New Roman"/>
      <w:color w:val="000000"/>
      <w:kern w:val="0"/>
      <w14:ligatures w14:val="none"/>
    </w:rPr>
  </w:style>
  <w:style w:type="paragraph" w:customStyle="1" w:styleId="p2">
    <w:name w:val="p2"/>
    <w:basedOn w:val="Normal"/>
    <w:rsid w:val="005B131D"/>
    <w:pPr>
      <w:spacing w:after="0" w:line="240" w:lineRule="auto"/>
    </w:pPr>
    <w:rPr>
      <w:rFonts w:ascii="Helvetica" w:eastAsia="Times New Roman" w:hAnsi="Helvetica" w:cs="Times New Roman"/>
      <w:color w:val="FFFFFF"/>
      <w:kern w:val="0"/>
      <w:sz w:val="18"/>
      <w:szCs w:val="18"/>
      <w14:ligatures w14:val="none"/>
    </w:rPr>
  </w:style>
  <w:style w:type="character" w:customStyle="1" w:styleId="s1">
    <w:name w:val="s1"/>
    <w:basedOn w:val="DefaultParagraphFont"/>
    <w:rsid w:val="00C86ECB"/>
    <w:rPr>
      <w:color w:val="0C34A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1327</Words>
  <Characters>7564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Pitt</dc:creator>
  <cp:keywords/>
  <dc:description/>
  <cp:lastModifiedBy>William Pitt</cp:lastModifiedBy>
  <cp:revision>4</cp:revision>
  <dcterms:created xsi:type="dcterms:W3CDTF">2026-02-18T21:18:00Z</dcterms:created>
  <dcterms:modified xsi:type="dcterms:W3CDTF">2026-02-19T23:27:00Z</dcterms:modified>
</cp:coreProperties>
</file>