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2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41" w:name="analysis-plan"/>
    <w:p>
      <w:pPr>
        <w:pStyle w:val="Heading2"/>
      </w:pPr>
      <w:r>
        <w:t xml:space="preserve">Analysis plan</w:t>
      </w:r>
    </w:p>
    <w:bookmarkStart w:id="38" w:name="descriptive-statistics"/>
    <w:p>
      <w:pPr>
        <w:pStyle w:val="Heading3"/>
      </w:pPr>
      <w:r>
        <w:t xml:space="preserve">Descriptive statistics</w:t>
      </w:r>
    </w:p>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4" name="Picture"/>
            <a:graphic>
              <a:graphicData uri="http://schemas.openxmlformats.org/drawingml/2006/picture">
                <pic:pic>
                  <pic:nvPicPr>
                    <pic:cNvPr descr="SAP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p>
      <w:pPr>
        <w:numPr>
          <w:ilvl w:val="0"/>
          <w:numId w:val="1003"/>
        </w:numPr>
        <w:pStyle w:val="Compact"/>
      </w:pPr>
      <w:r>
        <w:t xml:space="preserve">Percent of people who were positive (period prevalence)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bl>
    <w:p>
      <w:pPr>
        <w:numPr>
          <w:ilvl w:val="0"/>
          <w:numId w:val="1004"/>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bl>
    <w:p>
      <w:pPr>
        <w:numPr>
          <w:ilvl w:val="0"/>
          <w:numId w:val="1005"/>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numPr>
          <w:ilvl w:val="0"/>
          <w:numId w:val="1006"/>
        </w:numPr>
      </w:pPr>
      <w:r>
        <w:t xml:space="preserve">Percent positive by calendar month</w:t>
      </w:r>
    </w:p>
    <w:p>
      <w:pPr>
        <w:numPr>
          <w:ilvl w:val="0"/>
          <w:numId w:val="1006"/>
        </w:numPr>
      </w:pPr>
      <w:r>
        <w:t xml:space="preserve">Percent of individuals with contacts, by age of contacts</w:t>
      </w:r>
    </w:p>
    <w:p>
      <w:pPr>
        <w:numPr>
          <w:ilvl w:val="0"/>
          <w:numId w:val="1000"/>
        </w:numPr>
      </w:pPr>
      <w: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50.82</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11.46</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18.58</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11.48</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10.67</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18.58</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17.49</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24.23</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70.61</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15.92</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60.11</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15.85</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bl>
    <w:p>
      <w:pPr>
        <w:pStyle w:val="BodyText"/>
      </w:pPr>
      <w:r>
        <w:drawing>
          <wp:inline>
            <wp:extent cx="3696101" cy="1848050"/>
            <wp:effectExtent b="0" l="0" r="0" t="0"/>
            <wp:docPr descr="" title="" id="27" name="Picture"/>
            <a:graphic>
              <a:graphicData uri="http://schemas.openxmlformats.org/drawingml/2006/picture">
                <pic:pic>
                  <pic:nvPicPr>
                    <pic:cNvPr descr="SAP_files/figure-docx/unnamed-chunk-16-1.png" id="28" name="Picture"/>
                    <pic:cNvPicPr>
                      <a:picLocks noChangeArrowheads="1" noChangeAspect="1"/>
                    </pic:cNvPicPr>
                  </pic:nvPicPr>
                  <pic:blipFill>
                    <a:blip r:embed="rId2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30" name="Picture"/>
            <a:graphic>
              <a:graphicData uri="http://schemas.openxmlformats.org/drawingml/2006/picture">
                <pic:pic>
                  <pic:nvPicPr>
                    <pic:cNvPr descr="SAP_files/figure-docx/unnamed-chunk-1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60.66</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28.96</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r>
    </w:tbl>
    <w:p>
      <w:pPr>
        <w:pStyle w:val="BodyText"/>
      </w:pPr>
      <w:r>
        <w:drawing>
          <wp:inline>
            <wp:extent cx="3696101" cy="1848050"/>
            <wp:effectExtent b="0" l="0" r="0" t="0"/>
            <wp:docPr descr="" title="" id="33" name="Picture"/>
            <a:graphic>
              <a:graphicData uri="http://schemas.openxmlformats.org/drawingml/2006/picture">
                <pic:pic>
                  <pic:nvPicPr>
                    <pic:cNvPr descr="SAP_files/figure-docx/unnamed-chunk-19-1.png" id="34" name="Picture"/>
                    <pic:cNvPicPr>
                      <a:picLocks noChangeArrowheads="1" noChangeAspect="1"/>
                    </pic:cNvPicPr>
                  </pic:nvPicPr>
                  <pic:blipFill>
                    <a:blip r:embed="rId3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36" name="Picture"/>
            <a:graphic>
              <a:graphicData uri="http://schemas.openxmlformats.org/drawingml/2006/picture">
                <pic:pic>
                  <pic:nvPicPr>
                    <pic:cNvPr descr="SAP_files/figure-docx/unnamed-chunk-2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Does probability of both people being positive differ by season?</w:t>
      </w:r>
    </w:p>
    <w:p>
      <w:pPr>
        <w:pStyle w:val="FirstParagraph"/>
      </w:pP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numPr>
          <w:ilvl w:val="0"/>
          <w:numId w:val="1008"/>
        </w:numPr>
      </w:pPr>
      <w:r>
        <w:t xml:space="preserve">Proportion positive, stratified by contacts</w:t>
      </w:r>
    </w:p>
    <w:p>
      <w:pPr>
        <w:numPr>
          <w:ilvl w:val="1"/>
          <w:numId w:val="1009"/>
        </w:numPr>
        <w:pStyle w:val="Compact"/>
      </w:pPr>
      <w:r>
        <w:t xml:space="preserve">Contact with children &lt;5 years</w:t>
      </w:r>
    </w:p>
    <w:p>
      <w:pPr>
        <w:pStyle w:val="FirstParagraph"/>
      </w:pPr>
      <w:r>
        <w:t xml:space="preserve">Between seasons, among people without reported child contact, prevalence is much lower; it is similar among those with a reported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bl>
    <w:p>
      <w:pPr>
        <w:pStyle w:val="BodyText"/>
      </w:pPr>
      <w:r>
        <w:t xml:space="preserve">intensity of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bl>
    <w:p>
      <w:pPr>
        <w:pStyle w:val="BodyText"/>
      </w:pPr>
      <w:r>
        <w:t xml:space="preserve">frequency of contact vs pneumo positivity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bl>
    <w:p>
      <w:pPr>
        <w:pStyle w:val="SourceCode"/>
      </w:pPr>
      <w:r>
        <w:rPr>
          <w:rStyle w:val="VerbatimChar"/>
        </w:rPr>
        <w:t xml:space="preserve">-   Test with Fisher's Exact Test (p\&lt;0.05)</w:t>
      </w:r>
    </w:p>
    <w:bookmarkEnd w:id="38"/>
    <w:bookmarkStart w:id="39" w:name="regression-models"/>
    <w:p>
      <w:pPr>
        <w:pStyle w:val="Heading3"/>
      </w:pPr>
      <w:r>
        <w:t xml:space="preserve">Regression models</w:t>
      </w:r>
    </w:p>
    <w:p>
      <w:pPr>
        <w:pStyle w:val="FirstParagraph"/>
      </w:pPr>
      <w:r>
        <w:t xml:space="preserve">Evaluate correlates of pneumococcal positivity.</w:t>
      </w:r>
    </w:p>
    <w:p>
      <w:pPr>
        <w:numPr>
          <w:ilvl w:val="0"/>
          <w:numId w:val="1010"/>
        </w:numPr>
        <w:pStyle w:val="Compact"/>
      </w:pPr>
      <w:r>
        <w:t xml:space="preserve">Multivariate logistic regression to identify relevant age groups</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mod.df</w:t>
      </w:r>
      <w:r>
        <w:rPr>
          <w:rStyle w:val="SpecialCharTok"/>
        </w:rPr>
        <w:t xml:space="preserve">$</w:t>
      </w:r>
      <w:r>
        <w:rPr>
          <w:rStyle w:val="NormalTok"/>
        </w:rPr>
        <w:t xml:space="preserve">ID, </w:t>
      </w:r>
      <w:r>
        <w:rPr>
          <w:rStyle w:val="AttributeTok"/>
        </w:rPr>
        <w:t xml:space="preserve">data=</w:t>
      </w:r>
      <w:r>
        <w:rPr>
          <w:rStyle w:val="NormalTok"/>
        </w:rPr>
        <w:t xml:space="preserve">mod.df,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39"/>
    <w:bookmarkStart w:id="40"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child_contact_u12m))</w:t>
      </w:r>
    </w:p>
    <w:p>
      <w:pPr>
        <w:pStyle w:val="FirstParagraph"/>
      </w:pPr>
      <w:r>
        <w:t xml:space="preserve">Effect of positive household contact. This quantifies transmission within households.</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pos_hh))</w:t>
      </w:r>
    </w:p>
    <w:bookmarkEnd w:id="40"/>
    <w:bookmarkEnd w:id="41"/>
    <w:bookmarkStart w:id="42" w:name="notes-and-challenges"/>
    <w:p>
      <w:pPr>
        <w:pStyle w:val="Heading2"/>
      </w:pPr>
      <w:r>
        <w:t xml:space="preserve">Notes and challenges</w:t>
      </w:r>
    </w:p>
    <w:p>
      <w:pPr>
        <w:numPr>
          <w:ilvl w:val="0"/>
          <w:numId w:val="1011"/>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11"/>
        </w:numPr>
      </w:pPr>
      <w:r>
        <w:t xml:space="preserve">The evaluations of household transmission are likely underpowered due to low levels of carriage and the fact that when one household member is positive, the other individual is often also positive at the same time point.</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2022-09-23T18:42:26Z</dcterms:created>
  <dcterms:modified xsi:type="dcterms:W3CDTF">2022-09-23T18:42:26Z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2022-09-22</vt:lpwstr>
  </property>
  <property fmtid="{D5CDD505-2E9C-101B-9397-08002B2CF9AE}" pid="4" name="output">
    <vt:lpwstr/>
  </property>
</Properties>
</file>