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22C0" w14:textId="77777777" w:rsidR="003F272E" w:rsidRDefault="009815F0">
      <w:pPr>
        <w:pStyle w:val="Title"/>
      </w:pPr>
      <w:r>
        <w:t>PneumoTRACE Serotype Report</w:t>
      </w:r>
    </w:p>
    <w:p w14:paraId="069722C1" w14:textId="77777777" w:rsidR="003F272E" w:rsidRDefault="009815F0">
      <w:pPr>
        <w:pStyle w:val="Author"/>
      </w:pPr>
      <w:r>
        <w:t>Dan Weinberger and Nate Grubaugh</w:t>
      </w:r>
    </w:p>
    <w:p w14:paraId="069722C2" w14:textId="77777777" w:rsidR="003F272E" w:rsidRDefault="009815F0">
      <w:pPr>
        <w:pStyle w:val="Date"/>
      </w:pPr>
      <w:r>
        <w:t>2025-04-13</w:t>
      </w:r>
    </w:p>
    <w:p w14:paraId="069722C3" w14:textId="77777777" w:rsidR="003F272E" w:rsidRDefault="009815F0">
      <w:pPr>
        <w:pStyle w:val="FirstParagraph"/>
      </w:pPr>
      <w:r>
        <w:rPr>
          <w:noProof/>
        </w:rPr>
        <w:drawing>
          <wp:inline distT="0" distB="0" distL="0" distR="0" wp14:anchorId="069723E3" wp14:editId="069723E4">
            <wp:extent cx="952500" cy="9525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ogo/logo.png"/>
                    <pic:cNvPicPr>
                      <a:picLocks noChangeAspect="1" noChangeArrowheads="1"/>
                    </pic:cNvPicPr>
                  </pic:nvPicPr>
                  <pic:blipFill>
                    <a:blip r:embed="rId5"/>
                    <a:stretch>
                      <a:fillRect/>
                    </a:stretch>
                  </pic:blipFill>
                  <pic:spPr bwMode="auto">
                    <a:xfrm>
                      <a:off x="0" y="0"/>
                      <a:ext cx="952500" cy="952500"/>
                    </a:xfrm>
                    <a:prstGeom prst="rect">
                      <a:avLst/>
                    </a:prstGeom>
                    <a:noFill/>
                    <a:ln w="9525">
                      <a:noFill/>
                      <a:headEnd/>
                      <a:tailEnd/>
                    </a:ln>
                  </pic:spPr>
                </pic:pic>
              </a:graphicData>
            </a:graphic>
          </wp:inline>
        </w:drawing>
      </w:r>
    </w:p>
    <w:p w14:paraId="069722C4" w14:textId="77777777" w:rsidR="003F272E" w:rsidRDefault="009815F0">
      <w:pPr>
        <w:pStyle w:val="Heading2"/>
      </w:pPr>
      <w:bookmarkStart w:id="0" w:name="data-use-terms"/>
      <w:r>
        <w:t>Data use terms</w:t>
      </w:r>
    </w:p>
    <w:p w14:paraId="437290E0" w14:textId="77777777" w:rsidR="009815F0" w:rsidRDefault="009815F0">
      <w:pPr>
        <w:pStyle w:val="Heading2"/>
        <w:rPr>
          <w:rFonts w:asciiTheme="minorHAnsi" w:eastAsiaTheme="minorHAnsi" w:hAnsiTheme="minorHAnsi" w:cstheme="minorBidi"/>
          <w:color w:val="auto"/>
          <w:sz w:val="24"/>
          <w:szCs w:val="24"/>
        </w:rPr>
      </w:pPr>
      <w:bookmarkStart w:id="1" w:name="X2e7f27b589d759a8442e7f58d2f28e5d4d908a2"/>
      <w:bookmarkEnd w:id="0"/>
      <w:r w:rsidRPr="009815F0">
        <w:rPr>
          <w:rFonts w:asciiTheme="minorHAnsi" w:eastAsiaTheme="minorHAnsi" w:hAnsiTheme="minorHAnsi" w:cstheme="minorBidi"/>
          <w:color w:val="auto"/>
          <w:sz w:val="24"/>
          <w:szCs w:val="24"/>
        </w:rPr>
        <w:t xml:space="preserve">The data presented in these reports is the property of Dan Weinberger and Nate Grubaugh at Yale School of Public Health and will be embargoed for a period of 18 months from the date of release of this report. During the embargo period, subscribers may use the data for internal planning purposes and for confidential presentations to external stakeholders (e.g., national immunization technical advisory groups). Following the embargo Subscribers may also use the outputs for derivative analyses, such as cost effectiveness analysis or comparative impact evaluations, that can be independently published following the embargo period, but the underlying data or basic descriptive statistics of the data themselves cannot be independently published by subscribers.  </w:t>
      </w:r>
    </w:p>
    <w:p w14:paraId="069722C6" w14:textId="52E5581F" w:rsidR="003F272E" w:rsidRDefault="009815F0">
      <w:pPr>
        <w:pStyle w:val="Heading2"/>
      </w:pPr>
      <w:r>
        <w:t>Overall carriage prevalence by age and by age, and race/ethnicity</w:t>
      </w:r>
    </w:p>
    <w:tbl>
      <w:tblPr>
        <w:tblStyle w:val="Table"/>
        <w:tblW w:w="0" w:type="auto"/>
        <w:jc w:val="center"/>
        <w:tblLayout w:type="fixed"/>
        <w:tblLook w:val="0420" w:firstRow="1" w:lastRow="0" w:firstColumn="0" w:lastColumn="0" w:noHBand="0" w:noVBand="1"/>
      </w:tblPr>
      <w:tblGrid>
        <w:gridCol w:w="1080"/>
        <w:gridCol w:w="1080"/>
        <w:gridCol w:w="1080"/>
      </w:tblGrid>
      <w:tr w:rsidR="003F272E" w14:paraId="069722CA" w14:textId="77777777" w:rsidTr="003F272E">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2C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age_group</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2C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2C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prevalence</w:t>
            </w:r>
          </w:p>
        </w:tc>
      </w:tr>
      <w:tr w:rsidR="003F272E" w14:paraId="069722CE" w14:textId="77777777" w:rsidTr="003F272E">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C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C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C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0.21400778</w:t>
            </w:r>
          </w:p>
        </w:tc>
      </w:tr>
      <w:tr w:rsidR="003F272E" w14:paraId="069722D2"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C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D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D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0.11091854</w:t>
            </w:r>
          </w:p>
        </w:tc>
      </w:tr>
      <w:tr w:rsidR="003F272E" w14:paraId="069722D6"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D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50-64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D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D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0.10403397</w:t>
            </w:r>
          </w:p>
        </w:tc>
      </w:tr>
      <w:tr w:rsidR="003F272E" w14:paraId="069722DA"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D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D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D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0.09885057</w:t>
            </w:r>
          </w:p>
        </w:tc>
      </w:tr>
      <w:tr w:rsidR="003F272E" w14:paraId="069722DE" w14:textId="77777777" w:rsidTr="003F272E">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2D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&lt;2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2D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2D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0.28686327</w:t>
            </w:r>
          </w:p>
        </w:tc>
      </w:tr>
    </w:tbl>
    <w:p w14:paraId="069722DF" w14:textId="77777777" w:rsidR="003F272E" w:rsidRDefault="009815F0">
      <w:pPr>
        <w:pStyle w:val="FirstParagraph"/>
      </w:pPr>
      <w:r>
        <w:rPr>
          <w:noProof/>
        </w:rPr>
        <w:lastRenderedPageBreak/>
        <w:drawing>
          <wp:inline distT="0" distB="0" distL="0" distR="0" wp14:anchorId="069723E5" wp14:editId="069723E6">
            <wp:extent cx="5334000" cy="3556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demo_report_files/figure-docx/unnamed-chunk-2-1.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069722E0" w14:textId="77777777" w:rsidR="003F272E" w:rsidRDefault="009815F0">
      <w:pPr>
        <w:pStyle w:val="Heading2"/>
      </w:pPr>
      <w:bookmarkStart w:id="2" w:name="Xff53d2e6c74462f9d271da92d57510a5bec5c3b"/>
      <w:bookmarkEnd w:id="1"/>
      <w:r>
        <w:t>Observed serotype frequencies in carriers</w:t>
      </w:r>
    </w:p>
    <w:p w14:paraId="069722E1" w14:textId="77777777" w:rsidR="003F272E" w:rsidRDefault="009815F0">
      <w:pPr>
        <w:pStyle w:val="Heading3"/>
      </w:pPr>
      <w:bookmarkStart w:id="3" w:name="children-5-years"/>
      <w:r>
        <w:t>Children &lt;5 years</w:t>
      </w:r>
    </w:p>
    <w:p w14:paraId="069722E2" w14:textId="77777777" w:rsidR="003F272E" w:rsidRDefault="009815F0">
      <w:pPr>
        <w:pStyle w:val="Heading4"/>
      </w:pPr>
      <w:bookmarkStart w:id="4" w:name="section"/>
      <w:r>
        <w:t>&lt;2</w:t>
      </w:r>
    </w:p>
    <w:tbl>
      <w:tblPr>
        <w:tblStyle w:val="Table"/>
        <w:tblW w:w="0" w:type="auto"/>
        <w:jc w:val="center"/>
        <w:tblLayout w:type="fixed"/>
        <w:tblLook w:val="0420" w:firstRow="1" w:lastRow="0" w:firstColumn="0" w:lastColumn="0" w:noHBand="0" w:noVBand="1"/>
      </w:tblPr>
      <w:tblGrid>
        <w:gridCol w:w="1080"/>
        <w:gridCol w:w="1080"/>
      </w:tblGrid>
      <w:tr w:rsidR="003F272E" w14:paraId="069722E5" w14:textId="77777777" w:rsidTr="003F272E">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2E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serotype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2E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w:t>
            </w:r>
          </w:p>
        </w:tc>
      </w:tr>
      <w:tr w:rsidR="003F272E" w14:paraId="069722E8" w14:textId="77777777" w:rsidTr="003F272E">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E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6A</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E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w:t>
            </w:r>
          </w:p>
        </w:tc>
      </w:tr>
      <w:tr w:rsidR="003F272E" w14:paraId="069722EB"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E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E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r>
      <w:tr w:rsidR="003F272E" w14:paraId="069722EE"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E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E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r>
      <w:tr w:rsidR="003F272E" w14:paraId="069722F1"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E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19F</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3F272E" w14:paraId="069722F4"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3F272E" w14:paraId="069722F7"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3F272E" w14:paraId="069722FA"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3F272E" w14:paraId="069722FD"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3F272E" w14:paraId="06972300"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2F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3F272E" w14:paraId="06972303"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19A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3F272E" w14:paraId="06972306"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3F272E" w14:paraId="06972309"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18C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3F272E" w14:paraId="0697230C"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0F"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10F</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0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12" w14:textId="77777777" w:rsidTr="003F272E">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1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1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bl>
    <w:p w14:paraId="06972313" w14:textId="77777777" w:rsidR="003F272E" w:rsidRDefault="009815F0">
      <w:pPr>
        <w:pStyle w:val="Heading4"/>
      </w:pPr>
      <w:bookmarkStart w:id="5" w:name="section-1"/>
      <w:bookmarkEnd w:id="4"/>
      <w:r>
        <w:t>2-5</w:t>
      </w:r>
    </w:p>
    <w:tbl>
      <w:tblPr>
        <w:tblStyle w:val="Table"/>
        <w:tblW w:w="0" w:type="auto"/>
        <w:jc w:val="center"/>
        <w:tblLayout w:type="fixed"/>
        <w:tblLook w:val="0420" w:firstRow="1" w:lastRow="0" w:firstColumn="0" w:lastColumn="0" w:noHBand="0" w:noVBand="1"/>
      </w:tblPr>
      <w:tblGrid>
        <w:gridCol w:w="1080"/>
        <w:gridCol w:w="1080"/>
      </w:tblGrid>
      <w:tr w:rsidR="003F272E" w14:paraId="06972316" w14:textId="77777777" w:rsidTr="003F272E">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1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serotype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1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w:t>
            </w:r>
          </w:p>
        </w:tc>
      </w:tr>
      <w:tr w:rsidR="003F272E" w14:paraId="06972319" w14:textId="77777777" w:rsidTr="003F272E">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1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1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3F272E" w14:paraId="0697231C"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1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1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3F272E" w14:paraId="0697231F"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1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1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3F272E" w14:paraId="06972322"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3F272E" w14:paraId="06972325"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3F272E" w14:paraId="06972328"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3F272E" w14:paraId="0697232B"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3F272E" w14:paraId="0697232E"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3F272E" w14:paraId="06972331"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2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3F272E" w14:paraId="06972334"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19A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3F272E" w14:paraId="06972337"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19F</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3F272E" w14:paraId="0697233A"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3F272E" w14:paraId="0697233D"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40"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3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43" w14:textId="77777777" w:rsidTr="003F272E">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4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22F</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4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bl>
    <w:p w14:paraId="06972344" w14:textId="77777777" w:rsidR="003F272E" w:rsidRDefault="009815F0">
      <w:pPr>
        <w:pStyle w:val="Heading3"/>
      </w:pPr>
      <w:bookmarkStart w:id="6" w:name="children-5-9-years"/>
      <w:bookmarkEnd w:id="3"/>
      <w:bookmarkEnd w:id="5"/>
      <w:r>
        <w:t>Children 5-9 years</w:t>
      </w:r>
    </w:p>
    <w:tbl>
      <w:tblPr>
        <w:tblStyle w:val="Table"/>
        <w:tblW w:w="0" w:type="auto"/>
        <w:jc w:val="center"/>
        <w:tblLayout w:type="fixed"/>
        <w:tblLook w:val="0420" w:firstRow="1" w:lastRow="0" w:firstColumn="0" w:lastColumn="0" w:noHBand="0" w:noVBand="1"/>
      </w:tblPr>
      <w:tblGrid>
        <w:gridCol w:w="1080"/>
        <w:gridCol w:w="1080"/>
      </w:tblGrid>
      <w:tr w:rsidR="003F272E" w14:paraId="06972347" w14:textId="77777777" w:rsidTr="003F272E">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4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serotype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4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w:t>
            </w:r>
          </w:p>
        </w:tc>
      </w:tr>
      <w:tr w:rsidR="003F272E" w14:paraId="0697234A" w14:textId="77777777" w:rsidTr="003F272E">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4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19F</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4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3F272E" w14:paraId="0697234D"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4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4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3F272E" w14:paraId="06972350"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4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4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3F272E" w14:paraId="06972353"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19A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3F272E" w14:paraId="06972356"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3F272E" w14:paraId="06972359"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3F272E" w14:paraId="0697235C"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3F272E" w14:paraId="0697235F"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5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62"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65"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16F</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68"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6B"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6E"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71"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6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7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74" w14:textId="77777777" w:rsidTr="003F272E">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7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12F</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7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bl>
    <w:p w14:paraId="06972375" w14:textId="77777777" w:rsidR="003F272E" w:rsidRDefault="009815F0">
      <w:pPr>
        <w:pStyle w:val="Heading3"/>
      </w:pPr>
      <w:bookmarkStart w:id="7" w:name="adults-50-64-years"/>
      <w:bookmarkEnd w:id="6"/>
      <w:r>
        <w:t>Adults 50-64 years</w:t>
      </w:r>
    </w:p>
    <w:tbl>
      <w:tblPr>
        <w:tblStyle w:val="Table"/>
        <w:tblW w:w="0" w:type="auto"/>
        <w:jc w:val="center"/>
        <w:tblLayout w:type="fixed"/>
        <w:tblLook w:val="0420" w:firstRow="1" w:lastRow="0" w:firstColumn="0" w:lastColumn="0" w:noHBand="0" w:noVBand="1"/>
      </w:tblPr>
      <w:tblGrid>
        <w:gridCol w:w="1080"/>
        <w:gridCol w:w="1080"/>
      </w:tblGrid>
      <w:tr w:rsidR="003F272E" w14:paraId="06972378" w14:textId="77777777" w:rsidTr="003F272E">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7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serotype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7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w:t>
            </w:r>
          </w:p>
        </w:tc>
      </w:tr>
      <w:tr w:rsidR="003F272E" w14:paraId="0697237B" w14:textId="77777777" w:rsidTr="003F272E">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7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19A</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7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3F272E" w14:paraId="0697237E"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7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7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3F272E" w14:paraId="06972381"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7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3F272E" w14:paraId="06972384"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87"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8A"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8D"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11I</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90"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8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93"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96"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99"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9C"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9F"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10A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9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A2"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A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10F</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A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A5" w14:textId="77777777" w:rsidTr="003F272E">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A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11B</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A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bl>
    <w:p w14:paraId="069723A6" w14:textId="77777777" w:rsidR="003F272E" w:rsidRDefault="009815F0">
      <w:pPr>
        <w:pStyle w:val="Heading3"/>
      </w:pPr>
      <w:bookmarkStart w:id="8" w:name="adults-65-years"/>
      <w:bookmarkEnd w:id="7"/>
      <w:r>
        <w:t>Adults 65+ years</w:t>
      </w:r>
    </w:p>
    <w:tbl>
      <w:tblPr>
        <w:tblStyle w:val="Table"/>
        <w:tblW w:w="0" w:type="auto"/>
        <w:jc w:val="center"/>
        <w:tblLayout w:type="fixed"/>
        <w:tblLook w:val="0420" w:firstRow="1" w:lastRow="0" w:firstColumn="0" w:lastColumn="0" w:noHBand="0" w:noVBand="1"/>
      </w:tblPr>
      <w:tblGrid>
        <w:gridCol w:w="1080"/>
        <w:gridCol w:w="1080"/>
      </w:tblGrid>
      <w:tr w:rsidR="003F272E" w14:paraId="069723A9" w14:textId="77777777" w:rsidTr="003F272E">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A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serotype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A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w:t>
            </w:r>
          </w:p>
        </w:tc>
      </w:tr>
      <w:tr w:rsidR="003F272E" w14:paraId="069723AC" w14:textId="77777777" w:rsidTr="003F272E">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A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11A</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A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3F272E" w14:paraId="069723AF"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A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A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3F272E" w14:paraId="069723B2"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3F272E" w14:paraId="069723B5"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B8"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15C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7"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BB"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23A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A"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BE"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D"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3F272E" w14:paraId="069723C1"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B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19A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0"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C4"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28A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3"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C7"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6"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CA"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8"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6A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9"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3F272E" w14:paraId="069723CD"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B"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C"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D0"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E"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12Fv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CF"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D3" w14:textId="77777777" w:rsidTr="003F272E">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D1"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16A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23D2"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3F272E" w14:paraId="069723D6" w14:textId="77777777" w:rsidTr="003F272E">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D4"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18C</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23D5" w14:textId="77777777" w:rsidR="003F272E" w:rsidRDefault="009815F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bl>
    <w:p w14:paraId="069723D7" w14:textId="77777777" w:rsidR="003F272E" w:rsidRDefault="009815F0">
      <w:pPr>
        <w:pStyle w:val="Heading3"/>
      </w:pPr>
      <w:bookmarkStart w:id="9" w:name="Xfe040f64f85bc1f5450324320ff469e90196bcf"/>
      <w:bookmarkEnd w:id="8"/>
      <w:r>
        <w:lastRenderedPageBreak/>
        <w:t>Comparisons of serotype frequencies among age groups</w:t>
      </w:r>
    </w:p>
    <w:p w14:paraId="069723D8" w14:textId="77777777" w:rsidR="003F272E" w:rsidRDefault="009815F0">
      <w:pPr>
        <w:pStyle w:val="FirstParagraph"/>
      </w:pPr>
      <w:r>
        <w:rPr>
          <w:noProof/>
        </w:rPr>
        <w:drawing>
          <wp:inline distT="0" distB="0" distL="0" distR="0" wp14:anchorId="069723E7" wp14:editId="069723E8">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demo_report_files/figure-docx/unnamed-chunk-8-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69723D9" w14:textId="77777777" w:rsidR="003F272E" w:rsidRDefault="009815F0">
      <w:pPr>
        <w:pStyle w:val="Heading3"/>
      </w:pPr>
      <w:bookmarkStart w:id="10" w:name="Xcdd8fc53ccb388fbb52e5e5529576cd5114af39"/>
      <w:bookmarkEnd w:id="9"/>
      <w:r>
        <w:t>Comparisons of serotype frequencies Stratified by vaccine history (children)</w:t>
      </w:r>
    </w:p>
    <w:p w14:paraId="069723DA" w14:textId="77777777" w:rsidR="003F272E" w:rsidRDefault="009815F0">
      <w:pPr>
        <w:pStyle w:val="FirstParagraph"/>
      </w:pPr>
      <w:r>
        <w:rPr>
          <w:noProof/>
        </w:rPr>
        <w:drawing>
          <wp:inline distT="0" distB="0" distL="0" distR="0" wp14:anchorId="069723E9" wp14:editId="069723EA">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emo_report_files/figure-docx/unnamed-chunk-9-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69723DB" w14:textId="77777777" w:rsidR="003F272E" w:rsidRDefault="009815F0">
      <w:pPr>
        <w:pStyle w:val="Heading3"/>
      </w:pPr>
      <w:bookmarkStart w:id="11" w:name="X1db294ce5a8cdab69fcd4a012acb92092b12308"/>
      <w:bookmarkEnd w:id="10"/>
      <w:r>
        <w:lastRenderedPageBreak/>
        <w:t>Comparisons of serotype frequencies Stratified by race/ethnicity</w:t>
      </w:r>
    </w:p>
    <w:p w14:paraId="069723DC" w14:textId="77777777" w:rsidR="003F272E" w:rsidRDefault="009815F0">
      <w:pPr>
        <w:pStyle w:val="FirstParagraph"/>
      </w:pPr>
      <w:r>
        <w:rPr>
          <w:noProof/>
        </w:rPr>
        <w:drawing>
          <wp:inline distT="0" distB="0" distL="0" distR="0" wp14:anchorId="069723EB" wp14:editId="069723EC">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demo_report_files/figure-docx/unnamed-chunk-1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069723DD" w14:textId="77777777" w:rsidR="003F272E" w:rsidRDefault="009815F0">
      <w:pPr>
        <w:pStyle w:val="Heading3"/>
      </w:pPr>
      <w:bookmarkStart w:id="12" w:name="X06c6b0a9073e6145dcb0d5fcc2cfdcb192f3945"/>
      <w:bookmarkEnd w:id="11"/>
      <w:r>
        <w:t>Comparisons of serotype frequencies Stratified by viral test result</w:t>
      </w:r>
    </w:p>
    <w:p w14:paraId="069723DE" w14:textId="77777777" w:rsidR="003F272E" w:rsidRDefault="009815F0">
      <w:pPr>
        <w:pStyle w:val="FirstParagraph"/>
      </w:pPr>
      <w:r>
        <w:rPr>
          <w:noProof/>
        </w:rPr>
        <w:drawing>
          <wp:inline distT="0" distB="0" distL="0" distR="0" wp14:anchorId="069723ED" wp14:editId="069723EE">
            <wp:extent cx="4620126"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emo_report_files/figure-docx/unnamed-chunk-11-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69723DF" w14:textId="77777777" w:rsidR="003F272E" w:rsidRDefault="009815F0">
      <w:pPr>
        <w:pStyle w:val="Heading2"/>
      </w:pPr>
      <w:bookmarkStart w:id="13" w:name="nowcasting-of-serotype-patterns-in-ipd"/>
      <w:bookmarkEnd w:id="2"/>
      <w:bookmarkEnd w:id="12"/>
      <w:r>
        <w:lastRenderedPageBreak/>
        <w:t>Nowcasting of serotype patterns in IPD</w:t>
      </w:r>
    </w:p>
    <w:p w14:paraId="069723E0" w14:textId="77777777" w:rsidR="003F272E" w:rsidRDefault="009815F0">
      <w:pPr>
        <w:pStyle w:val="FirstParagraph"/>
      </w:pPr>
      <w:r>
        <w:t>These are modeling outputs that combine the observed data with a published statistical model to generate predictions + uncertainty for frequency of serotypes causing invasive disease.</w:t>
      </w:r>
    </w:p>
    <w:p w14:paraId="069723E1" w14:textId="77777777" w:rsidR="003F272E" w:rsidRDefault="009815F0">
      <w:pPr>
        <w:pStyle w:val="Heading2"/>
      </w:pPr>
      <w:bookmarkStart w:id="14" w:name="appendix-table-of-serotype-data-by-age"/>
      <w:bookmarkEnd w:id="13"/>
      <w:r>
        <w:t>Appendix: Table of serotype data by age</w:t>
      </w:r>
    </w:p>
    <w:p w14:paraId="069723E2" w14:textId="77777777" w:rsidR="003F272E" w:rsidRDefault="009815F0">
      <w:pPr>
        <w:pStyle w:val="FirstParagraph"/>
      </w:pPr>
      <w:r>
        <w:t>To download as Csv.</w:t>
      </w:r>
      <w:bookmarkEnd w:id="14"/>
    </w:p>
    <w:sectPr w:rsidR="003F27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388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8004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F272E"/>
    <w:rsid w:val="003F272E"/>
    <w:rsid w:val="00515188"/>
    <w:rsid w:val="00981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22C0"/>
  <w15:docId w15:val="{C57DEAA7-C224-429F-83CB-51B42A316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322</Words>
  <Characters>1975</Characters>
  <Application>Microsoft Office Word</Application>
  <DocSecurity>0</DocSecurity>
  <Lines>56</Lines>
  <Paragraphs>29</Paragraphs>
  <ScaleCrop>false</ScaleCrop>
  <Company>Yale University</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PneumoTRACE Serotype Report</dc:title>
  <dc:creator>Dan Weinberger and Nate Grubaugh</dc:creator>
  <cp:keywords/>
  <cp:lastModifiedBy>Weinberger, Daniel</cp:lastModifiedBy>
  <cp:revision>2</cp:revision>
  <dcterms:created xsi:type="dcterms:W3CDTF">2025-12-02T19:05:00Z</dcterms:created>
  <dcterms:modified xsi:type="dcterms:W3CDTF">2025-12-02T19:11:00Z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2025-04-13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