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34875" w14:textId="77777777" w:rsidR="007F75CA" w:rsidRPr="00D15D9E" w:rsidRDefault="0013495F" w:rsidP="007F75CA">
      <w:pPr>
        <w:pStyle w:val="17babae4-54f0-44fa-a444-1068224df0ac"/>
        <w:rPr>
          <w:rFonts w:ascii="黑体" w:eastAsia="黑体" w:hAnsi="黑体" w:hint="eastAsia"/>
          <w:sz w:val="32"/>
          <w:szCs w:val="32"/>
        </w:rPr>
      </w:pPr>
      <w:r w:rsidRPr="00D15D9E">
        <w:rPr>
          <w:rFonts w:ascii="黑体" w:eastAsia="黑体" w:hAnsi="黑体" w:hint="eastAsia"/>
          <w:sz w:val="32"/>
          <w:szCs w:val="32"/>
        </w:rPr>
        <w:t>历史与叙事：</w:t>
      </w:r>
    </w:p>
    <w:p w14:paraId="676861C6" w14:textId="509D0EC7" w:rsidR="00D5172A" w:rsidRPr="00D5172A" w:rsidRDefault="0013495F" w:rsidP="00D5172A">
      <w:pPr>
        <w:pStyle w:val="17babae4-54f0-44fa-a444-1068224df0ac"/>
        <w:rPr>
          <w:rFonts w:ascii="黑体" w:eastAsia="黑体" w:hAnsi="黑体" w:hint="eastAsia"/>
          <w:sz w:val="32"/>
          <w:szCs w:val="32"/>
        </w:rPr>
      </w:pPr>
      <w:r w:rsidRPr="00D15D9E">
        <w:rPr>
          <w:rFonts w:ascii="黑体" w:eastAsia="黑体" w:hAnsi="黑体" w:hint="eastAsia"/>
          <w:sz w:val="32"/>
          <w:szCs w:val="32"/>
        </w:rPr>
        <w:t>三国史料与演义中的</w:t>
      </w:r>
      <w:r w:rsidR="007F75CA" w:rsidRPr="00D15D9E">
        <w:rPr>
          <w:rFonts w:ascii="黑体" w:eastAsia="黑体" w:hAnsi="黑体" w:hint="eastAsia"/>
          <w:sz w:val="32"/>
          <w:szCs w:val="32"/>
        </w:rPr>
        <w:t>情</w:t>
      </w:r>
      <w:r w:rsidRPr="00D15D9E">
        <w:rPr>
          <w:rFonts w:ascii="黑体" w:eastAsia="黑体" w:hAnsi="黑体" w:hint="eastAsia"/>
          <w:sz w:val="32"/>
          <w:szCs w:val="32"/>
        </w:rPr>
        <w:t>理、数理与</w:t>
      </w:r>
      <w:r w:rsidR="007F75CA" w:rsidRPr="00D15D9E">
        <w:rPr>
          <w:rFonts w:ascii="黑体" w:eastAsia="黑体" w:hAnsi="黑体" w:hint="eastAsia"/>
          <w:sz w:val="32"/>
          <w:szCs w:val="32"/>
        </w:rPr>
        <w:t>常理</w:t>
      </w:r>
    </w:p>
    <w:p w14:paraId="007E1B7E" w14:textId="5B5FA641" w:rsidR="00D5172A" w:rsidRPr="00B66EF7" w:rsidRDefault="00D5172A" w:rsidP="00D5172A">
      <w:pPr>
        <w:jc w:val="center"/>
        <w:rPr>
          <w:rFonts w:ascii="宋体" w:eastAsia="宋体" w:hAnsi="宋体" w:hint="eastAsia"/>
          <w:sz w:val="24"/>
          <w:szCs w:val="24"/>
        </w:rPr>
      </w:pPr>
      <w:r w:rsidRPr="00B66EF7">
        <w:rPr>
          <w:rFonts w:ascii="宋体" w:eastAsia="宋体" w:hAnsi="宋体" w:hint="eastAsia"/>
          <w:sz w:val="24"/>
          <w:szCs w:val="24"/>
        </w:rPr>
        <w:t>231098210 韩怀宇</w:t>
      </w:r>
    </w:p>
    <w:p w14:paraId="6FD89DB0" w14:textId="09899A67" w:rsidR="00D5172A" w:rsidRDefault="00D5172A" w:rsidP="00D5172A">
      <w:pPr>
        <w:jc w:val="center"/>
        <w:rPr>
          <w:rFonts w:ascii="宋体" w:eastAsia="宋体" w:hAnsi="宋体" w:hint="eastAsia"/>
          <w:sz w:val="24"/>
          <w:szCs w:val="24"/>
        </w:rPr>
      </w:pPr>
      <w:r w:rsidRPr="00B66EF7">
        <w:rPr>
          <w:rFonts w:ascii="宋体" w:eastAsia="宋体" w:hAnsi="宋体" w:hint="eastAsia"/>
          <w:sz w:val="24"/>
          <w:szCs w:val="24"/>
        </w:rPr>
        <w:t>231830128 茅单文</w:t>
      </w:r>
    </w:p>
    <w:p w14:paraId="249B6B5A" w14:textId="19636D8F" w:rsidR="00B66EF7" w:rsidRPr="00B66EF7" w:rsidRDefault="00B66EF7" w:rsidP="00B66EF7">
      <w:pPr>
        <w:jc w:val="center"/>
        <w:rPr>
          <w:rFonts w:ascii="宋体" w:eastAsia="宋体" w:hAnsi="宋体" w:hint="eastAsia"/>
          <w:sz w:val="24"/>
          <w:szCs w:val="24"/>
        </w:rPr>
      </w:pPr>
      <w:r w:rsidRPr="00B66EF7">
        <w:rPr>
          <w:rFonts w:ascii="宋体" w:eastAsia="宋体" w:hAnsi="宋体" w:hint="eastAsia"/>
          <w:sz w:val="24"/>
          <w:szCs w:val="24"/>
        </w:rPr>
        <w:t>231098158 卿子乐</w:t>
      </w:r>
    </w:p>
    <w:p w14:paraId="1B912278" w14:textId="2B459D60" w:rsidR="00D5172A" w:rsidRPr="00B66EF7" w:rsidRDefault="00D5172A" w:rsidP="00D5172A">
      <w:pPr>
        <w:jc w:val="center"/>
        <w:rPr>
          <w:rFonts w:ascii="宋体" w:eastAsia="宋体" w:hAnsi="宋体" w:hint="eastAsia"/>
          <w:sz w:val="24"/>
          <w:szCs w:val="24"/>
        </w:rPr>
      </w:pPr>
      <w:r w:rsidRPr="00B66EF7">
        <w:rPr>
          <w:rFonts w:ascii="宋体" w:eastAsia="宋体" w:hAnsi="宋体" w:hint="eastAsia"/>
          <w:sz w:val="24"/>
          <w:szCs w:val="24"/>
        </w:rPr>
        <w:t xml:space="preserve">231830078 </w:t>
      </w:r>
      <w:proofErr w:type="gramStart"/>
      <w:r w:rsidRPr="00B66EF7">
        <w:rPr>
          <w:rFonts w:ascii="宋体" w:eastAsia="宋体" w:hAnsi="宋体" w:hint="eastAsia"/>
          <w:sz w:val="24"/>
          <w:szCs w:val="24"/>
        </w:rPr>
        <w:t>张馨月</w:t>
      </w:r>
      <w:proofErr w:type="gramEnd"/>
    </w:p>
    <w:p w14:paraId="02577E03" w14:textId="344CC714" w:rsidR="00D15D9E" w:rsidRPr="00D5172A" w:rsidRDefault="00D15D9E" w:rsidP="00D15D9E">
      <w:pPr>
        <w:rPr>
          <w:rFonts w:ascii="楷体" w:eastAsia="楷体" w:hAnsi="楷体" w:hint="eastAsia"/>
          <w:sz w:val="24"/>
          <w:szCs w:val="24"/>
        </w:rPr>
      </w:pPr>
      <w:r w:rsidRPr="00D5172A">
        <w:rPr>
          <w:rFonts w:ascii="楷体" w:eastAsia="楷体" w:hAnsi="楷体" w:hint="eastAsia"/>
          <w:sz w:val="24"/>
          <w:szCs w:val="24"/>
        </w:rPr>
        <w:t>摘要</w:t>
      </w:r>
    </w:p>
    <w:p w14:paraId="7189FCF9" w14:textId="7C836EEC" w:rsidR="00D15D9E" w:rsidRPr="00D5172A" w:rsidRDefault="00D15D9E" w:rsidP="00D15D9E">
      <w:pPr>
        <w:ind w:firstLineChars="200" w:firstLine="480"/>
        <w:rPr>
          <w:rFonts w:ascii="楷体" w:eastAsia="楷体" w:hAnsi="楷体" w:hint="eastAsia"/>
          <w:sz w:val="24"/>
          <w:szCs w:val="24"/>
        </w:rPr>
      </w:pPr>
      <w:r w:rsidRPr="00D5172A">
        <w:rPr>
          <w:rFonts w:ascii="楷体" w:eastAsia="楷体" w:hAnsi="楷体" w:hint="eastAsia"/>
          <w:sz w:val="24"/>
          <w:szCs w:val="24"/>
        </w:rPr>
        <w:t>本文以三国时期的经典历史叙事为研究对象，从政治、数理</w:t>
      </w:r>
      <w:r w:rsidR="00B66EF7">
        <w:rPr>
          <w:rFonts w:ascii="楷体" w:eastAsia="楷体" w:hAnsi="楷体" w:hint="eastAsia"/>
          <w:sz w:val="24"/>
          <w:szCs w:val="24"/>
        </w:rPr>
        <w:t>、</w:t>
      </w:r>
      <w:r w:rsidR="00B66EF7" w:rsidRPr="00D5172A">
        <w:rPr>
          <w:rFonts w:ascii="楷体" w:eastAsia="楷体" w:hAnsi="楷体" w:hint="eastAsia"/>
          <w:sz w:val="24"/>
          <w:szCs w:val="24"/>
        </w:rPr>
        <w:t>医学</w:t>
      </w:r>
      <w:r w:rsidRPr="00D5172A">
        <w:rPr>
          <w:rFonts w:ascii="楷体" w:eastAsia="楷体" w:hAnsi="楷体" w:hint="eastAsia"/>
          <w:sz w:val="24"/>
          <w:szCs w:val="24"/>
        </w:rPr>
        <w:t>三个维度，系统分析了史料记载中的真实性与虚构性。首先，</w:t>
      </w:r>
      <w:r w:rsidR="00B66EF7" w:rsidRPr="00D5172A">
        <w:rPr>
          <w:rFonts w:ascii="楷体" w:eastAsia="楷体" w:hAnsi="楷体" w:hint="eastAsia"/>
          <w:sz w:val="24"/>
          <w:szCs w:val="24"/>
        </w:rPr>
        <w:t>从政治视角剖析刘备“白帝城托孤”事件，结合“君可自取”的训诂争议与季汉政权背景，论证其核心意图在于赋予诸葛亮废立之权以稳固政权，而非猜忌或乱命。</w:t>
      </w:r>
      <w:r w:rsidRPr="00D5172A">
        <w:rPr>
          <w:rFonts w:ascii="楷体" w:eastAsia="楷体" w:hAnsi="楷体" w:hint="eastAsia"/>
          <w:sz w:val="24"/>
          <w:szCs w:val="24"/>
        </w:rPr>
        <w:t>其次，基于数理逻辑检视三国军事规模与人口数据，揭示赤壁之战、官渡之战的兵力夸大及蜀汉户籍记载的矛盾，指出数字失实可能源于后世意识形态修饰或统计疏漏。最后，</w:t>
      </w:r>
      <w:r w:rsidR="00B66EF7" w:rsidRPr="00D5172A">
        <w:rPr>
          <w:rFonts w:ascii="楷体" w:eastAsia="楷体" w:hAnsi="楷体" w:hint="eastAsia"/>
          <w:sz w:val="24"/>
          <w:szCs w:val="24"/>
        </w:rPr>
        <w:t>通过医学视角解构《三国演义》中关羽刮骨疗毒与夏侯</w:t>
      </w:r>
      <w:proofErr w:type="gramStart"/>
      <w:r w:rsidR="00B66EF7" w:rsidRPr="00D5172A">
        <w:rPr>
          <w:rFonts w:ascii="楷体" w:eastAsia="楷体" w:hAnsi="楷体" w:hint="eastAsia"/>
          <w:sz w:val="24"/>
          <w:szCs w:val="24"/>
        </w:rPr>
        <w:t>惇</w:t>
      </w:r>
      <w:proofErr w:type="gramEnd"/>
      <w:r w:rsidR="00B66EF7" w:rsidRPr="00D5172A">
        <w:rPr>
          <w:rFonts w:ascii="楷体" w:eastAsia="楷体" w:hAnsi="楷体" w:hint="eastAsia"/>
          <w:sz w:val="24"/>
          <w:szCs w:val="24"/>
        </w:rPr>
        <w:t>拔</w:t>
      </w:r>
      <w:proofErr w:type="gramStart"/>
      <w:r w:rsidR="00B66EF7" w:rsidRPr="00D5172A">
        <w:rPr>
          <w:rFonts w:ascii="楷体" w:eastAsia="楷体" w:hAnsi="楷体" w:hint="eastAsia"/>
          <w:sz w:val="24"/>
          <w:szCs w:val="24"/>
        </w:rPr>
        <w:t>矢啖睛</w:t>
      </w:r>
      <w:proofErr w:type="gramEnd"/>
      <w:r w:rsidR="00B66EF7" w:rsidRPr="00D5172A">
        <w:rPr>
          <w:rFonts w:ascii="楷体" w:eastAsia="楷体" w:hAnsi="楷体" w:hint="eastAsia"/>
          <w:sz w:val="24"/>
          <w:szCs w:val="24"/>
        </w:rPr>
        <w:t>的叙事，指出其违背人体生理极限，属于艺术夸张，旨在塑造英雄神话。</w:t>
      </w:r>
      <w:r w:rsidRPr="00D5172A">
        <w:rPr>
          <w:rFonts w:ascii="楷体" w:eastAsia="楷体" w:hAnsi="楷体" w:hint="eastAsia"/>
          <w:sz w:val="24"/>
          <w:szCs w:val="24"/>
        </w:rPr>
        <w:t xml:space="preserve">  </w:t>
      </w:r>
    </w:p>
    <w:p w14:paraId="7A3204C7" w14:textId="3F5344D9" w:rsidR="00D15D9E" w:rsidRPr="00D5172A" w:rsidRDefault="00D15D9E" w:rsidP="00D15D9E">
      <w:pPr>
        <w:ind w:firstLineChars="200" w:firstLine="480"/>
        <w:rPr>
          <w:rFonts w:ascii="楷体" w:eastAsia="楷体" w:hAnsi="楷体" w:hint="eastAsia"/>
          <w:sz w:val="24"/>
          <w:szCs w:val="24"/>
        </w:rPr>
      </w:pPr>
      <w:r w:rsidRPr="00D5172A">
        <w:rPr>
          <w:rFonts w:ascii="楷体" w:eastAsia="楷体" w:hAnsi="楷体" w:hint="eastAsia"/>
          <w:sz w:val="24"/>
          <w:szCs w:val="24"/>
        </w:rPr>
        <w:t xml:space="preserve">研究表明，三国叙事中存在文学虚构、情理推演、数据夸大三类典型现象，分别对应英雄塑造、权力话语、战争规模的不同叙事策略。这些现象既反映了历史书写的复杂性，也体现了集体记忆的建构过程。对它们的批判性分析，不仅有助于还原更接近真实的历史图景，也能深化对文化符号形成机制的理解。  </w:t>
      </w:r>
    </w:p>
    <w:p w14:paraId="6BEE3722" w14:textId="77777777" w:rsidR="00D15D9E" w:rsidRPr="00D5172A" w:rsidRDefault="00D15D9E" w:rsidP="00D15D9E">
      <w:pPr>
        <w:rPr>
          <w:rFonts w:ascii="楷体" w:eastAsia="楷体" w:hAnsi="楷体" w:hint="eastAsia"/>
          <w:sz w:val="24"/>
          <w:szCs w:val="24"/>
        </w:rPr>
      </w:pPr>
    </w:p>
    <w:p w14:paraId="3343A71C" w14:textId="58FE7F3D" w:rsidR="00D15D9E" w:rsidRPr="00D5172A" w:rsidRDefault="00D15D9E" w:rsidP="00D15D9E">
      <w:pPr>
        <w:rPr>
          <w:rFonts w:ascii="楷体" w:eastAsia="楷体" w:hAnsi="楷体" w:hint="eastAsia"/>
          <w:sz w:val="24"/>
          <w:szCs w:val="24"/>
        </w:rPr>
      </w:pPr>
      <w:r w:rsidRPr="00D5172A">
        <w:rPr>
          <w:rFonts w:ascii="楷体" w:eastAsia="楷体" w:hAnsi="楷体" w:hint="eastAsia"/>
          <w:sz w:val="24"/>
          <w:szCs w:val="24"/>
        </w:rPr>
        <w:t>关键词：</w:t>
      </w:r>
      <w:r w:rsidR="00EC4A49" w:rsidRPr="00EC4A49">
        <w:rPr>
          <w:rFonts w:ascii="楷体" w:eastAsia="楷体" w:hAnsi="楷体" w:hint="eastAsia"/>
          <w:sz w:val="24"/>
          <w:szCs w:val="24"/>
        </w:rPr>
        <w:t>三国演义 三国志 数理 常理 情理</w:t>
      </w:r>
      <w:r w:rsidR="00EC4A49">
        <w:rPr>
          <w:rFonts w:ascii="楷体" w:eastAsia="楷体" w:hAnsi="楷体" w:hint="eastAsia"/>
          <w:sz w:val="24"/>
          <w:szCs w:val="24"/>
        </w:rPr>
        <w:t xml:space="preserve"> </w:t>
      </w:r>
    </w:p>
    <w:p w14:paraId="0C89CF6A" w14:textId="77777777" w:rsidR="00D15D9E" w:rsidRDefault="00D15D9E" w:rsidP="00D15D9E">
      <w:pPr>
        <w:rPr>
          <w:rFonts w:ascii="宋体" w:eastAsia="宋体" w:hAnsi="宋体" w:hint="eastAsia"/>
          <w:sz w:val="24"/>
          <w:szCs w:val="24"/>
        </w:rPr>
      </w:pPr>
    </w:p>
    <w:p w14:paraId="53F0E014" w14:textId="2DB27BC9" w:rsidR="007F75CA" w:rsidRPr="007F75CA" w:rsidRDefault="007F75CA" w:rsidP="007F75CA">
      <w:pPr>
        <w:rPr>
          <w:rFonts w:ascii="宋体" w:eastAsia="宋体" w:hAnsi="宋体" w:hint="eastAsia"/>
          <w:sz w:val="24"/>
          <w:szCs w:val="24"/>
        </w:rPr>
      </w:pPr>
      <w:r w:rsidRPr="007F75CA">
        <w:rPr>
          <w:rFonts w:ascii="宋体" w:eastAsia="宋体" w:hAnsi="宋体" w:hint="eastAsia"/>
          <w:sz w:val="24"/>
          <w:szCs w:val="24"/>
        </w:rPr>
        <w:t>一、引言</w:t>
      </w:r>
    </w:p>
    <w:p w14:paraId="499091B3" w14:textId="74EA19E8" w:rsidR="0013495F" w:rsidRPr="007F75CA" w:rsidRDefault="0013495F" w:rsidP="007F75CA">
      <w:pPr>
        <w:ind w:firstLineChars="200" w:firstLine="480"/>
        <w:rPr>
          <w:rFonts w:ascii="宋体" w:eastAsia="宋体" w:hAnsi="宋体" w:hint="eastAsia"/>
          <w:sz w:val="24"/>
          <w:szCs w:val="24"/>
        </w:rPr>
      </w:pPr>
      <w:r w:rsidRPr="007F75CA">
        <w:rPr>
          <w:rFonts w:ascii="宋体" w:eastAsia="宋体" w:hAnsi="宋体" w:hint="eastAsia"/>
          <w:sz w:val="24"/>
          <w:szCs w:val="24"/>
        </w:rPr>
        <w:t>历史记载与文学叙事之间往往存在微妙的平衡。一方面，史家力求客观，以严谨的笔触记录事件；另一方面，文学创作则通过艺术加工讲述更具感染力的故事。三国时期作为中国历史上一个极具戏剧性的时代，其相关文字记载呈现出两种鲜明的叙事特征：一种是基于事实、符合情理的史实记载，另一种则是经过艺术加工、违背常理的文学虚构。当我们系统考察这些史料时，能够清晰地区分哪些是可信的历史记录，哪些是夸张的文学演绎。尤其值得注意的是，部分史料中还存在着明显的数字夸大和逻辑矛盾，这些现象不仅影响了我们对历史真相的把握，也反映了特定时代的叙事倾向和价值取向。</w:t>
      </w:r>
    </w:p>
    <w:p w14:paraId="6949ADE2" w14:textId="7001175C" w:rsidR="007F75CA" w:rsidRDefault="007F75CA" w:rsidP="007F75CA">
      <w:pPr>
        <w:ind w:firstLineChars="200" w:firstLine="480"/>
        <w:rPr>
          <w:rFonts w:ascii="宋体" w:eastAsia="宋体" w:hAnsi="宋体" w:hint="eastAsia"/>
          <w:sz w:val="24"/>
          <w:szCs w:val="24"/>
        </w:rPr>
      </w:pPr>
      <w:r w:rsidRPr="007F75CA">
        <w:rPr>
          <w:rFonts w:ascii="宋体" w:eastAsia="宋体" w:hAnsi="宋体" w:hint="eastAsia"/>
          <w:sz w:val="24"/>
          <w:szCs w:val="24"/>
        </w:rPr>
        <w:t>本文将从三个维</w:t>
      </w:r>
      <w:proofErr w:type="gramStart"/>
      <w:r w:rsidRPr="007F75CA">
        <w:rPr>
          <w:rFonts w:ascii="宋体" w:eastAsia="宋体" w:hAnsi="宋体" w:hint="eastAsia"/>
          <w:sz w:val="24"/>
          <w:szCs w:val="24"/>
        </w:rPr>
        <w:t>度展开</w:t>
      </w:r>
      <w:proofErr w:type="gramEnd"/>
      <w:r w:rsidRPr="007F75CA">
        <w:rPr>
          <w:rFonts w:ascii="宋体" w:eastAsia="宋体" w:hAnsi="宋体" w:hint="eastAsia"/>
          <w:sz w:val="24"/>
          <w:szCs w:val="24"/>
        </w:rPr>
        <w:t>分析：一是通过对比《三国志》与《三国演义》的关键情节，揭示符合情理的史实记载与违背常理的文学虚构之间的本质差异；二是聚焦"白帝城托孤"这一典型事件，探讨历史人物行为背后的真实动机与政治</w:t>
      </w:r>
      <w:proofErr w:type="gramStart"/>
      <w:r w:rsidRPr="007F75CA">
        <w:rPr>
          <w:rFonts w:ascii="宋体" w:eastAsia="宋体" w:hAnsi="宋体" w:hint="eastAsia"/>
          <w:sz w:val="24"/>
          <w:szCs w:val="24"/>
        </w:rPr>
        <w:t>考量</w:t>
      </w:r>
      <w:proofErr w:type="gramEnd"/>
      <w:r w:rsidRPr="007F75CA">
        <w:rPr>
          <w:rFonts w:ascii="宋体" w:eastAsia="宋体" w:hAnsi="宋体" w:hint="eastAsia"/>
          <w:sz w:val="24"/>
          <w:szCs w:val="24"/>
        </w:rPr>
        <w:t>；三是系统检视三国史料中涉及军事规模与人口统计的数据，剖析其中存在的数字夸大与逻辑矛盾问题。通过这种多维度的考察，我们不仅能够更准确地把握三国历史的真实面貌，更能深入理解历史书写背后的文化逻辑与时代特征。</w:t>
      </w:r>
    </w:p>
    <w:p w14:paraId="1AD3D70A" w14:textId="77777777" w:rsidR="00D5172A" w:rsidRPr="007F75CA" w:rsidRDefault="00D5172A" w:rsidP="007F75CA">
      <w:pPr>
        <w:ind w:firstLineChars="200" w:firstLine="480"/>
        <w:rPr>
          <w:rFonts w:ascii="宋体" w:eastAsia="宋体" w:hAnsi="宋体" w:hint="eastAsia"/>
          <w:sz w:val="24"/>
          <w:szCs w:val="24"/>
        </w:rPr>
      </w:pPr>
    </w:p>
    <w:p w14:paraId="045A3695" w14:textId="34F01A52" w:rsidR="007F75CA" w:rsidRDefault="007F75CA">
      <w:pPr>
        <w:rPr>
          <w:rFonts w:ascii="宋体" w:eastAsia="宋体" w:hAnsi="宋体" w:hint="eastAsia"/>
          <w:sz w:val="24"/>
          <w:szCs w:val="24"/>
        </w:rPr>
      </w:pPr>
      <w:r w:rsidRPr="007F75CA">
        <w:rPr>
          <w:rFonts w:ascii="宋体" w:eastAsia="宋体" w:hAnsi="宋体" w:hint="eastAsia"/>
          <w:sz w:val="24"/>
          <w:szCs w:val="24"/>
        </w:rPr>
        <w:t>二、</w:t>
      </w:r>
      <w:r w:rsidR="005D154B">
        <w:rPr>
          <w:rFonts w:ascii="宋体" w:eastAsia="宋体" w:hAnsi="宋体" w:hint="eastAsia"/>
          <w:sz w:val="24"/>
          <w:szCs w:val="24"/>
        </w:rPr>
        <w:t>政治视角下的托孤：情理解读</w:t>
      </w:r>
    </w:p>
    <w:p w14:paraId="25ADD4D7" w14:textId="1976EF33" w:rsidR="00D15D9E" w:rsidRPr="00D15D9E" w:rsidRDefault="00D15D9E" w:rsidP="00D5172A">
      <w:pPr>
        <w:ind w:firstLineChars="200" w:firstLine="480"/>
        <w:rPr>
          <w:rFonts w:ascii="宋体" w:eastAsia="宋体" w:hAnsi="宋体" w:hint="eastAsia"/>
          <w:sz w:val="24"/>
          <w:szCs w:val="24"/>
        </w:rPr>
      </w:pPr>
      <w:r w:rsidRPr="00D15D9E">
        <w:rPr>
          <w:rFonts w:ascii="宋体" w:eastAsia="宋体" w:hAnsi="宋体" w:hint="eastAsia"/>
          <w:sz w:val="24"/>
          <w:szCs w:val="24"/>
        </w:rPr>
        <w:t>三国演义</w:t>
      </w:r>
      <w:proofErr w:type="gramStart"/>
      <w:r w:rsidRPr="00D15D9E">
        <w:rPr>
          <w:rFonts w:ascii="宋体" w:eastAsia="宋体" w:hAnsi="宋体" w:hint="eastAsia"/>
          <w:sz w:val="24"/>
          <w:szCs w:val="24"/>
        </w:rPr>
        <w:t>》</w:t>
      </w:r>
      <w:proofErr w:type="gramEnd"/>
      <w:r w:rsidRPr="00D15D9E">
        <w:rPr>
          <w:rFonts w:ascii="宋体" w:eastAsia="宋体" w:hAnsi="宋体" w:hint="eastAsia"/>
          <w:sz w:val="24"/>
          <w:szCs w:val="24"/>
        </w:rPr>
        <w:t>中，刘备“白帝城托孤”情节确有史料可考。以下是西晋陈寿所著的《三国志·蜀书》相关记载。</w:t>
      </w:r>
    </w:p>
    <w:p w14:paraId="699AE6D2" w14:textId="77777777" w:rsidR="00D5172A" w:rsidRDefault="005D154B" w:rsidP="00D5172A">
      <w:pPr>
        <w:ind w:leftChars="200" w:left="420"/>
        <w:rPr>
          <w:rFonts w:ascii="楷体" w:eastAsia="楷体" w:hAnsi="楷体" w:hint="eastAsia"/>
          <w:sz w:val="24"/>
          <w:szCs w:val="24"/>
        </w:rPr>
      </w:pPr>
      <w:r w:rsidRPr="00D5172A">
        <w:rPr>
          <w:rFonts w:ascii="楷体" w:eastAsia="楷体" w:hAnsi="楷体"/>
          <w:sz w:val="24"/>
          <w:szCs w:val="24"/>
        </w:rPr>
        <w:t>（章武三年三月）先主病笃，托孤于诸葛亮，尚书令李严为副。</w:t>
      </w:r>
      <w:r w:rsidRPr="00D5172A">
        <w:rPr>
          <w:rFonts w:ascii="楷体" w:eastAsia="楷体" w:hAnsi="楷体" w:hint="eastAsia"/>
          <w:sz w:val="24"/>
          <w:szCs w:val="24"/>
        </w:rPr>
        <w:t>（《先主传》）</w:t>
      </w:r>
    </w:p>
    <w:p w14:paraId="55CDE02C" w14:textId="7695E78B" w:rsidR="005D154B" w:rsidRPr="00D5172A" w:rsidRDefault="005D154B" w:rsidP="00D5172A">
      <w:pPr>
        <w:ind w:firstLineChars="200" w:firstLine="480"/>
        <w:rPr>
          <w:rFonts w:ascii="楷体" w:eastAsia="楷体" w:hAnsi="楷体" w:hint="eastAsia"/>
          <w:sz w:val="24"/>
          <w:szCs w:val="24"/>
        </w:rPr>
      </w:pPr>
      <w:r w:rsidRPr="00D5172A">
        <w:rPr>
          <w:rFonts w:ascii="楷体" w:eastAsia="楷体" w:hAnsi="楷体" w:hint="eastAsia"/>
          <w:sz w:val="24"/>
          <w:szCs w:val="24"/>
        </w:rPr>
        <w:lastRenderedPageBreak/>
        <w:t>章武三年</w:t>
      </w:r>
      <w:r w:rsidRPr="00D5172A">
        <w:rPr>
          <w:rFonts w:ascii="楷体" w:eastAsia="楷体" w:hAnsi="楷体"/>
          <w:sz w:val="24"/>
          <w:szCs w:val="24"/>
        </w:rPr>
        <w:t>春，先主于永安病笃，</w:t>
      </w:r>
      <w:proofErr w:type="gramStart"/>
      <w:r w:rsidRPr="00D5172A">
        <w:rPr>
          <w:rFonts w:ascii="楷体" w:eastAsia="楷体" w:hAnsi="楷体"/>
          <w:sz w:val="24"/>
          <w:szCs w:val="24"/>
        </w:rPr>
        <w:t>召亮于</w:t>
      </w:r>
      <w:proofErr w:type="gramEnd"/>
      <w:r w:rsidRPr="00D5172A">
        <w:rPr>
          <w:rFonts w:ascii="楷体" w:eastAsia="楷体" w:hAnsi="楷体"/>
          <w:sz w:val="24"/>
          <w:szCs w:val="24"/>
        </w:rPr>
        <w:t>成都，属以后事，谓亮曰：</w:t>
      </w:r>
      <w:r w:rsidRPr="00D5172A">
        <w:rPr>
          <w:rFonts w:ascii="楷体" w:eastAsia="楷体" w:hAnsi="楷体" w:hint="eastAsia"/>
          <w:sz w:val="24"/>
          <w:szCs w:val="24"/>
        </w:rPr>
        <w:t>“</w:t>
      </w:r>
      <w:r w:rsidRPr="00D5172A">
        <w:rPr>
          <w:rFonts w:ascii="楷体" w:eastAsia="楷体" w:hAnsi="楷体"/>
          <w:sz w:val="24"/>
          <w:szCs w:val="24"/>
        </w:rPr>
        <w:t>君才十倍曹丕，必能安国，终定大事。若嗣子可辅，辅之；如其不才，君可自取。</w:t>
      </w:r>
      <w:r w:rsidRPr="00D5172A">
        <w:rPr>
          <w:rFonts w:ascii="楷体" w:eastAsia="楷体" w:hAnsi="楷体" w:hint="eastAsia"/>
          <w:sz w:val="24"/>
          <w:szCs w:val="24"/>
        </w:rPr>
        <w:t>”</w:t>
      </w:r>
      <w:r w:rsidRPr="00D5172A">
        <w:rPr>
          <w:rFonts w:ascii="楷体" w:eastAsia="楷体" w:hAnsi="楷体"/>
          <w:sz w:val="24"/>
          <w:szCs w:val="24"/>
        </w:rPr>
        <w:t>亮涕泣曰：</w:t>
      </w:r>
      <w:r w:rsidRPr="00D5172A">
        <w:rPr>
          <w:rFonts w:ascii="楷体" w:eastAsia="楷体" w:hAnsi="楷体" w:hint="eastAsia"/>
          <w:sz w:val="24"/>
          <w:szCs w:val="24"/>
        </w:rPr>
        <w:t>“</w:t>
      </w:r>
      <w:r w:rsidRPr="00D5172A">
        <w:rPr>
          <w:rFonts w:ascii="楷体" w:eastAsia="楷体" w:hAnsi="楷体"/>
          <w:sz w:val="24"/>
          <w:szCs w:val="24"/>
        </w:rPr>
        <w:t>臣敢竭股肱之力，效忠贞之节，继之以死！</w:t>
      </w:r>
      <w:r w:rsidRPr="00D5172A">
        <w:rPr>
          <w:rFonts w:ascii="楷体" w:eastAsia="楷体" w:hAnsi="楷体" w:hint="eastAsia"/>
          <w:sz w:val="24"/>
          <w:szCs w:val="24"/>
        </w:rPr>
        <w:t>”</w:t>
      </w:r>
      <w:r w:rsidRPr="00D5172A">
        <w:rPr>
          <w:rFonts w:ascii="楷体" w:eastAsia="楷体" w:hAnsi="楷体"/>
          <w:sz w:val="24"/>
          <w:szCs w:val="24"/>
        </w:rPr>
        <w:t>先主又为诏敕后主曰：</w:t>
      </w:r>
      <w:r w:rsidRPr="00D5172A">
        <w:rPr>
          <w:rFonts w:ascii="楷体" w:eastAsia="楷体" w:hAnsi="楷体" w:hint="eastAsia"/>
          <w:sz w:val="24"/>
          <w:szCs w:val="24"/>
        </w:rPr>
        <w:t>“</w:t>
      </w:r>
      <w:r w:rsidRPr="00D5172A">
        <w:rPr>
          <w:rFonts w:ascii="楷体" w:eastAsia="楷体" w:hAnsi="楷体"/>
          <w:sz w:val="24"/>
          <w:szCs w:val="24"/>
        </w:rPr>
        <w:t>汝与丞相从事，事之如父。</w:t>
      </w:r>
      <w:r w:rsidRPr="00D5172A">
        <w:rPr>
          <w:rFonts w:ascii="楷体" w:eastAsia="楷体" w:hAnsi="楷体" w:hint="eastAsia"/>
          <w:sz w:val="24"/>
          <w:szCs w:val="24"/>
        </w:rPr>
        <w:t>”（《诸葛亮传》）</w:t>
      </w:r>
    </w:p>
    <w:p w14:paraId="561DD26C" w14:textId="77777777" w:rsidR="005D154B" w:rsidRPr="005D154B" w:rsidRDefault="005D154B" w:rsidP="00D5172A">
      <w:pPr>
        <w:ind w:firstLineChars="200" w:firstLine="480"/>
        <w:rPr>
          <w:rFonts w:ascii="宋体" w:eastAsia="宋体" w:hAnsi="宋体" w:hint="eastAsia"/>
          <w:sz w:val="24"/>
          <w:szCs w:val="24"/>
        </w:rPr>
      </w:pPr>
      <w:r w:rsidRPr="00D5172A">
        <w:rPr>
          <w:rFonts w:ascii="楷体" w:eastAsia="楷体" w:hAnsi="楷体" w:hint="eastAsia"/>
          <w:sz w:val="24"/>
          <w:szCs w:val="24"/>
        </w:rPr>
        <w:t>（章武）三年，先主疾病，严与诸葛亮并受遗诏辅少主；以严为中都护，统内外军事，留镇永安。（《李严传》）</w:t>
      </w:r>
    </w:p>
    <w:p w14:paraId="511E5C4A" w14:textId="77777777" w:rsidR="005D154B" w:rsidRPr="005D154B" w:rsidRDefault="005D154B" w:rsidP="00D5172A">
      <w:pPr>
        <w:ind w:firstLineChars="200" w:firstLine="480"/>
        <w:rPr>
          <w:rFonts w:ascii="宋体" w:eastAsia="宋体" w:hAnsi="宋体" w:hint="eastAsia"/>
          <w:sz w:val="24"/>
          <w:szCs w:val="24"/>
        </w:rPr>
      </w:pPr>
      <w:r w:rsidRPr="005D154B">
        <w:rPr>
          <w:rFonts w:ascii="宋体" w:eastAsia="宋体" w:hAnsi="宋体" w:hint="eastAsia"/>
          <w:sz w:val="24"/>
          <w:szCs w:val="24"/>
        </w:rPr>
        <w:t>《三国演义》固然存在艺术加工，但与先前的情节不同，该情节总体与史料记载一致。下面主要就《三国志》中的记载展开讨论。白帝城托孤的“真实性”，存在两个角度的思考：一是史料本身是否“真实”；二是刘备托孤的意图是否“真实”。而坊间津津乐道、学界存在争论的，主要是第二个角度。虽然历史上存在众多对于此事件的定性与评价，本文将基于一手史料，简单分析史料的真实性；着重从情理角度，讨论刘备托孤意图的真实性。</w:t>
      </w:r>
    </w:p>
    <w:p w14:paraId="14C761AC" w14:textId="77777777" w:rsidR="005D154B" w:rsidRPr="005D154B" w:rsidRDefault="005D154B" w:rsidP="005D154B">
      <w:pPr>
        <w:rPr>
          <w:rFonts w:ascii="宋体" w:eastAsia="宋体" w:hAnsi="宋体" w:hint="eastAsia"/>
          <w:sz w:val="24"/>
          <w:szCs w:val="24"/>
        </w:rPr>
      </w:pPr>
      <w:r w:rsidRPr="005D154B">
        <w:rPr>
          <w:rFonts w:ascii="宋体" w:eastAsia="宋体" w:hAnsi="宋体" w:hint="eastAsia"/>
          <w:sz w:val="24"/>
          <w:szCs w:val="24"/>
        </w:rPr>
        <w:t>对于史料的真实性，《三国志》的相关记载是有关“白帝城托孤”目前唯一公开的一手资料，而《先主传》、《诸葛亮传》、《李严传》的三处直接对事件的描述能够相互契合。此外，“托孤”在诸葛亮的《出师表》（即“前出师表”）中也有印证，即“先帝知臣谨慎，故临崩寄臣以大事也”。《出师表》虽然同样出自《诸葛亮传》，其涉及的史实又能与其余史料对应，其文风也与诸葛亮其余篇目相符，因而广泛认为出自诸葛亮之手（主要的争论在于“后出师表”的真伪）。因而，本文认为“白帝城托孤”确有其事。</w:t>
      </w:r>
    </w:p>
    <w:p w14:paraId="3FFAAE58" w14:textId="77777777" w:rsidR="005D154B" w:rsidRPr="005D154B" w:rsidRDefault="005D154B" w:rsidP="00D5172A">
      <w:pPr>
        <w:ind w:firstLineChars="200" w:firstLine="480"/>
        <w:rPr>
          <w:rFonts w:ascii="宋体" w:eastAsia="宋体" w:hAnsi="宋体" w:hint="eastAsia"/>
          <w:sz w:val="24"/>
          <w:szCs w:val="24"/>
        </w:rPr>
      </w:pPr>
      <w:r w:rsidRPr="005D154B">
        <w:rPr>
          <w:rFonts w:ascii="宋体" w:eastAsia="宋体" w:hAnsi="宋体" w:hint="eastAsia"/>
          <w:sz w:val="24"/>
          <w:szCs w:val="24"/>
        </w:rPr>
        <w:t>对于刘备托孤的解释，前人主要围绕“君可自取”中“取”展开训诂学方面的争论，进而判断刘备托孤意图的真伪性。孙启祥综述了前人观点，指出“取”的理解存在“取而代之”、“自己选择</w:t>
      </w:r>
      <w:proofErr w:type="gramStart"/>
      <w:r w:rsidRPr="005D154B">
        <w:rPr>
          <w:rFonts w:ascii="宋体" w:eastAsia="宋体" w:hAnsi="宋体" w:hint="eastAsia"/>
          <w:sz w:val="24"/>
          <w:szCs w:val="24"/>
        </w:rPr>
        <w:t>嗣</w:t>
      </w:r>
      <w:proofErr w:type="gramEnd"/>
      <w:r w:rsidRPr="005D154B">
        <w:rPr>
          <w:rFonts w:ascii="宋体" w:eastAsia="宋体" w:hAnsi="宋体" w:hint="eastAsia"/>
          <w:sz w:val="24"/>
          <w:szCs w:val="24"/>
        </w:rPr>
        <w:t>君”、“自行决定”三种看法；而刘备的思想感情真伪及作用，存在“真实情感表达”、“猜忌”、“乱命”、“抑制内讧”、“随口而言”五种论断。</w:t>
      </w:r>
    </w:p>
    <w:p w14:paraId="0EFF3BEA" w14:textId="77777777" w:rsidR="005D154B" w:rsidRPr="005D154B" w:rsidRDefault="005D154B" w:rsidP="00D5172A">
      <w:pPr>
        <w:ind w:firstLineChars="200" w:firstLine="480"/>
        <w:rPr>
          <w:rFonts w:ascii="宋体" w:eastAsia="宋体" w:hAnsi="宋体" w:hint="eastAsia"/>
          <w:sz w:val="24"/>
          <w:szCs w:val="24"/>
        </w:rPr>
      </w:pPr>
      <w:r w:rsidRPr="005D154B">
        <w:rPr>
          <w:rFonts w:ascii="宋体" w:eastAsia="宋体" w:hAnsi="宋体" w:hint="eastAsia"/>
          <w:sz w:val="24"/>
          <w:szCs w:val="24"/>
        </w:rPr>
        <w:t>前人在论述过程中，存在以下三点问题。一是未将刘备已称帝的背景与此次托孤事件结合，仍将刘备的托孤与三国期间其他地方割据势力的托孤视为相同性质。例如，谭良啸认为，刘备经历了徐州牧陶谦、荆州牧刘表托孤，受到了影响；并结合三国时期各割据势力斗争激烈的背景，认为三国频繁出现的“托孤”，是割据者在其子弟能力欠缺的情况下，为保证其打下的基业不被夺走，交由更有能力的僚属继任，同时能保证后代的安宁富贵。然而，这能够解释一般“地方割据势力”的托孤，并不适用于已称汉帝的刘备。二是过于侧重于刘备个人的品行分析。而一方面，对于刘备的品行往往同样基于《三国志》的记载与陈寿的评价，虽然《三国志》是陈寿身为晋国子民时所著，但是陈寿先前作为季汉臣子，对于开国皇帝“先主”刘备有大量正面描述和评价，符合情理，但相关描述是否有夸大之嫌、评价是否主观情感色彩过多，有待考证。另一方面，《三国演义》极力塑造了刘备忠义的正面形象，对于古代的史学家可能存在影响；且东晋、南宋等与季汉处境类似的朝代，为了塑造自身王朝的正统和合法性，自然在历史上要推崇季汉的正统和合法性，相应地会推崇刘备。因此前人对于刘备品行的评价参考价值也较低。三是常常大篇引用史学界对于托孤事件的评价作为“证据”。接前所述的第二点问题，前人的观点往往只是个人的想法，未经</w:t>
      </w:r>
      <w:proofErr w:type="gramStart"/>
      <w:r w:rsidRPr="005D154B">
        <w:rPr>
          <w:rFonts w:ascii="宋体" w:eastAsia="宋体" w:hAnsi="宋体" w:hint="eastAsia"/>
          <w:sz w:val="24"/>
          <w:szCs w:val="24"/>
        </w:rPr>
        <w:t>过合理</w:t>
      </w:r>
      <w:proofErr w:type="gramEnd"/>
      <w:r w:rsidRPr="005D154B">
        <w:rPr>
          <w:rFonts w:ascii="宋体" w:eastAsia="宋体" w:hAnsi="宋体" w:hint="eastAsia"/>
          <w:sz w:val="24"/>
          <w:szCs w:val="24"/>
        </w:rPr>
        <w:t>的论证，并不能作为有效的论据。</w:t>
      </w:r>
    </w:p>
    <w:p w14:paraId="70AA4098" w14:textId="77777777" w:rsidR="005D154B" w:rsidRPr="005D154B" w:rsidRDefault="005D154B" w:rsidP="00D5172A">
      <w:pPr>
        <w:ind w:firstLineChars="200" w:firstLine="480"/>
        <w:rPr>
          <w:rFonts w:ascii="宋体" w:eastAsia="宋体" w:hAnsi="宋体" w:hint="eastAsia"/>
          <w:sz w:val="24"/>
          <w:szCs w:val="24"/>
        </w:rPr>
      </w:pPr>
      <w:r w:rsidRPr="005D154B">
        <w:rPr>
          <w:rFonts w:ascii="宋体" w:eastAsia="宋体" w:hAnsi="宋体" w:hint="eastAsia"/>
          <w:sz w:val="24"/>
          <w:szCs w:val="24"/>
        </w:rPr>
        <w:t>首先讨论“取”字的含义，这与“托孤”的性质有关。“取而代之”是诸葛亮</w:t>
      </w:r>
      <w:proofErr w:type="gramStart"/>
      <w:r w:rsidRPr="005D154B">
        <w:rPr>
          <w:rFonts w:ascii="宋体" w:eastAsia="宋体" w:hAnsi="宋体" w:hint="eastAsia"/>
          <w:sz w:val="24"/>
          <w:szCs w:val="24"/>
        </w:rPr>
        <w:t>代替刘</w:t>
      </w:r>
      <w:proofErr w:type="gramEnd"/>
      <w:r w:rsidRPr="005D154B">
        <w:rPr>
          <w:rFonts w:ascii="宋体" w:eastAsia="宋体" w:hAnsi="宋体" w:hint="eastAsia"/>
          <w:sz w:val="24"/>
          <w:szCs w:val="24"/>
        </w:rPr>
        <w:t>禅，成为新的君主；“自行决定”是诸葛亮重新选择</w:t>
      </w:r>
      <w:proofErr w:type="gramStart"/>
      <w:r w:rsidRPr="005D154B">
        <w:rPr>
          <w:rFonts w:ascii="宋体" w:eastAsia="宋体" w:hAnsi="宋体" w:hint="eastAsia"/>
          <w:sz w:val="24"/>
          <w:szCs w:val="24"/>
        </w:rPr>
        <w:t>嗣</w:t>
      </w:r>
      <w:proofErr w:type="gramEnd"/>
      <w:r w:rsidRPr="005D154B">
        <w:rPr>
          <w:rFonts w:ascii="宋体" w:eastAsia="宋体" w:hAnsi="宋体" w:hint="eastAsia"/>
          <w:sz w:val="24"/>
          <w:szCs w:val="24"/>
        </w:rPr>
        <w:t>君，不限范围。这两种解释都意味着不再是刘氏宗族统治季汉，结合“家天下”的背景，这就相</w:t>
      </w:r>
      <w:r w:rsidRPr="005D154B">
        <w:rPr>
          <w:rFonts w:ascii="宋体" w:eastAsia="宋体" w:hAnsi="宋体" w:hint="eastAsia"/>
          <w:sz w:val="24"/>
          <w:szCs w:val="24"/>
        </w:rPr>
        <w:lastRenderedPageBreak/>
        <w:t>当于改朝换代。综合史实和前人观点，本文不赞同这种认识，有以下两点原因。一是季汉立国的依据即为“匡扶汉室”，这必须依赖刘氏宗族才能完成。季汉的政治话语中称曹魏为“贼”，即偷走了刘氏的汉。而</w:t>
      </w:r>
      <w:proofErr w:type="gramStart"/>
      <w:r w:rsidRPr="005D154B">
        <w:rPr>
          <w:rFonts w:ascii="宋体" w:eastAsia="宋体" w:hAnsi="宋体" w:hint="eastAsia"/>
          <w:sz w:val="24"/>
          <w:szCs w:val="24"/>
        </w:rPr>
        <w:t>改立别姓</w:t>
      </w:r>
      <w:proofErr w:type="gramEnd"/>
      <w:r w:rsidRPr="005D154B">
        <w:rPr>
          <w:rFonts w:ascii="宋体" w:eastAsia="宋体" w:hAnsi="宋体" w:hint="eastAsia"/>
          <w:sz w:val="24"/>
          <w:szCs w:val="24"/>
        </w:rPr>
        <w:t>皇帝，即相当于曹丕取代汉献帝，就是诸葛亮成为了“贼”。这与情理相悖。二是异姓权臣代替刘氏宗族皇位，在三国之前已有先例，即所谓“王莽篡汉”。王莽最终落得惨死，东汉、三国时期对此也多持负面评价，季汉也以曹丕与王莽类比。诸葛亮或他人</w:t>
      </w:r>
      <w:proofErr w:type="gramStart"/>
      <w:r w:rsidRPr="005D154B">
        <w:rPr>
          <w:rFonts w:ascii="宋体" w:eastAsia="宋体" w:hAnsi="宋体" w:hint="eastAsia"/>
          <w:sz w:val="24"/>
          <w:szCs w:val="24"/>
        </w:rPr>
        <w:t>代替刘</w:t>
      </w:r>
      <w:proofErr w:type="gramEnd"/>
      <w:r w:rsidRPr="005D154B">
        <w:rPr>
          <w:rFonts w:ascii="宋体" w:eastAsia="宋体" w:hAnsi="宋体" w:hint="eastAsia"/>
          <w:sz w:val="24"/>
          <w:szCs w:val="24"/>
        </w:rPr>
        <w:t>禅的皇位，即是另一个曹丕或王莽，而这在情理上不是刘备所期望的，也不是诸葛亮所愿意的。</w:t>
      </w:r>
    </w:p>
    <w:p w14:paraId="4E7CF716" w14:textId="77777777" w:rsidR="005D154B" w:rsidRPr="005D154B" w:rsidRDefault="005D154B" w:rsidP="00D5172A">
      <w:pPr>
        <w:ind w:firstLineChars="200" w:firstLine="480"/>
        <w:rPr>
          <w:rFonts w:ascii="宋体" w:eastAsia="宋体" w:hAnsi="宋体" w:hint="eastAsia"/>
          <w:sz w:val="24"/>
          <w:szCs w:val="24"/>
        </w:rPr>
      </w:pPr>
      <w:r w:rsidRPr="005D154B">
        <w:rPr>
          <w:rFonts w:ascii="宋体" w:eastAsia="宋体" w:hAnsi="宋体" w:hint="eastAsia"/>
          <w:sz w:val="24"/>
          <w:szCs w:val="24"/>
        </w:rPr>
        <w:t>而对于“取”的“自己选择</w:t>
      </w:r>
      <w:proofErr w:type="gramStart"/>
      <w:r w:rsidRPr="005D154B">
        <w:rPr>
          <w:rFonts w:ascii="宋体" w:eastAsia="宋体" w:hAnsi="宋体" w:hint="eastAsia"/>
          <w:sz w:val="24"/>
          <w:szCs w:val="24"/>
        </w:rPr>
        <w:t>嗣</w:t>
      </w:r>
      <w:proofErr w:type="gramEnd"/>
      <w:r w:rsidRPr="005D154B">
        <w:rPr>
          <w:rFonts w:ascii="宋体" w:eastAsia="宋体" w:hAnsi="宋体" w:hint="eastAsia"/>
          <w:sz w:val="24"/>
          <w:szCs w:val="24"/>
        </w:rPr>
        <w:t>君”，即废除刘禅，再立刘备的儿子为君主，虽然违反了嫡长子继承的宗法制，但是可由以下几点理由合理解释。一是当时季汉政权处于危险境地，这是特殊境遇下为了稳定、巩固政权的特殊措施。关于这一点，前人已有充分的论述，暂不赘述。二是本文认为，刘备托孤实际上是参考汉武帝托孤霍光辅佐汉昭帝。昭帝早逝，</w:t>
      </w:r>
      <w:proofErr w:type="gramStart"/>
      <w:r w:rsidRPr="005D154B">
        <w:rPr>
          <w:rFonts w:ascii="宋体" w:eastAsia="宋体" w:hAnsi="宋体" w:hint="eastAsia"/>
          <w:sz w:val="24"/>
          <w:szCs w:val="24"/>
        </w:rPr>
        <w:t>霍光立刘</w:t>
      </w:r>
      <w:proofErr w:type="gramEnd"/>
      <w:r w:rsidRPr="005D154B">
        <w:rPr>
          <w:rFonts w:ascii="宋体" w:eastAsia="宋体" w:hAnsi="宋体" w:hint="eastAsia"/>
          <w:sz w:val="24"/>
          <w:szCs w:val="24"/>
        </w:rPr>
        <w:t>贺为帝，后又废刘贺，立刘询（汉宣帝）。东汉、三国时期对于霍光废立皇帝的评价多为正面，例如班固“霍光受襁褓之托，任汉室之寄，</w:t>
      </w:r>
      <w:proofErr w:type="gramStart"/>
      <w:r w:rsidRPr="005D154B">
        <w:rPr>
          <w:rFonts w:ascii="宋体" w:eastAsia="宋体" w:hAnsi="宋体" w:hint="eastAsia"/>
          <w:sz w:val="24"/>
          <w:szCs w:val="24"/>
        </w:rPr>
        <w:t>匡</w:t>
      </w:r>
      <w:proofErr w:type="gramEnd"/>
      <w:r w:rsidRPr="005D154B">
        <w:rPr>
          <w:rFonts w:ascii="宋体" w:eastAsia="宋体" w:hAnsi="宋体" w:hint="eastAsia"/>
          <w:sz w:val="24"/>
          <w:szCs w:val="24"/>
        </w:rPr>
        <w:t>国家，安社稷，拥昭，立宣，虽周公、阿衡何以加此！”，许靖“</w:t>
      </w:r>
      <w:r w:rsidRPr="005D154B">
        <w:rPr>
          <w:rFonts w:ascii="宋体" w:eastAsia="宋体" w:hAnsi="宋体" w:cs="Helvetica"/>
          <w:color w:val="333333"/>
          <w:sz w:val="24"/>
          <w:szCs w:val="24"/>
          <w:shd w:val="clear" w:color="auto" w:fill="FFFFFF"/>
        </w:rPr>
        <w:t>昔营邱翼周，杖</w:t>
      </w:r>
      <w:proofErr w:type="gramStart"/>
      <w:r w:rsidRPr="005D154B">
        <w:rPr>
          <w:rFonts w:ascii="宋体" w:eastAsia="宋体" w:hAnsi="宋体" w:cs="Helvetica"/>
          <w:color w:val="333333"/>
          <w:sz w:val="24"/>
          <w:szCs w:val="24"/>
          <w:shd w:val="clear" w:color="auto" w:fill="FFFFFF"/>
        </w:rPr>
        <w:t>钺</w:t>
      </w:r>
      <w:proofErr w:type="gramEnd"/>
      <w:r w:rsidRPr="005D154B">
        <w:rPr>
          <w:rFonts w:ascii="宋体" w:eastAsia="宋体" w:hAnsi="宋体" w:cs="Helvetica"/>
          <w:color w:val="333333"/>
          <w:sz w:val="24"/>
          <w:szCs w:val="24"/>
          <w:shd w:val="clear" w:color="auto" w:fill="FFFFFF"/>
        </w:rPr>
        <w:t>专征，博陆佐汉，虎贲警</w:t>
      </w:r>
      <w:proofErr w:type="gramStart"/>
      <w:r w:rsidRPr="005D154B">
        <w:rPr>
          <w:rFonts w:ascii="宋体" w:eastAsia="宋体" w:hAnsi="宋体" w:cs="Helvetica"/>
          <w:color w:val="333333"/>
          <w:sz w:val="24"/>
          <w:szCs w:val="24"/>
          <w:shd w:val="clear" w:color="auto" w:fill="FFFFFF"/>
        </w:rPr>
        <w:t>跸</w:t>
      </w:r>
      <w:proofErr w:type="gramEnd"/>
      <w:r w:rsidRPr="005D154B">
        <w:rPr>
          <w:rFonts w:ascii="宋体" w:eastAsia="宋体" w:hAnsi="宋体" w:cs="Helvetica" w:hint="eastAsia"/>
          <w:color w:val="333333"/>
          <w:sz w:val="24"/>
          <w:szCs w:val="24"/>
          <w:shd w:val="clear" w:color="auto" w:fill="FFFFFF"/>
        </w:rPr>
        <w:t>。</w:t>
      </w:r>
      <w:r w:rsidRPr="005D154B">
        <w:rPr>
          <w:rFonts w:ascii="宋体" w:eastAsia="宋体" w:hAnsi="宋体" w:hint="eastAsia"/>
          <w:sz w:val="24"/>
          <w:szCs w:val="24"/>
        </w:rPr>
        <w:t>”因此，效仿</w:t>
      </w:r>
      <w:proofErr w:type="gramStart"/>
      <w:r w:rsidRPr="005D154B">
        <w:rPr>
          <w:rFonts w:ascii="宋体" w:eastAsia="宋体" w:hAnsi="宋体" w:hint="eastAsia"/>
          <w:sz w:val="24"/>
          <w:szCs w:val="24"/>
        </w:rPr>
        <w:t>霍光废立嗣</w:t>
      </w:r>
      <w:proofErr w:type="gramEnd"/>
      <w:r w:rsidRPr="005D154B">
        <w:rPr>
          <w:rFonts w:ascii="宋体" w:eastAsia="宋体" w:hAnsi="宋体" w:hint="eastAsia"/>
          <w:sz w:val="24"/>
          <w:szCs w:val="24"/>
        </w:rPr>
        <w:t>君，在三国的政治话语体系中，是可以接受的。只是霍光废帝时的托词是基于刘贺的品行，即“行昏乱”，与刘备的“若其不才”情形不同。</w:t>
      </w:r>
    </w:p>
    <w:p w14:paraId="2B1FE82D" w14:textId="15C8BAED" w:rsidR="005D154B" w:rsidRDefault="005D154B" w:rsidP="00D5172A">
      <w:pPr>
        <w:ind w:firstLineChars="200" w:firstLine="480"/>
        <w:rPr>
          <w:rFonts w:ascii="宋体" w:eastAsia="宋体" w:hAnsi="宋体" w:hint="eastAsia"/>
          <w:sz w:val="24"/>
          <w:szCs w:val="24"/>
        </w:rPr>
      </w:pPr>
      <w:r w:rsidRPr="005D154B">
        <w:rPr>
          <w:rFonts w:ascii="宋体" w:eastAsia="宋体" w:hAnsi="宋体" w:hint="eastAsia"/>
          <w:sz w:val="24"/>
          <w:szCs w:val="24"/>
        </w:rPr>
        <w:t>进而讨论刘备托孤的意图。实际上，在之前的论述中，本文已基于“刘备托孤是想让托孤能够实现”的前提，即若刘</w:t>
      </w:r>
      <w:proofErr w:type="gramStart"/>
      <w:r w:rsidRPr="005D154B">
        <w:rPr>
          <w:rFonts w:ascii="宋体" w:eastAsia="宋体" w:hAnsi="宋体" w:hint="eastAsia"/>
          <w:sz w:val="24"/>
          <w:szCs w:val="24"/>
        </w:rPr>
        <w:t>禅才能</w:t>
      </w:r>
      <w:proofErr w:type="gramEnd"/>
      <w:r w:rsidRPr="005D154B">
        <w:rPr>
          <w:rFonts w:ascii="宋体" w:eastAsia="宋体" w:hAnsi="宋体" w:hint="eastAsia"/>
          <w:sz w:val="24"/>
          <w:szCs w:val="24"/>
        </w:rPr>
        <w:t>不足，诸葛亮可废刘禅，另立刘氏宗族为皇帝。同时，这也赋予了诸葛亮极大的权力。因此，本文倾向于“真实情感表达”与“抑制内讧”的观点。对于其余观点，本文提出新的驳斥看法。“乱命”和“随口而言”均认为刘备考虑欠周。而根据《先主传》，刘备兵败撤至白帝城至去世，长达十个月。在此期间，刘备采取诸多行动，包括与东吴媾和、任命李严为尚书令等。因此可推断刘备的托孤也是经过充分考虑的结果。于情理而言，刘备不会通过考虑欠周的托孤，置诸葛亮于不义之地。同样，对于“猜忌”，甚至“埋伏刀斧手”的观点，于国家危难且自身将死之际，再猜忌自己的丞相，甚至可能置其于死地，可能造成季汉政治中枢的崩溃，不合情理。托孤，在刘禅与诸葛亮的关系方面，据方北辰的观点，能够让诸葛亮暂时代为执掌君权，发挥其才能；在诸葛亮与其他季汉势力方面，确立其在季汉朝廷的地位，威慑原属于刘璋的益州势力，同时立益州派李贺为副手，也安抚了蜀地势力。</w:t>
      </w:r>
    </w:p>
    <w:p w14:paraId="68FA23EE" w14:textId="77777777" w:rsidR="00D5172A" w:rsidRPr="005D154B" w:rsidRDefault="00D5172A" w:rsidP="00D5172A">
      <w:pPr>
        <w:ind w:firstLineChars="200" w:firstLine="480"/>
        <w:rPr>
          <w:rFonts w:ascii="宋体" w:eastAsia="宋体" w:hAnsi="宋体" w:hint="eastAsia"/>
          <w:sz w:val="24"/>
          <w:szCs w:val="24"/>
        </w:rPr>
      </w:pPr>
    </w:p>
    <w:p w14:paraId="10646350" w14:textId="411DD274" w:rsidR="007F75CA" w:rsidRPr="007F75CA" w:rsidRDefault="007F75CA">
      <w:pPr>
        <w:rPr>
          <w:rFonts w:ascii="宋体" w:eastAsia="宋体" w:hAnsi="宋体" w:hint="eastAsia"/>
          <w:sz w:val="24"/>
          <w:szCs w:val="24"/>
        </w:rPr>
      </w:pPr>
      <w:r w:rsidRPr="007F75CA">
        <w:rPr>
          <w:rFonts w:ascii="宋体" w:eastAsia="宋体" w:hAnsi="宋体" w:hint="eastAsia"/>
          <w:sz w:val="24"/>
          <w:szCs w:val="24"/>
        </w:rPr>
        <w:t>三、数据视角下的战争：数理分析</w:t>
      </w:r>
    </w:p>
    <w:p w14:paraId="23E70727" w14:textId="1A9B9057" w:rsidR="007F75CA" w:rsidRPr="007F75CA" w:rsidRDefault="007F75CA" w:rsidP="00A72C79">
      <w:pPr>
        <w:ind w:firstLineChars="200" w:firstLine="480"/>
        <w:rPr>
          <w:rFonts w:ascii="宋体" w:eastAsia="宋体" w:hAnsi="宋体" w:hint="eastAsia"/>
          <w:sz w:val="24"/>
          <w:szCs w:val="24"/>
        </w:rPr>
      </w:pPr>
      <w:r w:rsidRPr="007F75CA">
        <w:rPr>
          <w:rFonts w:ascii="宋体" w:eastAsia="宋体" w:hAnsi="宋体" w:hint="eastAsia"/>
          <w:sz w:val="24"/>
          <w:szCs w:val="24"/>
        </w:rPr>
        <w:t>三国时期</w:t>
      </w:r>
      <w:proofErr w:type="gramStart"/>
      <w:r w:rsidRPr="007F75CA">
        <w:rPr>
          <w:rFonts w:ascii="宋体" w:eastAsia="宋体" w:hAnsi="宋体" w:hint="eastAsia"/>
          <w:sz w:val="24"/>
          <w:szCs w:val="24"/>
        </w:rPr>
        <w:t>不</w:t>
      </w:r>
      <w:proofErr w:type="gramEnd"/>
      <w:r w:rsidRPr="007F75CA">
        <w:rPr>
          <w:rFonts w:ascii="宋体" w:eastAsia="宋体" w:hAnsi="宋体" w:hint="eastAsia"/>
          <w:sz w:val="24"/>
          <w:szCs w:val="24"/>
        </w:rPr>
        <w:t>合数理的史料记载，最典型的就是军队人数的夸大，其中最著名的例子也就是赤壁之战了。曹操书信孙权“</w:t>
      </w:r>
      <w:r w:rsidRPr="007F75CA">
        <w:rPr>
          <w:rFonts w:ascii="宋体" w:eastAsia="宋体" w:hAnsi="宋体"/>
          <w:sz w:val="24"/>
          <w:szCs w:val="24"/>
        </w:rPr>
        <w:t>今治水军八十万众，方与将军会猎于吴</w:t>
      </w:r>
      <w:r w:rsidRPr="007F75CA">
        <w:rPr>
          <w:rFonts w:ascii="宋体" w:eastAsia="宋体" w:hAnsi="宋体" w:hint="eastAsia"/>
          <w:sz w:val="24"/>
          <w:szCs w:val="24"/>
        </w:rPr>
        <w:t>”，然而别说今人，连周瑜都分析其兵力恐怕不过十几万，</w:t>
      </w:r>
      <w:r w:rsidRPr="007F75CA">
        <w:rPr>
          <w:rFonts w:ascii="宋体" w:eastAsia="宋体" w:hAnsi="宋体"/>
          <w:sz w:val="24"/>
          <w:szCs w:val="24"/>
        </w:rPr>
        <w:t>《吴主传》中说：“（周)瑜、(程)普为左右督，各领万人，与(刘)备俱进，遇于赤壁，大破曹公军”</w:t>
      </w:r>
      <w:r w:rsidRPr="007F75CA">
        <w:rPr>
          <w:rFonts w:ascii="宋体" w:eastAsia="宋体" w:hAnsi="宋体" w:hint="eastAsia"/>
          <w:sz w:val="24"/>
          <w:szCs w:val="24"/>
        </w:rPr>
        <w:t>，可见孙刘联军兵力恐怕不过几万人，就能取得赤壁之战胜利，即使东风再盛，计策再妙，假使真迎战八十万之敌，恐怕还是不可能的。</w:t>
      </w:r>
    </w:p>
    <w:p w14:paraId="206DA3FD" w14:textId="1E5208B7" w:rsidR="007F75CA" w:rsidRPr="007F75CA" w:rsidRDefault="00A72C79" w:rsidP="00A72C79">
      <w:pPr>
        <w:ind w:firstLineChars="200" w:firstLine="480"/>
        <w:rPr>
          <w:rFonts w:ascii="宋体" w:eastAsia="宋体" w:hAnsi="宋体" w:hint="eastAsia"/>
          <w:sz w:val="24"/>
          <w:szCs w:val="24"/>
        </w:rPr>
      </w:pPr>
      <w:r w:rsidRPr="007F75CA">
        <w:rPr>
          <w:rFonts w:ascii="宋体" w:eastAsia="宋体" w:hAnsi="宋体" w:hint="eastAsia"/>
          <w:noProof/>
          <w:sz w:val="24"/>
          <w:szCs w:val="24"/>
        </w:rPr>
        <w:lastRenderedPageBreak/>
        <w:drawing>
          <wp:anchor distT="0" distB="0" distL="114300" distR="114300" simplePos="0" relativeHeight="251659264" behindDoc="0" locked="0" layoutInCell="1" allowOverlap="1" wp14:anchorId="47C4DF02" wp14:editId="7FE6F9D1">
            <wp:simplePos x="0" y="0"/>
            <wp:positionH relativeFrom="margin">
              <wp:align>right</wp:align>
            </wp:positionH>
            <wp:positionV relativeFrom="paragraph">
              <wp:posOffset>3004185</wp:posOffset>
            </wp:positionV>
            <wp:extent cx="2476500" cy="2325370"/>
            <wp:effectExtent l="0" t="0" r="0" b="0"/>
            <wp:wrapSquare wrapText="bothSides"/>
            <wp:docPr id="2140277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77174" name="图片 21402771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76500" cy="2325370"/>
                    </a:xfrm>
                    <a:prstGeom prst="rect">
                      <a:avLst/>
                    </a:prstGeom>
                  </pic:spPr>
                </pic:pic>
              </a:graphicData>
            </a:graphic>
            <wp14:sizeRelH relativeFrom="page">
              <wp14:pctWidth>0</wp14:pctWidth>
            </wp14:sizeRelH>
            <wp14:sizeRelV relativeFrom="page">
              <wp14:pctHeight>0</wp14:pctHeight>
            </wp14:sizeRelV>
          </wp:anchor>
        </w:drawing>
      </w:r>
      <w:r w:rsidR="007F75CA" w:rsidRPr="007F75CA">
        <w:rPr>
          <w:rFonts w:ascii="宋体" w:eastAsia="宋体" w:hAnsi="宋体" w:hint="eastAsia"/>
          <w:sz w:val="24"/>
          <w:szCs w:val="24"/>
        </w:rPr>
        <w:t>此外</w:t>
      </w:r>
      <w:r>
        <w:rPr>
          <w:rFonts w:ascii="宋体" w:eastAsia="宋体" w:hAnsi="宋体" w:hint="eastAsia"/>
          <w:sz w:val="24"/>
          <w:szCs w:val="24"/>
        </w:rPr>
        <w:t>，</w:t>
      </w:r>
      <w:r w:rsidR="007F75CA" w:rsidRPr="007F75CA">
        <w:rPr>
          <w:rFonts w:ascii="宋体" w:eastAsia="宋体" w:hAnsi="宋体" w:hint="eastAsia"/>
          <w:sz w:val="24"/>
          <w:szCs w:val="24"/>
        </w:rPr>
        <w:t>还有官渡之战也是典型的例子，</w:t>
      </w:r>
      <w:r w:rsidR="007F75CA" w:rsidRPr="007F75CA">
        <w:rPr>
          <w:rFonts w:ascii="宋体" w:eastAsia="宋体" w:hAnsi="宋体"/>
          <w:sz w:val="24"/>
          <w:szCs w:val="24"/>
        </w:rPr>
        <w:t>《三国志·魏书·袁绍传》上说：“（袁绍）简精卒十万，骑万匹</w:t>
      </w:r>
      <w:r w:rsidR="007F75CA" w:rsidRPr="007F75CA">
        <w:rPr>
          <w:rFonts w:ascii="宋体" w:eastAsia="宋体" w:hAnsi="宋体" w:hint="eastAsia"/>
          <w:sz w:val="24"/>
          <w:szCs w:val="24"/>
        </w:rPr>
        <w:t>，将攻许。”而曹操的兵力也有记载：《</w:t>
      </w:r>
      <w:r w:rsidR="007F75CA" w:rsidRPr="007F75CA">
        <w:rPr>
          <w:rFonts w:ascii="宋体" w:eastAsia="宋体" w:hAnsi="宋体"/>
          <w:sz w:val="24"/>
          <w:szCs w:val="24"/>
        </w:rPr>
        <w:t>三国志·魏书·武帝纪》：“时（曹）公兵不满万，伤者十二三。”</w:t>
      </w:r>
      <w:r w:rsidR="007F75CA" w:rsidRPr="007F75CA">
        <w:rPr>
          <w:rFonts w:ascii="宋体" w:eastAsia="宋体" w:hAnsi="宋体" w:hint="eastAsia"/>
          <w:sz w:val="24"/>
          <w:szCs w:val="24"/>
        </w:rPr>
        <w:t>也就是不到十分之一的差距，更何况袁绍的兵马皆是“精卒”，曹操军队中有许多伤兵，这样的兵力对比，曹丞相还以少胜多，果真是其有如此运筹帷幄的能力吗。对此，裴松之有一段精彩的议论：“</w:t>
      </w:r>
      <w:r w:rsidR="007F75CA" w:rsidRPr="007F75CA">
        <w:rPr>
          <w:rFonts w:ascii="宋体" w:eastAsia="宋体" w:hAnsi="宋体"/>
          <w:sz w:val="24"/>
          <w:szCs w:val="24"/>
        </w:rPr>
        <w:t>臣松之以为魏武初起兵，已有众五千，自后百战百胜，败者十二三而已矣。但一破黄巾，受降</w:t>
      </w:r>
      <w:proofErr w:type="gramStart"/>
      <w:r w:rsidR="007F75CA" w:rsidRPr="007F75CA">
        <w:rPr>
          <w:rFonts w:ascii="宋体" w:eastAsia="宋体" w:hAnsi="宋体"/>
          <w:sz w:val="24"/>
          <w:szCs w:val="24"/>
        </w:rPr>
        <w:t>卒</w:t>
      </w:r>
      <w:proofErr w:type="gramEnd"/>
      <w:r w:rsidR="007F75CA" w:rsidRPr="007F75CA">
        <w:rPr>
          <w:rFonts w:ascii="宋体" w:eastAsia="宋体" w:hAnsi="宋体"/>
          <w:sz w:val="24"/>
          <w:szCs w:val="24"/>
        </w:rPr>
        <w:t>三十余万，余所吞并不可悉记。虽征战损伤，未应如此之少也。</w:t>
      </w:r>
      <w:proofErr w:type="gramStart"/>
      <w:r w:rsidR="007F75CA" w:rsidRPr="007F75CA">
        <w:rPr>
          <w:rFonts w:ascii="宋体" w:eastAsia="宋体" w:hAnsi="宋体"/>
          <w:sz w:val="24"/>
          <w:szCs w:val="24"/>
        </w:rPr>
        <w:t>夫结营相</w:t>
      </w:r>
      <w:proofErr w:type="gramEnd"/>
      <w:r w:rsidR="007F75CA" w:rsidRPr="007F75CA">
        <w:rPr>
          <w:rFonts w:ascii="宋体" w:eastAsia="宋体" w:hAnsi="宋体"/>
          <w:sz w:val="24"/>
          <w:szCs w:val="24"/>
        </w:rPr>
        <w:t>守，异</w:t>
      </w:r>
      <w:proofErr w:type="gramStart"/>
      <w:r w:rsidR="007F75CA" w:rsidRPr="007F75CA">
        <w:rPr>
          <w:rFonts w:ascii="宋体" w:eastAsia="宋体" w:hAnsi="宋体"/>
          <w:sz w:val="24"/>
          <w:szCs w:val="24"/>
        </w:rPr>
        <w:t>于摧锋</w:t>
      </w:r>
      <w:proofErr w:type="gramEnd"/>
      <w:r w:rsidR="007F75CA" w:rsidRPr="007F75CA">
        <w:rPr>
          <w:rFonts w:ascii="宋体" w:eastAsia="宋体" w:hAnsi="宋体"/>
          <w:sz w:val="24"/>
          <w:szCs w:val="24"/>
        </w:rPr>
        <w:t>决战。本纪云：</w:t>
      </w:r>
      <w:proofErr w:type="gramStart"/>
      <w:r w:rsidR="007F75CA" w:rsidRPr="007F75CA">
        <w:rPr>
          <w:rFonts w:ascii="宋体" w:eastAsia="宋体" w:hAnsi="宋体"/>
          <w:sz w:val="24"/>
          <w:szCs w:val="24"/>
        </w:rPr>
        <w:t>“绍</w:t>
      </w:r>
      <w:proofErr w:type="gramEnd"/>
      <w:r w:rsidR="007F75CA" w:rsidRPr="007F75CA">
        <w:rPr>
          <w:rFonts w:ascii="宋体" w:eastAsia="宋体" w:hAnsi="宋体"/>
          <w:sz w:val="24"/>
          <w:szCs w:val="24"/>
        </w:rPr>
        <w:t>众十余万，屯营东西数十里。魏太祖虽机变无方，略</w:t>
      </w:r>
      <w:proofErr w:type="gramStart"/>
      <w:r w:rsidR="007F75CA" w:rsidRPr="007F75CA">
        <w:rPr>
          <w:rFonts w:ascii="宋体" w:eastAsia="宋体" w:hAnsi="宋体"/>
          <w:sz w:val="24"/>
          <w:szCs w:val="24"/>
        </w:rPr>
        <w:t>不</w:t>
      </w:r>
      <w:proofErr w:type="gramEnd"/>
      <w:r w:rsidR="007F75CA" w:rsidRPr="007F75CA">
        <w:rPr>
          <w:rFonts w:ascii="宋体" w:eastAsia="宋体" w:hAnsi="宋体"/>
          <w:sz w:val="24"/>
          <w:szCs w:val="24"/>
        </w:rPr>
        <w:t>出世，安有以数千之兵，而得逾时相抗者哉？以理而言，窃谓不然。</w:t>
      </w:r>
      <w:proofErr w:type="gramStart"/>
      <w:r w:rsidR="007F75CA" w:rsidRPr="007F75CA">
        <w:rPr>
          <w:rFonts w:ascii="宋体" w:eastAsia="宋体" w:hAnsi="宋体"/>
          <w:sz w:val="24"/>
          <w:szCs w:val="24"/>
        </w:rPr>
        <w:t>绍</w:t>
      </w:r>
      <w:proofErr w:type="gramEnd"/>
      <w:r w:rsidR="007F75CA" w:rsidRPr="007F75CA">
        <w:rPr>
          <w:rFonts w:ascii="宋体" w:eastAsia="宋体" w:hAnsi="宋体"/>
          <w:sz w:val="24"/>
          <w:szCs w:val="24"/>
        </w:rPr>
        <w:t>为屯数十里，公能分营与相当，此兵不得甚少，一也。</w:t>
      </w:r>
      <w:proofErr w:type="gramStart"/>
      <w:r w:rsidR="007F75CA" w:rsidRPr="007F75CA">
        <w:rPr>
          <w:rFonts w:ascii="宋体" w:eastAsia="宋体" w:hAnsi="宋体"/>
          <w:sz w:val="24"/>
          <w:szCs w:val="24"/>
        </w:rPr>
        <w:t>绍</w:t>
      </w:r>
      <w:proofErr w:type="gramEnd"/>
      <w:r w:rsidR="007F75CA" w:rsidRPr="007F75CA">
        <w:rPr>
          <w:rFonts w:ascii="宋体" w:eastAsia="宋体" w:hAnsi="宋体"/>
          <w:sz w:val="24"/>
          <w:szCs w:val="24"/>
        </w:rPr>
        <w:t>若有十倍之众，理应当悉力围守，使出入断绝，而公使徐晃等击其运车，公又自出击淳于琼等，扬</w:t>
      </w:r>
      <w:proofErr w:type="gramStart"/>
      <w:r w:rsidR="007F75CA" w:rsidRPr="007F75CA">
        <w:rPr>
          <w:rFonts w:ascii="宋体" w:eastAsia="宋体" w:hAnsi="宋体"/>
          <w:sz w:val="24"/>
          <w:szCs w:val="24"/>
        </w:rPr>
        <w:t>旌</w:t>
      </w:r>
      <w:proofErr w:type="gramEnd"/>
      <w:r w:rsidR="007F75CA" w:rsidRPr="007F75CA">
        <w:rPr>
          <w:rFonts w:ascii="宋体" w:eastAsia="宋体" w:hAnsi="宋体"/>
          <w:sz w:val="24"/>
          <w:szCs w:val="24"/>
        </w:rPr>
        <w:t>往还，会无抵</w:t>
      </w:r>
      <w:proofErr w:type="gramStart"/>
      <w:r w:rsidR="007F75CA" w:rsidRPr="007F75CA">
        <w:rPr>
          <w:rFonts w:ascii="宋体" w:eastAsia="宋体" w:hAnsi="宋体"/>
          <w:sz w:val="24"/>
          <w:szCs w:val="24"/>
        </w:rPr>
        <w:t>阂</w:t>
      </w:r>
      <w:proofErr w:type="gramEnd"/>
      <w:r w:rsidR="007F75CA" w:rsidRPr="007F75CA">
        <w:rPr>
          <w:rFonts w:ascii="宋体" w:eastAsia="宋体" w:hAnsi="宋体"/>
          <w:sz w:val="24"/>
          <w:szCs w:val="24"/>
        </w:rPr>
        <w:t>，明</w:t>
      </w:r>
      <w:proofErr w:type="gramStart"/>
      <w:r w:rsidR="007F75CA" w:rsidRPr="007F75CA">
        <w:rPr>
          <w:rFonts w:ascii="宋体" w:eastAsia="宋体" w:hAnsi="宋体"/>
          <w:sz w:val="24"/>
          <w:szCs w:val="24"/>
        </w:rPr>
        <w:t>绍</w:t>
      </w:r>
      <w:proofErr w:type="gramEnd"/>
      <w:r w:rsidR="007F75CA" w:rsidRPr="007F75CA">
        <w:rPr>
          <w:rFonts w:ascii="宋体" w:eastAsia="宋体" w:hAnsi="宋体"/>
          <w:sz w:val="24"/>
          <w:szCs w:val="24"/>
        </w:rPr>
        <w:t>力不能制，是不得甚少，二也。诸书皆云公坑绍众八万，或云七万。夫八万人奔散，非八千人所能缚，而</w:t>
      </w:r>
      <w:proofErr w:type="gramStart"/>
      <w:r w:rsidR="007F75CA" w:rsidRPr="007F75CA">
        <w:rPr>
          <w:rFonts w:ascii="宋体" w:eastAsia="宋体" w:hAnsi="宋体"/>
          <w:sz w:val="24"/>
          <w:szCs w:val="24"/>
        </w:rPr>
        <w:t>绍</w:t>
      </w:r>
      <w:proofErr w:type="gramEnd"/>
      <w:r w:rsidR="007F75CA" w:rsidRPr="007F75CA">
        <w:rPr>
          <w:rFonts w:ascii="宋体" w:eastAsia="宋体" w:hAnsi="宋体"/>
          <w:sz w:val="24"/>
          <w:szCs w:val="24"/>
        </w:rPr>
        <w:t>之大众皆拱手就</w:t>
      </w:r>
      <w:proofErr w:type="gramStart"/>
      <w:r w:rsidR="007F75CA" w:rsidRPr="007F75CA">
        <w:rPr>
          <w:rFonts w:ascii="宋体" w:eastAsia="宋体" w:hAnsi="宋体"/>
          <w:sz w:val="24"/>
          <w:szCs w:val="24"/>
        </w:rPr>
        <w:t>戮</w:t>
      </w:r>
      <w:proofErr w:type="gramEnd"/>
      <w:r w:rsidR="007F75CA" w:rsidRPr="007F75CA">
        <w:rPr>
          <w:rFonts w:ascii="宋体" w:eastAsia="宋体" w:hAnsi="宋体"/>
          <w:sz w:val="24"/>
          <w:szCs w:val="24"/>
        </w:rPr>
        <w:t>，何缘力能制之？是不得甚少，三也。将记述者欲以少见奇，非其实录也。按《钟繇传》云：“公与</w:t>
      </w:r>
      <w:proofErr w:type="gramStart"/>
      <w:r w:rsidR="007F75CA" w:rsidRPr="007F75CA">
        <w:rPr>
          <w:rFonts w:ascii="宋体" w:eastAsia="宋体" w:hAnsi="宋体"/>
          <w:sz w:val="24"/>
          <w:szCs w:val="24"/>
        </w:rPr>
        <w:t>绍</w:t>
      </w:r>
      <w:proofErr w:type="gramEnd"/>
      <w:r w:rsidR="007F75CA" w:rsidRPr="007F75CA">
        <w:rPr>
          <w:rFonts w:ascii="宋体" w:eastAsia="宋体" w:hAnsi="宋体"/>
          <w:sz w:val="24"/>
          <w:szCs w:val="24"/>
        </w:rPr>
        <w:t>相持，</w:t>
      </w:r>
      <w:proofErr w:type="gramStart"/>
      <w:r w:rsidR="007F75CA" w:rsidRPr="007F75CA">
        <w:rPr>
          <w:rFonts w:ascii="宋体" w:eastAsia="宋体" w:hAnsi="宋体"/>
          <w:sz w:val="24"/>
          <w:szCs w:val="24"/>
        </w:rPr>
        <w:t>繇</w:t>
      </w:r>
      <w:proofErr w:type="gramEnd"/>
      <w:r w:rsidR="007F75CA" w:rsidRPr="007F75CA">
        <w:rPr>
          <w:rFonts w:ascii="宋体" w:eastAsia="宋体" w:hAnsi="宋体"/>
          <w:sz w:val="24"/>
          <w:szCs w:val="24"/>
        </w:rPr>
        <w:t>为司隶，送马二千余匹以给军。”本纪及《世语》</w:t>
      </w:r>
      <w:proofErr w:type="gramStart"/>
      <w:r w:rsidR="007F75CA" w:rsidRPr="007F75CA">
        <w:rPr>
          <w:rFonts w:ascii="宋体" w:eastAsia="宋体" w:hAnsi="宋体"/>
          <w:sz w:val="24"/>
          <w:szCs w:val="24"/>
        </w:rPr>
        <w:t>并云公时有</w:t>
      </w:r>
      <w:proofErr w:type="gramEnd"/>
      <w:r w:rsidR="007F75CA" w:rsidRPr="007F75CA">
        <w:rPr>
          <w:rFonts w:ascii="宋体" w:eastAsia="宋体" w:hAnsi="宋体"/>
          <w:sz w:val="24"/>
          <w:szCs w:val="24"/>
        </w:rPr>
        <w:t>骑</w:t>
      </w:r>
      <w:proofErr w:type="gramStart"/>
      <w:r w:rsidR="007F75CA" w:rsidRPr="007F75CA">
        <w:rPr>
          <w:rFonts w:ascii="宋体" w:eastAsia="宋体" w:hAnsi="宋体"/>
          <w:sz w:val="24"/>
          <w:szCs w:val="24"/>
        </w:rPr>
        <w:t>六百余匹察马为安在</w:t>
      </w:r>
      <w:proofErr w:type="gramEnd"/>
      <w:r w:rsidR="007F75CA" w:rsidRPr="007F75CA">
        <w:rPr>
          <w:rFonts w:ascii="宋体" w:eastAsia="宋体" w:hAnsi="宋体"/>
          <w:sz w:val="24"/>
          <w:szCs w:val="24"/>
        </w:rPr>
        <w:t>哉？</w:t>
      </w:r>
      <w:proofErr w:type="gramStart"/>
      <w:r w:rsidR="007F75CA" w:rsidRPr="007F75CA">
        <w:rPr>
          <w:rFonts w:ascii="宋体" w:eastAsia="宋体" w:hAnsi="宋体" w:hint="eastAsia"/>
          <w:sz w:val="24"/>
          <w:szCs w:val="24"/>
        </w:rPr>
        <w:t>”</w:t>
      </w:r>
      <w:proofErr w:type="gramEnd"/>
      <w:r w:rsidR="007F75CA" w:rsidRPr="007F75CA">
        <w:rPr>
          <w:rFonts w:ascii="宋体" w:eastAsia="宋体" w:hAnsi="宋体" w:hint="eastAsia"/>
          <w:sz w:val="24"/>
          <w:szCs w:val="24"/>
        </w:rPr>
        <w:t>可见，曹操兵力固然比袁绍少，但绝不会如此悬殊，我们知道袁绍连营数十里，这样的情况下曹操还能分兵相持，十倍兵力之差恐怕是难以实现的。</w:t>
      </w:r>
    </w:p>
    <w:p w14:paraId="2938EA6B" w14:textId="19D86972" w:rsidR="007F75CA" w:rsidRPr="007F75CA" w:rsidRDefault="007F75CA" w:rsidP="00A72C79">
      <w:pPr>
        <w:ind w:firstLineChars="200" w:firstLine="480"/>
        <w:rPr>
          <w:rFonts w:ascii="宋体" w:eastAsia="宋体" w:hAnsi="宋体" w:hint="eastAsia"/>
          <w:sz w:val="24"/>
          <w:szCs w:val="24"/>
        </w:rPr>
      </w:pPr>
      <w:r w:rsidRPr="007F75CA">
        <w:rPr>
          <w:rFonts w:ascii="宋体" w:eastAsia="宋体" w:hAnsi="宋体" w:hint="eastAsia"/>
          <w:sz w:val="24"/>
          <w:szCs w:val="24"/>
        </w:rPr>
        <w:t>除了军队数量夸大，由于户籍制度不完善，一些地方户口的记录也明显不实。典型的例子如，</w:t>
      </w:r>
      <w:r w:rsidRPr="007F75CA">
        <w:rPr>
          <w:rFonts w:ascii="宋体" w:eastAsia="宋体" w:hAnsi="宋体"/>
          <w:sz w:val="24"/>
          <w:szCs w:val="24"/>
        </w:rPr>
        <w:t>《晋书·地理志》</w:t>
      </w:r>
      <w:r w:rsidRPr="007F75CA">
        <w:rPr>
          <w:rFonts w:ascii="宋体" w:eastAsia="宋体" w:hAnsi="宋体" w:hint="eastAsia"/>
          <w:sz w:val="24"/>
          <w:szCs w:val="24"/>
        </w:rPr>
        <w:t>记载，蜀国投降时，刘禅献出士民簿，记载说“</w:t>
      </w:r>
      <w:r w:rsidRPr="007F75CA">
        <w:rPr>
          <w:rFonts w:ascii="宋体" w:eastAsia="宋体" w:hAnsi="宋体"/>
          <w:sz w:val="24"/>
          <w:szCs w:val="24"/>
        </w:rPr>
        <w:t>户二十八万，男女口九十四万，带甲将士十万二千，吏四万人</w:t>
      </w:r>
      <w:r w:rsidRPr="007F75CA">
        <w:rPr>
          <w:rFonts w:ascii="宋体" w:eastAsia="宋体" w:hAnsi="宋体" w:hint="eastAsia"/>
          <w:sz w:val="24"/>
          <w:szCs w:val="24"/>
        </w:rPr>
        <w:t>”作为三国之一，蜀国人口竟只有百万，且不论人口绝对值多少，仅仅观其描述，九十四万人中，“带甲将士”占据十万二千，大概占百分之十一，更何况，兵士多为青壮年，假如成年男性占总人口百分之二十五，那么兵役人数竟然占了成年人口的百分之四十，还没算上跟后勤有关的军队人员，这样的兵役比例在古代农业社会恐怕不太合理。此外，照户数计算，平均每户仅有3人，似乎不太符合古代多代同堂的特点，</w:t>
      </w:r>
      <w:r w:rsidRPr="007F75CA">
        <w:rPr>
          <w:rFonts w:ascii="宋体" w:eastAsia="宋体" w:hAnsi="宋体"/>
          <w:sz w:val="24"/>
          <w:szCs w:val="24"/>
        </w:rPr>
        <w:t>据《后汉书·郡国志》所载永和五年(140)的版籍,全国有户933.6665万,口4789.2413万。</w:t>
      </w:r>
      <w:r w:rsidRPr="007F75CA">
        <w:rPr>
          <w:rFonts w:ascii="宋体" w:eastAsia="宋体" w:hAnsi="宋体" w:hint="eastAsia"/>
          <w:sz w:val="24"/>
          <w:szCs w:val="24"/>
        </w:rPr>
        <w:t>平均每户5人左右，</w:t>
      </w:r>
      <w:proofErr w:type="gramStart"/>
      <w:r w:rsidRPr="007F75CA">
        <w:rPr>
          <w:rFonts w:ascii="宋体" w:eastAsia="宋体" w:hAnsi="宋体" w:hint="eastAsia"/>
          <w:sz w:val="24"/>
          <w:szCs w:val="24"/>
        </w:rPr>
        <w:t>汉朝也</w:t>
      </w:r>
      <w:proofErr w:type="gramEnd"/>
      <w:r w:rsidRPr="007F75CA">
        <w:rPr>
          <w:rFonts w:ascii="宋体" w:eastAsia="宋体" w:hAnsi="宋体" w:hint="eastAsia"/>
          <w:sz w:val="24"/>
          <w:szCs w:val="24"/>
        </w:rPr>
        <w:t>流行“五口之家”的说法，因此每户均3人的 记录似乎可以加以怀疑。</w:t>
      </w:r>
    </w:p>
    <w:p w14:paraId="0785C59E" w14:textId="77777777" w:rsidR="007F75CA" w:rsidRPr="007F75CA" w:rsidRDefault="007F75CA" w:rsidP="00A72C79">
      <w:pPr>
        <w:ind w:firstLineChars="200" w:firstLine="480"/>
        <w:rPr>
          <w:rFonts w:ascii="宋体" w:eastAsia="宋体" w:hAnsi="宋体" w:hint="eastAsia"/>
          <w:sz w:val="24"/>
          <w:szCs w:val="24"/>
        </w:rPr>
      </w:pPr>
      <w:r w:rsidRPr="007F75CA">
        <w:rPr>
          <w:rFonts w:ascii="宋体" w:eastAsia="宋体" w:hAnsi="宋体" w:hint="eastAsia"/>
          <w:sz w:val="24"/>
          <w:szCs w:val="24"/>
        </w:rPr>
        <w:t>此外，将这些人口置于蜀汉的地域中，即使在关羽丢失荆州后，诸葛亮“五月渡</w:t>
      </w:r>
      <w:proofErr w:type="gramStart"/>
      <w:r w:rsidRPr="007F75CA">
        <w:rPr>
          <w:rFonts w:ascii="宋体" w:eastAsia="宋体" w:hAnsi="宋体" w:hint="eastAsia"/>
          <w:sz w:val="24"/>
          <w:szCs w:val="24"/>
        </w:rPr>
        <w:t>泸</w:t>
      </w:r>
      <w:proofErr w:type="gramEnd"/>
      <w:r w:rsidRPr="007F75CA">
        <w:rPr>
          <w:rFonts w:ascii="宋体" w:eastAsia="宋体" w:hAnsi="宋体" w:hint="eastAsia"/>
          <w:sz w:val="24"/>
          <w:szCs w:val="24"/>
        </w:rPr>
        <w:t>，深入不毛”而后“南方已定，兵甲已足”后，仍</w:t>
      </w:r>
      <w:r w:rsidRPr="007F75CA">
        <w:rPr>
          <w:rFonts w:ascii="宋体" w:eastAsia="宋体" w:hAnsi="宋体"/>
          <w:sz w:val="24"/>
          <w:szCs w:val="24"/>
        </w:rPr>
        <w:t>坐拥益州和汉中之地，面积在106万平方公里左右</w:t>
      </w:r>
      <w:r w:rsidRPr="007F75CA">
        <w:rPr>
          <w:rFonts w:ascii="宋体" w:eastAsia="宋体" w:hAnsi="宋体" w:hint="eastAsia"/>
          <w:sz w:val="24"/>
          <w:szCs w:val="24"/>
        </w:rPr>
        <w:t>，配上这样的人口比例，实在是地广人稀，如果这个记载属实，当时我国西南的人口密度就是</w:t>
      </w:r>
      <w:r w:rsidRPr="007F75CA">
        <w:rPr>
          <w:rFonts w:ascii="宋体" w:eastAsia="宋体" w:hAnsi="宋体"/>
          <w:sz w:val="24"/>
          <w:szCs w:val="24"/>
        </w:rPr>
        <w:t>0.89人/km²</w:t>
      </w:r>
      <w:r w:rsidRPr="007F75CA">
        <w:rPr>
          <w:rFonts w:ascii="宋体" w:eastAsia="宋体" w:hAnsi="宋体" w:hint="eastAsia"/>
          <w:sz w:val="24"/>
          <w:szCs w:val="24"/>
        </w:rPr>
        <w:t>，这样的人口密度与如今的荒漠地区有得一拼，对于古代非常依赖农业的社会而言，这是无法想象的。</w:t>
      </w:r>
    </w:p>
    <w:p w14:paraId="31FB0176" w14:textId="4A92E6F3" w:rsidR="007F75CA" w:rsidRPr="007F75CA" w:rsidRDefault="007F75CA" w:rsidP="00A72C79">
      <w:pPr>
        <w:ind w:firstLineChars="200" w:firstLine="480"/>
        <w:rPr>
          <w:rFonts w:ascii="宋体" w:eastAsia="宋体" w:hAnsi="宋体" w:hint="eastAsia"/>
          <w:sz w:val="24"/>
          <w:szCs w:val="24"/>
        </w:rPr>
      </w:pPr>
      <w:r w:rsidRPr="007F75CA">
        <w:rPr>
          <w:rFonts w:ascii="宋体" w:eastAsia="宋体" w:hAnsi="宋体" w:hint="eastAsia"/>
          <w:sz w:val="24"/>
          <w:szCs w:val="24"/>
        </w:rPr>
        <w:t>并且，蜀汉末年，蜀国还有大量的对外军事行动，且不论平定中南，诸葛亮六出祁山，尽管有些夸大，但两三次北伐，每次即使只动员三到五万军队，古代战争常有</w:t>
      </w:r>
      <w:r w:rsidRPr="007F75CA">
        <w:rPr>
          <w:rFonts w:ascii="宋体" w:eastAsia="宋体" w:hAnsi="宋体"/>
          <w:sz w:val="24"/>
          <w:szCs w:val="24"/>
        </w:rPr>
        <w:t>“十人供一人</w:t>
      </w:r>
      <w:r w:rsidRPr="007F75CA">
        <w:rPr>
          <w:rFonts w:ascii="宋体" w:eastAsia="宋体" w:hAnsi="宋体" w:hint="eastAsia"/>
          <w:sz w:val="24"/>
          <w:szCs w:val="24"/>
        </w:rPr>
        <w:t>”的说法，再考虑到所需的庞大后勤，仅九十四万的人口恐怕是支撑不起这样的战争的，更何况还有最末的姜维反复北伐，即使考虑到史书记载的军事行动中的夸大成分，能支撑如此长的时间和如此多的战争次数，也</w:t>
      </w:r>
      <w:r w:rsidRPr="007F75CA">
        <w:rPr>
          <w:rFonts w:ascii="宋体" w:eastAsia="宋体" w:hAnsi="宋体" w:hint="eastAsia"/>
          <w:sz w:val="24"/>
          <w:szCs w:val="24"/>
        </w:rPr>
        <w:lastRenderedPageBreak/>
        <w:t>许实际的人口数量应该更多，否则这样的军事行动或许是不可能的。</w:t>
      </w:r>
    </w:p>
    <w:p w14:paraId="0573D527" w14:textId="77777777" w:rsidR="007F75CA" w:rsidRPr="007F75CA" w:rsidRDefault="007F75CA" w:rsidP="00A72C79">
      <w:pPr>
        <w:ind w:firstLineChars="200" w:firstLine="480"/>
        <w:rPr>
          <w:rFonts w:ascii="宋体" w:eastAsia="宋体" w:hAnsi="宋体" w:hint="eastAsia"/>
          <w:sz w:val="24"/>
          <w:szCs w:val="24"/>
        </w:rPr>
      </w:pPr>
      <w:r w:rsidRPr="007F75CA">
        <w:rPr>
          <w:rFonts w:ascii="宋体" w:eastAsia="宋体" w:hAnsi="宋体" w:hint="eastAsia"/>
          <w:sz w:val="24"/>
          <w:szCs w:val="24"/>
        </w:rPr>
        <w:t>当然，或许这并不是史实的“错误”，而是有其他原因，历代史学家都注意到过这个户籍记录的不合理之处，并有多种解释：晋</w:t>
      </w:r>
      <w:proofErr w:type="gramStart"/>
      <w:r w:rsidRPr="007F75CA">
        <w:rPr>
          <w:rFonts w:ascii="宋体" w:eastAsia="宋体" w:hAnsi="宋体" w:hint="eastAsia"/>
          <w:sz w:val="24"/>
          <w:szCs w:val="24"/>
        </w:rPr>
        <w:t>朝作为</w:t>
      </w:r>
      <w:proofErr w:type="gramEnd"/>
      <w:r w:rsidRPr="007F75CA">
        <w:rPr>
          <w:rFonts w:ascii="宋体" w:eastAsia="宋体" w:hAnsi="宋体" w:hint="eastAsia"/>
          <w:sz w:val="24"/>
          <w:szCs w:val="24"/>
        </w:rPr>
        <w:t>后世的征服者（征服者的继承者），出于“顺天应地”的意识形态，有意贬低蜀汉的实力，这在历史中是常有的事；此外，考虑到蜀汉偏居西南的特殊地理位置，也有说是其仅考虑中原编户齐民而忽略了西南少数民族以及军属和其他依附人口的记录。总之，不管是什么原因，这样的户籍记载，我们有理由怀疑其是</w:t>
      </w:r>
      <w:proofErr w:type="gramStart"/>
      <w:r w:rsidRPr="007F75CA">
        <w:rPr>
          <w:rFonts w:ascii="宋体" w:eastAsia="宋体" w:hAnsi="宋体" w:hint="eastAsia"/>
          <w:sz w:val="24"/>
          <w:szCs w:val="24"/>
        </w:rPr>
        <w:t>不</w:t>
      </w:r>
      <w:proofErr w:type="gramEnd"/>
      <w:r w:rsidRPr="007F75CA">
        <w:rPr>
          <w:rFonts w:ascii="宋体" w:eastAsia="宋体" w:hAnsi="宋体" w:hint="eastAsia"/>
          <w:sz w:val="24"/>
          <w:szCs w:val="24"/>
        </w:rPr>
        <w:t>合数理的。</w:t>
      </w:r>
    </w:p>
    <w:p w14:paraId="74A6D331" w14:textId="6920884B" w:rsidR="007F75CA" w:rsidRDefault="005D154B">
      <w:pPr>
        <w:rPr>
          <w:rFonts w:ascii="宋体" w:eastAsia="宋体" w:hAnsi="宋体" w:hint="eastAsia"/>
          <w:sz w:val="24"/>
          <w:szCs w:val="24"/>
        </w:rPr>
      </w:pPr>
      <w:r>
        <w:rPr>
          <w:rFonts w:ascii="宋体" w:eastAsia="宋体" w:hAnsi="宋体" w:hint="eastAsia"/>
          <w:sz w:val="24"/>
          <w:szCs w:val="24"/>
        </w:rPr>
        <w:t>四、</w:t>
      </w:r>
      <w:r w:rsidRPr="007F75CA">
        <w:rPr>
          <w:rFonts w:ascii="宋体" w:eastAsia="宋体" w:hAnsi="宋体" w:hint="eastAsia"/>
          <w:sz w:val="24"/>
          <w:szCs w:val="24"/>
        </w:rPr>
        <w:t>医学视角下的英雄：常理</w:t>
      </w:r>
      <w:r>
        <w:rPr>
          <w:rFonts w:ascii="宋体" w:eastAsia="宋体" w:hAnsi="宋体" w:hint="eastAsia"/>
          <w:sz w:val="24"/>
          <w:szCs w:val="24"/>
        </w:rPr>
        <w:t>剖析</w:t>
      </w:r>
    </w:p>
    <w:p w14:paraId="6A886EA4" w14:textId="77777777" w:rsidR="005D154B" w:rsidRPr="007F75CA" w:rsidRDefault="005D154B" w:rsidP="005D154B">
      <w:pPr>
        <w:ind w:firstLineChars="200" w:firstLine="480"/>
        <w:rPr>
          <w:rFonts w:ascii="宋体" w:eastAsia="宋体" w:hAnsi="宋体" w:hint="eastAsia"/>
          <w:sz w:val="24"/>
          <w:szCs w:val="24"/>
        </w:rPr>
      </w:pPr>
      <w:r w:rsidRPr="007F75CA">
        <w:rPr>
          <w:rFonts w:ascii="宋体" w:eastAsia="宋体" w:hAnsi="宋体" w:hint="eastAsia"/>
          <w:sz w:val="24"/>
          <w:szCs w:val="24"/>
        </w:rPr>
        <w:t>在《三国演义》构筑的英雄谱系中，关羽刮骨疗毒与夏侯</w:t>
      </w:r>
      <w:proofErr w:type="gramStart"/>
      <w:r w:rsidRPr="007F75CA">
        <w:rPr>
          <w:rFonts w:ascii="宋体" w:eastAsia="宋体" w:hAnsi="宋体" w:hint="eastAsia"/>
          <w:sz w:val="24"/>
          <w:szCs w:val="24"/>
        </w:rPr>
        <w:t>惇</w:t>
      </w:r>
      <w:proofErr w:type="gramEnd"/>
      <w:r w:rsidRPr="007F75CA">
        <w:rPr>
          <w:rFonts w:ascii="宋体" w:eastAsia="宋体" w:hAnsi="宋体" w:hint="eastAsia"/>
          <w:sz w:val="24"/>
          <w:szCs w:val="24"/>
        </w:rPr>
        <w:t>拔</w:t>
      </w:r>
      <w:proofErr w:type="gramStart"/>
      <w:r w:rsidRPr="007F75CA">
        <w:rPr>
          <w:rFonts w:ascii="宋体" w:eastAsia="宋体" w:hAnsi="宋体" w:hint="eastAsia"/>
          <w:sz w:val="24"/>
          <w:szCs w:val="24"/>
        </w:rPr>
        <w:t>矢啖睛</w:t>
      </w:r>
      <w:proofErr w:type="gramEnd"/>
      <w:r w:rsidRPr="007F75CA">
        <w:rPr>
          <w:rFonts w:ascii="宋体" w:eastAsia="宋体" w:hAnsi="宋体" w:hint="eastAsia"/>
          <w:sz w:val="24"/>
          <w:szCs w:val="24"/>
        </w:rPr>
        <w:t>堪称最具感染力的叙事单元。前者以“谈笑弈棋”的超然姿态消解剧痛，后者以“父精母血”的伦理宣言强化悍勇，共同塑造出超越常人的英雄范式。然而，当我们将文学叙事与正史记载、医学常理进行比对时，便会发现这些经典场景实为精心编织的艺术虚构。正如历史学家克罗齐所言：“一切历史都是当代史”，文学叙事中的历史重构本质上是特定时代价值观念的投射。本文将从文献考证、医学分析与叙事功能三个维度，</w:t>
      </w:r>
      <w:proofErr w:type="gramStart"/>
      <w:r w:rsidRPr="007F75CA">
        <w:rPr>
          <w:rFonts w:ascii="宋体" w:eastAsia="宋体" w:hAnsi="宋体" w:hint="eastAsia"/>
          <w:sz w:val="24"/>
          <w:szCs w:val="24"/>
        </w:rPr>
        <w:t>解构这两个</w:t>
      </w:r>
      <w:proofErr w:type="gramEnd"/>
      <w:r w:rsidRPr="007F75CA">
        <w:rPr>
          <w:rFonts w:ascii="宋体" w:eastAsia="宋体" w:hAnsi="宋体" w:hint="eastAsia"/>
          <w:sz w:val="24"/>
          <w:szCs w:val="24"/>
        </w:rPr>
        <w:t>文学场景的虚构性及其文化意义。</w:t>
      </w:r>
    </w:p>
    <w:p w14:paraId="0F0986B6" w14:textId="77777777" w:rsidR="005D154B" w:rsidRPr="007F75CA" w:rsidRDefault="005D154B" w:rsidP="005D154B">
      <w:pPr>
        <w:ind w:firstLineChars="200" w:firstLine="480"/>
        <w:rPr>
          <w:rFonts w:ascii="宋体" w:eastAsia="宋体" w:hAnsi="宋体" w:hint="eastAsia"/>
          <w:sz w:val="24"/>
          <w:szCs w:val="24"/>
        </w:rPr>
      </w:pPr>
      <w:r w:rsidRPr="007F75CA">
        <w:rPr>
          <w:rFonts w:ascii="宋体" w:eastAsia="宋体" w:hAnsi="宋体" w:hint="eastAsia"/>
          <w:sz w:val="24"/>
          <w:szCs w:val="24"/>
        </w:rPr>
        <w:t>《三国演义》第七十五回对华佗为关羽实施刮骨手术的描写充满神异色彩：“</w:t>
      </w:r>
      <w:proofErr w:type="gramStart"/>
      <w:r w:rsidRPr="007F75CA">
        <w:rPr>
          <w:rFonts w:ascii="宋体" w:eastAsia="宋体" w:hAnsi="宋体" w:hint="eastAsia"/>
          <w:sz w:val="24"/>
          <w:szCs w:val="24"/>
        </w:rPr>
        <w:t>佗</w:t>
      </w:r>
      <w:proofErr w:type="gramEnd"/>
      <w:r w:rsidRPr="007F75CA">
        <w:rPr>
          <w:rFonts w:ascii="宋体" w:eastAsia="宋体" w:hAnsi="宋体" w:hint="eastAsia"/>
          <w:sz w:val="24"/>
          <w:szCs w:val="24"/>
        </w:rPr>
        <w:t>乃下刀，割开皮肉，直至于骨，骨上已青；</w:t>
      </w:r>
      <w:proofErr w:type="gramStart"/>
      <w:r w:rsidRPr="007F75CA">
        <w:rPr>
          <w:rFonts w:ascii="宋体" w:eastAsia="宋体" w:hAnsi="宋体" w:hint="eastAsia"/>
          <w:sz w:val="24"/>
          <w:szCs w:val="24"/>
        </w:rPr>
        <w:t>佗</w:t>
      </w:r>
      <w:proofErr w:type="gramEnd"/>
      <w:r w:rsidRPr="007F75CA">
        <w:rPr>
          <w:rFonts w:ascii="宋体" w:eastAsia="宋体" w:hAnsi="宋体" w:hint="eastAsia"/>
          <w:sz w:val="24"/>
          <w:szCs w:val="24"/>
        </w:rPr>
        <w:t>用刀刮骨，悉</w:t>
      </w:r>
      <w:proofErr w:type="gramStart"/>
      <w:r w:rsidRPr="007F75CA">
        <w:rPr>
          <w:rFonts w:ascii="宋体" w:eastAsia="宋体" w:hAnsi="宋体" w:hint="eastAsia"/>
          <w:sz w:val="24"/>
          <w:szCs w:val="24"/>
        </w:rPr>
        <w:t>悉</w:t>
      </w:r>
      <w:proofErr w:type="gramEnd"/>
      <w:r w:rsidRPr="007F75CA">
        <w:rPr>
          <w:rFonts w:ascii="宋体" w:eastAsia="宋体" w:hAnsi="宋体" w:hint="eastAsia"/>
          <w:sz w:val="24"/>
          <w:szCs w:val="24"/>
        </w:rPr>
        <w:t>有声……公饮酒食肉，谈笑弈棋，全无痛苦之色。”这种叙事将关羽的勇毅与华佗的医术共同推向神性高度。然而，《三国志·关羽传》的记载则显得克制而平实：“羽尝为流矢所中，贯其左臂，后创虽愈，每至阴雨，骨常疼痛，</w:t>
      </w:r>
      <w:proofErr w:type="gramStart"/>
      <w:r w:rsidRPr="007F75CA">
        <w:rPr>
          <w:rFonts w:ascii="宋体" w:eastAsia="宋体" w:hAnsi="宋体" w:hint="eastAsia"/>
          <w:sz w:val="24"/>
          <w:szCs w:val="24"/>
        </w:rPr>
        <w:t>医</w:t>
      </w:r>
      <w:proofErr w:type="gramEnd"/>
      <w:r w:rsidRPr="007F75CA">
        <w:rPr>
          <w:rFonts w:ascii="宋体" w:eastAsia="宋体" w:hAnsi="宋体" w:hint="eastAsia"/>
          <w:sz w:val="24"/>
          <w:szCs w:val="24"/>
        </w:rPr>
        <w:t>曰：‘矢镞有毒，毒入于骨，当破臂作创，刮骨去毒，然后此患乃除耳。’羽便伸臂令</w:t>
      </w:r>
      <w:proofErr w:type="gramStart"/>
      <w:r w:rsidRPr="007F75CA">
        <w:rPr>
          <w:rFonts w:ascii="宋体" w:eastAsia="宋体" w:hAnsi="宋体" w:hint="eastAsia"/>
          <w:sz w:val="24"/>
          <w:szCs w:val="24"/>
        </w:rPr>
        <w:t>医</w:t>
      </w:r>
      <w:proofErr w:type="gramEnd"/>
      <w:r w:rsidRPr="007F75CA">
        <w:rPr>
          <w:rFonts w:ascii="宋体" w:eastAsia="宋体" w:hAnsi="宋体" w:hint="eastAsia"/>
          <w:sz w:val="24"/>
          <w:szCs w:val="24"/>
        </w:rPr>
        <w:t>劈之。时方与诸将饮食相对，臂血流离，盈于盘器，而羽割炙引酒，言笑自若。”两者的差异体现在三个层面：其一，正史未提及</w:t>
      </w:r>
      <w:proofErr w:type="gramStart"/>
      <w:r w:rsidRPr="007F75CA">
        <w:rPr>
          <w:rFonts w:ascii="宋体" w:eastAsia="宋体" w:hAnsi="宋体" w:hint="eastAsia"/>
          <w:sz w:val="24"/>
          <w:szCs w:val="24"/>
        </w:rPr>
        <w:t>医</w:t>
      </w:r>
      <w:proofErr w:type="gramEnd"/>
      <w:r w:rsidRPr="007F75CA">
        <w:rPr>
          <w:rFonts w:ascii="宋体" w:eastAsia="宋体" w:hAnsi="宋体" w:hint="eastAsia"/>
          <w:sz w:val="24"/>
          <w:szCs w:val="24"/>
        </w:rPr>
        <w:t xml:space="preserve">者姓名，更无“华佗主刀”的记载；其二，手术场景仅强调关羽在剧痛中保持镇定，并未渲染“谈笑弈棋”的戏剧化情节；其三，从医学角度分析，“刮骨去毒”更可能是对创伤部位的有限清创，而非演义中近乎神话的深度手术。 </w:t>
      </w:r>
    </w:p>
    <w:p w14:paraId="7B81B4A1" w14:textId="77777777" w:rsidR="005D154B" w:rsidRPr="007F75CA" w:rsidRDefault="005D154B" w:rsidP="005D154B">
      <w:pPr>
        <w:ind w:firstLineChars="200" w:firstLine="480"/>
        <w:rPr>
          <w:rFonts w:ascii="宋体" w:eastAsia="宋体" w:hAnsi="宋体" w:hint="eastAsia"/>
          <w:sz w:val="24"/>
          <w:szCs w:val="24"/>
        </w:rPr>
      </w:pPr>
      <w:r w:rsidRPr="007F75CA">
        <w:rPr>
          <w:rFonts w:ascii="宋体" w:eastAsia="宋体" w:hAnsi="宋体" w:hint="eastAsia"/>
          <w:sz w:val="24"/>
          <w:szCs w:val="24"/>
        </w:rPr>
        <w:t>《三国演义》第十八回对夏侯</w:t>
      </w:r>
      <w:proofErr w:type="gramStart"/>
      <w:r w:rsidRPr="007F75CA">
        <w:rPr>
          <w:rFonts w:ascii="宋体" w:eastAsia="宋体" w:hAnsi="宋体" w:hint="eastAsia"/>
          <w:sz w:val="24"/>
          <w:szCs w:val="24"/>
        </w:rPr>
        <w:t>惇</w:t>
      </w:r>
      <w:proofErr w:type="gramEnd"/>
      <w:r w:rsidRPr="007F75CA">
        <w:rPr>
          <w:rFonts w:ascii="宋体" w:eastAsia="宋体" w:hAnsi="宋体" w:hint="eastAsia"/>
          <w:sz w:val="24"/>
          <w:szCs w:val="24"/>
        </w:rPr>
        <w:t>拔</w:t>
      </w:r>
      <w:proofErr w:type="gramStart"/>
      <w:r w:rsidRPr="007F75CA">
        <w:rPr>
          <w:rFonts w:ascii="宋体" w:eastAsia="宋体" w:hAnsi="宋体" w:hint="eastAsia"/>
          <w:sz w:val="24"/>
          <w:szCs w:val="24"/>
        </w:rPr>
        <w:t>矢啖睛</w:t>
      </w:r>
      <w:proofErr w:type="gramEnd"/>
      <w:r w:rsidRPr="007F75CA">
        <w:rPr>
          <w:rFonts w:ascii="宋体" w:eastAsia="宋体" w:hAnsi="宋体" w:hint="eastAsia"/>
          <w:sz w:val="24"/>
          <w:szCs w:val="24"/>
        </w:rPr>
        <w:t>的描写极具视觉冲击力：“</w:t>
      </w:r>
      <w:proofErr w:type="gramStart"/>
      <w:r w:rsidRPr="007F75CA">
        <w:rPr>
          <w:rFonts w:ascii="宋体" w:eastAsia="宋体" w:hAnsi="宋体" w:hint="eastAsia"/>
          <w:sz w:val="24"/>
          <w:szCs w:val="24"/>
        </w:rPr>
        <w:t>惇</w:t>
      </w:r>
      <w:proofErr w:type="gramEnd"/>
      <w:r w:rsidRPr="007F75CA">
        <w:rPr>
          <w:rFonts w:ascii="宋体" w:eastAsia="宋体" w:hAnsi="宋体" w:hint="eastAsia"/>
          <w:sz w:val="24"/>
          <w:szCs w:val="24"/>
        </w:rPr>
        <w:t>急用手拔箭，不想连眼珠拔出……乃大呼曰：‘父精母血，不可弃也！’遂纳于口内</w:t>
      </w:r>
      <w:proofErr w:type="gramStart"/>
      <w:r w:rsidRPr="007F75CA">
        <w:rPr>
          <w:rFonts w:ascii="宋体" w:eastAsia="宋体" w:hAnsi="宋体" w:hint="eastAsia"/>
          <w:sz w:val="24"/>
          <w:szCs w:val="24"/>
        </w:rPr>
        <w:t>啖</w:t>
      </w:r>
      <w:proofErr w:type="gramEnd"/>
      <w:r w:rsidRPr="007F75CA">
        <w:rPr>
          <w:rFonts w:ascii="宋体" w:eastAsia="宋体" w:hAnsi="宋体" w:hint="eastAsia"/>
          <w:sz w:val="24"/>
          <w:szCs w:val="24"/>
        </w:rPr>
        <w:t>之，仍复</w:t>
      </w:r>
      <w:proofErr w:type="gramStart"/>
      <w:r w:rsidRPr="007F75CA">
        <w:rPr>
          <w:rFonts w:ascii="宋体" w:eastAsia="宋体" w:hAnsi="宋体" w:hint="eastAsia"/>
          <w:sz w:val="24"/>
          <w:szCs w:val="24"/>
        </w:rPr>
        <w:t>挺枪纵</w:t>
      </w:r>
      <w:proofErr w:type="gramEnd"/>
      <w:r w:rsidRPr="007F75CA">
        <w:rPr>
          <w:rFonts w:ascii="宋体" w:eastAsia="宋体" w:hAnsi="宋体" w:hint="eastAsia"/>
          <w:sz w:val="24"/>
          <w:szCs w:val="24"/>
        </w:rPr>
        <w:t>马，直取曹性。”这一情节通过极端行为塑造了夏侯</w:t>
      </w:r>
      <w:proofErr w:type="gramStart"/>
      <w:r w:rsidRPr="007F75CA">
        <w:rPr>
          <w:rFonts w:ascii="宋体" w:eastAsia="宋体" w:hAnsi="宋体" w:hint="eastAsia"/>
          <w:sz w:val="24"/>
          <w:szCs w:val="24"/>
        </w:rPr>
        <w:t>惇</w:t>
      </w:r>
      <w:proofErr w:type="gramEnd"/>
      <w:r w:rsidRPr="007F75CA">
        <w:rPr>
          <w:rFonts w:ascii="宋体" w:eastAsia="宋体" w:hAnsi="宋体" w:hint="eastAsia"/>
          <w:sz w:val="24"/>
          <w:szCs w:val="24"/>
        </w:rPr>
        <w:t>的悍勇形象。然而，《三国志·夏侯惇传》仅简略记载：“</w:t>
      </w:r>
      <w:proofErr w:type="gramStart"/>
      <w:r w:rsidRPr="007F75CA">
        <w:rPr>
          <w:rFonts w:ascii="宋体" w:eastAsia="宋体" w:hAnsi="宋体" w:hint="eastAsia"/>
          <w:sz w:val="24"/>
          <w:szCs w:val="24"/>
        </w:rPr>
        <w:t>惇</w:t>
      </w:r>
      <w:proofErr w:type="gramEnd"/>
      <w:r w:rsidRPr="007F75CA">
        <w:rPr>
          <w:rFonts w:ascii="宋体" w:eastAsia="宋体" w:hAnsi="宋体" w:hint="eastAsia"/>
          <w:sz w:val="24"/>
          <w:szCs w:val="24"/>
        </w:rPr>
        <w:t>从征吕布，为流矢所中，伤左目。”值得注意的是，裴松之注引《魏略》补充道：“时夏侯渊与</w:t>
      </w:r>
      <w:proofErr w:type="gramStart"/>
      <w:r w:rsidRPr="007F75CA">
        <w:rPr>
          <w:rFonts w:ascii="宋体" w:eastAsia="宋体" w:hAnsi="宋体" w:hint="eastAsia"/>
          <w:sz w:val="24"/>
          <w:szCs w:val="24"/>
        </w:rPr>
        <w:t>惇</w:t>
      </w:r>
      <w:proofErr w:type="gramEnd"/>
      <w:r w:rsidRPr="007F75CA">
        <w:rPr>
          <w:rFonts w:ascii="宋体" w:eastAsia="宋体" w:hAnsi="宋体" w:hint="eastAsia"/>
          <w:sz w:val="24"/>
          <w:szCs w:val="24"/>
        </w:rPr>
        <w:t>俱为将军，军中号</w:t>
      </w:r>
      <w:proofErr w:type="gramStart"/>
      <w:r w:rsidRPr="007F75CA">
        <w:rPr>
          <w:rFonts w:ascii="宋体" w:eastAsia="宋体" w:hAnsi="宋体" w:hint="eastAsia"/>
          <w:sz w:val="24"/>
          <w:szCs w:val="24"/>
        </w:rPr>
        <w:t>惇</w:t>
      </w:r>
      <w:proofErr w:type="gramEnd"/>
      <w:r w:rsidRPr="007F75CA">
        <w:rPr>
          <w:rFonts w:ascii="宋体" w:eastAsia="宋体" w:hAnsi="宋体" w:hint="eastAsia"/>
          <w:sz w:val="24"/>
          <w:szCs w:val="24"/>
        </w:rPr>
        <w:t>为盲夏侯。</w:t>
      </w:r>
      <w:proofErr w:type="gramStart"/>
      <w:r w:rsidRPr="007F75CA">
        <w:rPr>
          <w:rFonts w:ascii="宋体" w:eastAsia="宋体" w:hAnsi="宋体" w:hint="eastAsia"/>
          <w:sz w:val="24"/>
          <w:szCs w:val="24"/>
        </w:rPr>
        <w:t>惇</w:t>
      </w:r>
      <w:proofErr w:type="gramEnd"/>
      <w:r w:rsidRPr="007F75CA">
        <w:rPr>
          <w:rFonts w:ascii="宋体" w:eastAsia="宋体" w:hAnsi="宋体" w:hint="eastAsia"/>
          <w:sz w:val="24"/>
          <w:szCs w:val="24"/>
        </w:rPr>
        <w:t>恶之，照镜恚怒，辄扑镜于地。”这段记载揭示了夏侯</w:t>
      </w:r>
      <w:proofErr w:type="gramStart"/>
      <w:r w:rsidRPr="007F75CA">
        <w:rPr>
          <w:rFonts w:ascii="宋体" w:eastAsia="宋体" w:hAnsi="宋体" w:hint="eastAsia"/>
          <w:sz w:val="24"/>
          <w:szCs w:val="24"/>
        </w:rPr>
        <w:t>惇</w:t>
      </w:r>
      <w:proofErr w:type="gramEnd"/>
      <w:r w:rsidRPr="007F75CA">
        <w:rPr>
          <w:rFonts w:ascii="宋体" w:eastAsia="宋体" w:hAnsi="宋体" w:hint="eastAsia"/>
          <w:sz w:val="24"/>
          <w:szCs w:val="24"/>
        </w:rPr>
        <w:t>对毁容的强烈反应，与演义中“啖睛”的豪迈形成鲜明对比。历史中的夏侯</w:t>
      </w:r>
      <w:proofErr w:type="gramStart"/>
      <w:r w:rsidRPr="007F75CA">
        <w:rPr>
          <w:rFonts w:ascii="宋体" w:eastAsia="宋体" w:hAnsi="宋体" w:hint="eastAsia"/>
          <w:sz w:val="24"/>
          <w:szCs w:val="24"/>
        </w:rPr>
        <w:t>惇</w:t>
      </w:r>
      <w:proofErr w:type="gramEnd"/>
      <w:r w:rsidRPr="007F75CA">
        <w:rPr>
          <w:rFonts w:ascii="宋体" w:eastAsia="宋体" w:hAnsi="宋体" w:hint="eastAsia"/>
          <w:sz w:val="24"/>
          <w:szCs w:val="24"/>
        </w:rPr>
        <w:t>并非以粗犷</w:t>
      </w:r>
      <w:proofErr w:type="gramStart"/>
      <w:r w:rsidRPr="007F75CA">
        <w:rPr>
          <w:rFonts w:ascii="宋体" w:eastAsia="宋体" w:hAnsi="宋体" w:hint="eastAsia"/>
          <w:sz w:val="24"/>
          <w:szCs w:val="24"/>
        </w:rPr>
        <w:t>莽</w:t>
      </w:r>
      <w:proofErr w:type="gramEnd"/>
      <w:r w:rsidRPr="007F75CA">
        <w:rPr>
          <w:rFonts w:ascii="宋体" w:eastAsia="宋体" w:hAnsi="宋体" w:hint="eastAsia"/>
          <w:sz w:val="24"/>
          <w:szCs w:val="24"/>
        </w:rPr>
        <w:t>勇著称，其晚年“清俭好学，有余财辄以分施”，展现出儒将风范，这与文学叙事中的形象存在显著差异。</w:t>
      </w:r>
    </w:p>
    <w:p w14:paraId="39FB6D63" w14:textId="77777777" w:rsidR="005D154B" w:rsidRPr="007F75CA" w:rsidRDefault="005D154B" w:rsidP="005D154B">
      <w:pPr>
        <w:ind w:firstLineChars="200" w:firstLine="480"/>
        <w:rPr>
          <w:rFonts w:ascii="宋体" w:eastAsia="宋体" w:hAnsi="宋体" w:hint="eastAsia"/>
          <w:sz w:val="24"/>
          <w:szCs w:val="24"/>
        </w:rPr>
      </w:pPr>
      <w:r w:rsidRPr="007F75CA">
        <w:rPr>
          <w:rFonts w:ascii="宋体" w:eastAsia="宋体" w:hAnsi="宋体" w:hint="eastAsia"/>
          <w:sz w:val="24"/>
          <w:szCs w:val="24"/>
        </w:rPr>
        <w:t>从现代医学角度审视，关羽刮骨疗毒的记载存在若干生理学上的矛盾。首先，骨膜富含密集的神经末梢，刮</w:t>
      </w:r>
      <w:proofErr w:type="gramStart"/>
      <w:r w:rsidRPr="007F75CA">
        <w:rPr>
          <w:rFonts w:ascii="宋体" w:eastAsia="宋体" w:hAnsi="宋体" w:hint="eastAsia"/>
          <w:sz w:val="24"/>
          <w:szCs w:val="24"/>
        </w:rPr>
        <w:t>骨操作</w:t>
      </w:r>
      <w:proofErr w:type="gramEnd"/>
      <w:r w:rsidRPr="007F75CA">
        <w:rPr>
          <w:rFonts w:ascii="宋体" w:eastAsia="宋体" w:hAnsi="宋体" w:hint="eastAsia"/>
          <w:sz w:val="24"/>
          <w:szCs w:val="24"/>
        </w:rPr>
        <w:t>所引发的剧烈疼痛程度可达到10级，远超人类的疼痛耐受阈值。即便在现代麻醉技术的支持下，此类手术仍需采取强有力的镇痛措施。其次，东汉时期尚未掌握消毒技术，开放性创口极易导致败血症，引发感染性休克，手术中“臂血流离，盈于盘器”的描述暗示了开放性创口长时间暴露，极易导致致命性感染。尽管史书未记载术后感染情况，但根据当时的医疗条件，深部清创术后能够完全康复，实属罕见的医学奇迹。此外，“血流盈盆”的描述表明手术过程中未采取有效的止血措施，这在古代医疗条件下将直接威胁到患者的生命安全。同时，根据《三国演义》的描述，关羽在手术过程中“请诸</w:t>
      </w:r>
      <w:r w:rsidRPr="007F75CA">
        <w:rPr>
          <w:rFonts w:ascii="宋体" w:eastAsia="宋体" w:hAnsi="宋体" w:hint="eastAsia"/>
          <w:sz w:val="24"/>
          <w:szCs w:val="24"/>
        </w:rPr>
        <w:lastRenderedPageBreak/>
        <w:t>将饮食相对”，此情节更多地体现了文学上的夸张渲染。实际上，手术要求高度的专注与稳定，嘈杂的环境会增加手术操作的风险，医生通常要求手术环境绝对安静。以刘伯承元帅在1916年接受右眼摘除手术为例，根据医生记录，手术过程中其“毯子全被汗水浸透，手术台柱留下深深指痕”。这一真实案例证明，即便意志力极为坚强的个体，也无法完全抑制疼痛反应，从而间接证实了关羽“谈笑自若”的描述缺乏真实性。同时华佗死于建安十三年（208年），而关羽刮骨疗</w:t>
      </w:r>
      <w:proofErr w:type="gramStart"/>
      <w:r w:rsidRPr="007F75CA">
        <w:rPr>
          <w:rFonts w:ascii="宋体" w:eastAsia="宋体" w:hAnsi="宋体" w:hint="eastAsia"/>
          <w:sz w:val="24"/>
          <w:szCs w:val="24"/>
        </w:rPr>
        <w:t>毒发生</w:t>
      </w:r>
      <w:proofErr w:type="gramEnd"/>
      <w:r w:rsidRPr="007F75CA">
        <w:rPr>
          <w:rFonts w:ascii="宋体" w:eastAsia="宋体" w:hAnsi="宋体" w:hint="eastAsia"/>
          <w:sz w:val="24"/>
          <w:szCs w:val="24"/>
        </w:rPr>
        <w:t>在建安十九年（214年）后，华佗绝无可能主刀。</w:t>
      </w:r>
    </w:p>
    <w:p w14:paraId="7DA05431" w14:textId="77777777" w:rsidR="005D154B" w:rsidRPr="007F75CA" w:rsidRDefault="005D154B" w:rsidP="005D154B">
      <w:pPr>
        <w:ind w:firstLineChars="200" w:firstLine="480"/>
        <w:rPr>
          <w:rFonts w:ascii="宋体" w:eastAsia="宋体" w:hAnsi="宋体" w:hint="eastAsia"/>
          <w:sz w:val="24"/>
          <w:szCs w:val="24"/>
        </w:rPr>
      </w:pPr>
      <w:r w:rsidRPr="007F75CA">
        <w:rPr>
          <w:rFonts w:ascii="宋体" w:eastAsia="宋体" w:hAnsi="宋体" w:cs="Times New Roman"/>
          <w:sz w:val="24"/>
          <w:szCs w:val="24"/>
        </w:rPr>
        <w:t>夏侯</w:t>
      </w:r>
      <w:proofErr w:type="gramStart"/>
      <w:r w:rsidRPr="007F75CA">
        <w:rPr>
          <w:rFonts w:ascii="宋体" w:eastAsia="宋体" w:hAnsi="宋体" w:cs="Times New Roman"/>
          <w:sz w:val="24"/>
          <w:szCs w:val="24"/>
        </w:rPr>
        <w:t>惇</w:t>
      </w:r>
      <w:proofErr w:type="gramEnd"/>
      <w:r w:rsidRPr="007F75CA">
        <w:rPr>
          <w:rFonts w:ascii="宋体" w:eastAsia="宋体" w:hAnsi="宋体" w:cs="Times New Roman"/>
          <w:sz w:val="24"/>
          <w:szCs w:val="24"/>
        </w:rPr>
        <w:t>拔</w:t>
      </w:r>
      <w:proofErr w:type="gramStart"/>
      <w:r w:rsidRPr="007F75CA">
        <w:rPr>
          <w:rFonts w:ascii="宋体" w:eastAsia="宋体" w:hAnsi="宋体" w:cs="Times New Roman"/>
          <w:sz w:val="24"/>
          <w:szCs w:val="24"/>
        </w:rPr>
        <w:t>矢啖睛</w:t>
      </w:r>
      <w:proofErr w:type="gramEnd"/>
      <w:r w:rsidRPr="007F75CA">
        <w:rPr>
          <w:rFonts w:ascii="宋体" w:eastAsia="宋体" w:hAnsi="宋体" w:cs="Times New Roman"/>
          <w:sz w:val="24"/>
          <w:szCs w:val="24"/>
        </w:rPr>
        <w:t>的故事显然</w:t>
      </w:r>
      <w:r w:rsidRPr="007F75CA">
        <w:rPr>
          <w:rFonts w:ascii="宋体" w:eastAsia="宋体" w:hAnsi="宋体" w:cs="Times New Roman" w:hint="eastAsia"/>
          <w:sz w:val="24"/>
          <w:szCs w:val="24"/>
        </w:rPr>
        <w:t>更</w:t>
      </w:r>
      <w:r w:rsidRPr="007F75CA">
        <w:rPr>
          <w:rFonts w:ascii="宋体" w:eastAsia="宋体" w:hAnsi="宋体" w:cs="Times New Roman"/>
          <w:sz w:val="24"/>
          <w:szCs w:val="24"/>
        </w:rPr>
        <w:t>与医学常识</w:t>
      </w:r>
      <w:r w:rsidRPr="007F75CA">
        <w:rPr>
          <w:rFonts w:ascii="宋体" w:eastAsia="宋体" w:hAnsi="宋体" w:cs="Times New Roman" w:hint="eastAsia"/>
          <w:sz w:val="24"/>
          <w:szCs w:val="24"/>
        </w:rPr>
        <w:t>相悖</w:t>
      </w:r>
      <w:r w:rsidRPr="007F75CA">
        <w:rPr>
          <w:rFonts w:ascii="宋体" w:eastAsia="宋体" w:hAnsi="宋体" w:cs="Times New Roman"/>
          <w:sz w:val="24"/>
          <w:szCs w:val="24"/>
        </w:rPr>
        <w:t>。眼球与颅骨通过视神经、动眼肌等复杂结构紧密相连，若要徒手拔出眼球，必须施加极大的外力，这无疑会导致视神经断裂、眼动脉破裂，引发剧烈的疼痛和休克。眼球与眼眶之间由视神经、动眼肌等组织紧密固定，箭矢的冲击可能会造成组织撕裂，但要完整地拔出眼球，需要极大的力量，</w:t>
      </w:r>
      <w:proofErr w:type="gramStart"/>
      <w:r w:rsidRPr="007F75CA">
        <w:rPr>
          <w:rFonts w:ascii="宋体" w:eastAsia="宋体" w:hAnsi="宋体" w:cs="Times New Roman"/>
          <w:sz w:val="24"/>
          <w:szCs w:val="24"/>
        </w:rPr>
        <w:t>且必然</w:t>
      </w:r>
      <w:proofErr w:type="gramEnd"/>
      <w:r w:rsidRPr="007F75CA">
        <w:rPr>
          <w:rFonts w:ascii="宋体" w:eastAsia="宋体" w:hAnsi="宋体" w:cs="Times New Roman"/>
          <w:sz w:val="24"/>
          <w:szCs w:val="24"/>
        </w:rPr>
        <w:t>牵连神经和血管。因此，绝非简单的随手一拔就能实现。如果眼球被箭矢贯穿或带出，会立即引发剧烈的三叉神经痛，伴随平衡丧失、恶心呕吐等前庭反射症状，几乎不可能立即清醒地完成“拔箭-</w:t>
      </w:r>
      <w:proofErr w:type="gramStart"/>
      <w:r w:rsidRPr="007F75CA">
        <w:rPr>
          <w:rFonts w:ascii="宋体" w:eastAsia="宋体" w:hAnsi="宋体" w:cs="Times New Roman"/>
          <w:sz w:val="24"/>
          <w:szCs w:val="24"/>
        </w:rPr>
        <w:t>啖睛</w:t>
      </w:r>
      <w:proofErr w:type="gramEnd"/>
      <w:r w:rsidRPr="007F75CA">
        <w:rPr>
          <w:rFonts w:ascii="宋体" w:eastAsia="宋体" w:hAnsi="宋体" w:cs="Times New Roman"/>
          <w:sz w:val="24"/>
          <w:szCs w:val="24"/>
        </w:rPr>
        <w:t>”的连贯动作。此外，人在遭受重大创伤时，本能反应是蜷缩保护自己，而不是继续战斗（如演义中描述的“复</w:t>
      </w:r>
      <w:proofErr w:type="gramStart"/>
      <w:r w:rsidRPr="007F75CA">
        <w:rPr>
          <w:rFonts w:ascii="宋体" w:eastAsia="宋体" w:hAnsi="宋体" w:cs="Times New Roman"/>
          <w:sz w:val="24"/>
          <w:szCs w:val="24"/>
        </w:rPr>
        <w:t>挺枪纵</w:t>
      </w:r>
      <w:proofErr w:type="gramEnd"/>
      <w:r w:rsidRPr="007F75CA">
        <w:rPr>
          <w:rFonts w:ascii="宋体" w:eastAsia="宋体" w:hAnsi="宋体" w:cs="Times New Roman"/>
          <w:sz w:val="24"/>
          <w:szCs w:val="24"/>
        </w:rPr>
        <w:t>马”）。同时，生吃眼球不仅无法实现“父精母血不可弃”的伦理诉求，反而可能因口腔细菌感染而加剧伤情。这种极端行为在战场上既无实际意义，也严重违背了人类的求生本能。</w:t>
      </w:r>
    </w:p>
    <w:p w14:paraId="0ACAC4DB" w14:textId="77777777" w:rsidR="005D154B" w:rsidRPr="007F75CA" w:rsidRDefault="005D154B" w:rsidP="005D154B">
      <w:pPr>
        <w:rPr>
          <w:rFonts w:ascii="宋体" w:eastAsia="宋体" w:hAnsi="宋体" w:hint="eastAsia"/>
          <w:sz w:val="24"/>
          <w:szCs w:val="24"/>
        </w:rPr>
      </w:pPr>
      <w:r w:rsidRPr="007F75CA">
        <w:rPr>
          <w:rFonts w:ascii="宋体" w:eastAsia="宋体" w:hAnsi="宋体" w:hint="eastAsia"/>
          <w:sz w:val="24"/>
          <w:szCs w:val="24"/>
        </w:rPr>
        <w:t xml:space="preserve">   罗贯中对历史的艺术重构具有深层文化动因。选择华佗为关羽主刀，一方面借“外科圣手”的权威为高风险手术提供技术背书，另一方面将“武圣”与“神医”的双重神话叠加，强化关羽的神性色彩。夏侯</w:t>
      </w:r>
      <w:proofErr w:type="gramStart"/>
      <w:r w:rsidRPr="007F75CA">
        <w:rPr>
          <w:rFonts w:ascii="宋体" w:eastAsia="宋体" w:hAnsi="宋体" w:hint="eastAsia"/>
          <w:sz w:val="24"/>
          <w:szCs w:val="24"/>
        </w:rPr>
        <w:t>惇啖睛</w:t>
      </w:r>
      <w:proofErr w:type="gramEnd"/>
      <w:r w:rsidRPr="007F75CA">
        <w:rPr>
          <w:rFonts w:ascii="宋体" w:eastAsia="宋体" w:hAnsi="宋体" w:hint="eastAsia"/>
          <w:sz w:val="24"/>
          <w:szCs w:val="24"/>
        </w:rPr>
        <w:t>情节则通过极端化叙事，将其塑造成忠孝伦理的具象载体，满足民间对“硬汉”形象的审美期待。这些虚构情节本质上是英雄符号的建构过程。关羽刮</w:t>
      </w:r>
      <w:proofErr w:type="gramStart"/>
      <w:r w:rsidRPr="007F75CA">
        <w:rPr>
          <w:rFonts w:ascii="宋体" w:eastAsia="宋体" w:hAnsi="宋体" w:hint="eastAsia"/>
          <w:sz w:val="24"/>
          <w:szCs w:val="24"/>
        </w:rPr>
        <w:t>骨故事</w:t>
      </w:r>
      <w:proofErr w:type="gramEnd"/>
      <w:r w:rsidRPr="007F75CA">
        <w:rPr>
          <w:rFonts w:ascii="宋体" w:eastAsia="宋体" w:hAnsi="宋体" w:hint="eastAsia"/>
          <w:sz w:val="24"/>
          <w:szCs w:val="24"/>
        </w:rPr>
        <w:t>被武术界奉为“勇毅”精神的典范，成为行业伦理的仪式化教材；夏侯</w:t>
      </w:r>
      <w:proofErr w:type="gramStart"/>
      <w:r w:rsidRPr="007F75CA">
        <w:rPr>
          <w:rFonts w:ascii="宋体" w:eastAsia="宋体" w:hAnsi="宋体" w:hint="eastAsia"/>
          <w:sz w:val="24"/>
          <w:szCs w:val="24"/>
        </w:rPr>
        <w:t>惇啖睛</w:t>
      </w:r>
      <w:proofErr w:type="gramEnd"/>
      <w:r w:rsidRPr="007F75CA">
        <w:rPr>
          <w:rFonts w:ascii="宋体" w:eastAsia="宋体" w:hAnsi="宋体" w:hint="eastAsia"/>
          <w:sz w:val="24"/>
          <w:szCs w:val="24"/>
        </w:rPr>
        <w:t>则演化为戏曲中的标志性身段，承载着“血性”“忠义”的文化符码。正如卡西尔在《人论》中指出：“符号化的思维和符号化的行为是人类生活中最富于代表性的特征”，这些文学叙事通过符号化处理，将历史人物升华为民族精神的象征。</w:t>
      </w:r>
    </w:p>
    <w:p w14:paraId="1FEEAC26" w14:textId="77777777" w:rsidR="005D154B" w:rsidRDefault="005D154B" w:rsidP="005D154B">
      <w:pPr>
        <w:ind w:firstLineChars="200" w:firstLine="480"/>
        <w:rPr>
          <w:rFonts w:ascii="宋体" w:eastAsia="宋体" w:hAnsi="宋体" w:hint="eastAsia"/>
          <w:sz w:val="24"/>
          <w:szCs w:val="24"/>
        </w:rPr>
      </w:pPr>
      <w:r w:rsidRPr="007F75CA">
        <w:rPr>
          <w:rFonts w:ascii="宋体" w:eastAsia="宋体" w:hAnsi="宋体" w:hint="eastAsia"/>
          <w:sz w:val="24"/>
          <w:szCs w:val="24"/>
        </w:rPr>
        <w:t>历史常理与文学的裂隙并非二元对立，而是存在着动态的共生关系。文学叙事虽违背史实常理，却通过艺术加工填补了正史的情感空白，使历史人物更具感染力和传播力。关羽的忍痛坚韧、夏侯</w:t>
      </w:r>
      <w:proofErr w:type="gramStart"/>
      <w:r w:rsidRPr="007F75CA">
        <w:rPr>
          <w:rFonts w:ascii="宋体" w:eastAsia="宋体" w:hAnsi="宋体" w:hint="eastAsia"/>
          <w:sz w:val="24"/>
          <w:szCs w:val="24"/>
        </w:rPr>
        <w:t>惇</w:t>
      </w:r>
      <w:proofErr w:type="gramEnd"/>
      <w:r w:rsidRPr="007F75CA">
        <w:rPr>
          <w:rFonts w:ascii="宋体" w:eastAsia="宋体" w:hAnsi="宋体" w:hint="eastAsia"/>
          <w:sz w:val="24"/>
          <w:szCs w:val="24"/>
        </w:rPr>
        <w:t>的勇毅忠诚，这些经过文学提炼的精神品质，最终沉淀为民族文化的集体记忆。同时，对虚构情节的解构也具有重要意义。它使英雄形象摆脱神性光环，回归人性本质。承认关羽手术中的真实痛苦，反而更能凸显其意志力的可贵；理解夏侯</w:t>
      </w:r>
      <w:proofErr w:type="gramStart"/>
      <w:r w:rsidRPr="007F75CA">
        <w:rPr>
          <w:rFonts w:ascii="宋体" w:eastAsia="宋体" w:hAnsi="宋体" w:hint="eastAsia"/>
          <w:sz w:val="24"/>
          <w:szCs w:val="24"/>
        </w:rPr>
        <w:t>惇</w:t>
      </w:r>
      <w:proofErr w:type="gramEnd"/>
      <w:r w:rsidRPr="007F75CA">
        <w:rPr>
          <w:rFonts w:ascii="宋体" w:eastAsia="宋体" w:hAnsi="宋体" w:hint="eastAsia"/>
          <w:sz w:val="24"/>
          <w:szCs w:val="24"/>
        </w:rPr>
        <w:t>因毁容产生的心理创伤，更能展现历史人物的复杂性与真实感。这种祛</w:t>
      </w:r>
      <w:proofErr w:type="gramStart"/>
      <w:r w:rsidRPr="007F75CA">
        <w:rPr>
          <w:rFonts w:ascii="宋体" w:eastAsia="宋体" w:hAnsi="宋体" w:hint="eastAsia"/>
          <w:sz w:val="24"/>
          <w:szCs w:val="24"/>
        </w:rPr>
        <w:t>魅</w:t>
      </w:r>
      <w:proofErr w:type="gramEnd"/>
      <w:r w:rsidRPr="007F75CA">
        <w:rPr>
          <w:rFonts w:ascii="宋体" w:eastAsia="宋体" w:hAnsi="宋体" w:hint="eastAsia"/>
          <w:sz w:val="24"/>
          <w:szCs w:val="24"/>
        </w:rPr>
        <w:t>过程，恰恰是历史认知深化的体现。</w:t>
      </w:r>
    </w:p>
    <w:p w14:paraId="66A93254" w14:textId="77777777" w:rsidR="00D5172A" w:rsidRDefault="00D5172A" w:rsidP="005D154B">
      <w:pPr>
        <w:ind w:firstLineChars="200" w:firstLine="480"/>
        <w:rPr>
          <w:rFonts w:ascii="宋体" w:eastAsia="宋体" w:hAnsi="宋体" w:hint="eastAsia"/>
          <w:sz w:val="24"/>
          <w:szCs w:val="24"/>
        </w:rPr>
      </w:pPr>
    </w:p>
    <w:p w14:paraId="195025F9" w14:textId="703D5223" w:rsidR="00A72C79" w:rsidRPr="007F75CA" w:rsidRDefault="00A72C79" w:rsidP="00A72C79">
      <w:pPr>
        <w:rPr>
          <w:rFonts w:ascii="宋体" w:eastAsia="宋体" w:hAnsi="宋体" w:hint="eastAsia"/>
          <w:sz w:val="24"/>
          <w:szCs w:val="24"/>
        </w:rPr>
      </w:pPr>
      <w:r>
        <w:rPr>
          <w:rFonts w:ascii="宋体" w:eastAsia="宋体" w:hAnsi="宋体" w:hint="eastAsia"/>
          <w:sz w:val="24"/>
          <w:szCs w:val="24"/>
        </w:rPr>
        <w:t>五、结语</w:t>
      </w:r>
    </w:p>
    <w:p w14:paraId="78BBDCEB" w14:textId="33DB3EA9" w:rsidR="00A72C79" w:rsidRDefault="00A72C79" w:rsidP="00A72C79">
      <w:pPr>
        <w:ind w:firstLineChars="200" w:firstLine="480"/>
        <w:rPr>
          <w:rFonts w:ascii="宋体" w:eastAsia="宋体" w:hAnsi="宋体" w:hint="eastAsia"/>
          <w:sz w:val="24"/>
          <w:szCs w:val="24"/>
        </w:rPr>
      </w:pPr>
      <w:r w:rsidRPr="00A72C79">
        <w:rPr>
          <w:rFonts w:ascii="宋体" w:eastAsia="宋体" w:hAnsi="宋体" w:hint="eastAsia"/>
          <w:sz w:val="24"/>
          <w:szCs w:val="24"/>
        </w:rPr>
        <w:t>通过对三国史料的医学、政治与数</w:t>
      </w:r>
      <w:r>
        <w:rPr>
          <w:rFonts w:ascii="宋体" w:eastAsia="宋体" w:hAnsi="宋体" w:hint="eastAsia"/>
          <w:sz w:val="24"/>
          <w:szCs w:val="24"/>
        </w:rPr>
        <w:t>据</w:t>
      </w:r>
      <w:r w:rsidRPr="00A72C79">
        <w:rPr>
          <w:rFonts w:ascii="宋体" w:eastAsia="宋体" w:hAnsi="宋体" w:hint="eastAsia"/>
          <w:sz w:val="24"/>
          <w:szCs w:val="24"/>
        </w:rPr>
        <w:t>三维度分析，我们得以穿透历史叙事的层层迷雾，在真实与虚构的交织中把握更接近本质的历史认知。医学视角揭示了英雄叙事的生理学边界，政治视角解构了权力话语的深层逻辑，数</w:t>
      </w:r>
      <w:r>
        <w:rPr>
          <w:rFonts w:ascii="宋体" w:eastAsia="宋体" w:hAnsi="宋体" w:hint="eastAsia"/>
          <w:sz w:val="24"/>
          <w:szCs w:val="24"/>
        </w:rPr>
        <w:t>据</w:t>
      </w:r>
      <w:r w:rsidRPr="00A72C79">
        <w:rPr>
          <w:rFonts w:ascii="宋体" w:eastAsia="宋体" w:hAnsi="宋体" w:hint="eastAsia"/>
          <w:sz w:val="24"/>
          <w:szCs w:val="24"/>
        </w:rPr>
        <w:t>视角则还原了被夸大的战争规模与人口数据。这三种方法论既相互独立又彼此印证，共同构成了审视历史叙事的立体框架。</w:t>
      </w:r>
    </w:p>
    <w:p w14:paraId="07926AD3" w14:textId="77777777" w:rsidR="00A72C79" w:rsidRDefault="00A72C79" w:rsidP="00A72C79">
      <w:pPr>
        <w:ind w:firstLineChars="200" w:firstLine="480"/>
        <w:rPr>
          <w:rFonts w:ascii="宋体" w:eastAsia="宋体" w:hAnsi="宋体" w:hint="eastAsia"/>
          <w:sz w:val="24"/>
          <w:szCs w:val="24"/>
        </w:rPr>
      </w:pPr>
      <w:r w:rsidRPr="00A72C79">
        <w:rPr>
          <w:rFonts w:ascii="宋体" w:eastAsia="宋体" w:hAnsi="宋体" w:hint="eastAsia"/>
          <w:sz w:val="24"/>
          <w:szCs w:val="24"/>
        </w:rPr>
        <w:t>值得注意的是，这种解</w:t>
      </w:r>
      <w:proofErr w:type="gramStart"/>
      <w:r w:rsidRPr="00A72C79">
        <w:rPr>
          <w:rFonts w:ascii="宋体" w:eastAsia="宋体" w:hAnsi="宋体" w:hint="eastAsia"/>
          <w:sz w:val="24"/>
          <w:szCs w:val="24"/>
        </w:rPr>
        <w:t>构并非</w:t>
      </w:r>
      <w:proofErr w:type="gramEnd"/>
      <w:r w:rsidRPr="00A72C79">
        <w:rPr>
          <w:rFonts w:ascii="宋体" w:eastAsia="宋体" w:hAnsi="宋体" w:hint="eastAsia"/>
          <w:sz w:val="24"/>
          <w:szCs w:val="24"/>
        </w:rPr>
        <w:t>要否定文学演绎的价值。正如关羽的忍痛精神、刘备的托孤智慧、赤壁之战以少胜多的战略意义，这些经过艺术加工的形象与事件，早已超越史实本身，成为中华民族的精神符号。我们的解构恰恰是为了在祛</w:t>
      </w:r>
      <w:proofErr w:type="gramStart"/>
      <w:r w:rsidRPr="00A72C79">
        <w:rPr>
          <w:rFonts w:ascii="宋体" w:eastAsia="宋体" w:hAnsi="宋体" w:hint="eastAsia"/>
          <w:sz w:val="24"/>
          <w:szCs w:val="24"/>
        </w:rPr>
        <w:lastRenderedPageBreak/>
        <w:t>魅</w:t>
      </w:r>
      <w:proofErr w:type="gramEnd"/>
      <w:r w:rsidRPr="00A72C79">
        <w:rPr>
          <w:rFonts w:ascii="宋体" w:eastAsia="宋体" w:hAnsi="宋体" w:hint="eastAsia"/>
          <w:sz w:val="24"/>
          <w:szCs w:val="24"/>
        </w:rPr>
        <w:t>之后，让这些精神内核以更真实的姿态被继承。</w:t>
      </w:r>
    </w:p>
    <w:p w14:paraId="2AED3EA1" w14:textId="41FC4FE9" w:rsidR="005D154B" w:rsidRDefault="00A72C79" w:rsidP="00A72C79">
      <w:pPr>
        <w:ind w:firstLineChars="200" w:firstLine="480"/>
        <w:rPr>
          <w:rFonts w:ascii="宋体" w:eastAsia="宋体" w:hAnsi="宋体" w:hint="eastAsia"/>
          <w:sz w:val="24"/>
          <w:szCs w:val="24"/>
        </w:rPr>
      </w:pPr>
      <w:r w:rsidRPr="00A72C79">
        <w:rPr>
          <w:rFonts w:ascii="宋体" w:eastAsia="宋体" w:hAnsi="宋体" w:hint="eastAsia"/>
          <w:sz w:val="24"/>
          <w:szCs w:val="24"/>
        </w:rPr>
        <w:t>历史研究的意义，正在于不断平衡"史料实证"与"人文阐释"的双重要求。三国叙事给我们的启示是：</w:t>
      </w:r>
      <w:proofErr w:type="gramStart"/>
      <w:r w:rsidRPr="00A72C79">
        <w:rPr>
          <w:rFonts w:ascii="宋体" w:eastAsia="宋体" w:hAnsi="宋体" w:hint="eastAsia"/>
          <w:sz w:val="24"/>
          <w:szCs w:val="24"/>
        </w:rPr>
        <w:t>唯有既</w:t>
      </w:r>
      <w:proofErr w:type="gramEnd"/>
      <w:r w:rsidRPr="00A72C79">
        <w:rPr>
          <w:rFonts w:ascii="宋体" w:eastAsia="宋体" w:hAnsi="宋体" w:hint="eastAsia"/>
          <w:sz w:val="24"/>
          <w:szCs w:val="24"/>
        </w:rPr>
        <w:t>尊重医学常理、政治逻辑与数理规律，又理解文学创作与集体记忆的情感需求，才能在真实与想象之间，找到通往过去的智慧之路。</w:t>
      </w:r>
    </w:p>
    <w:p w14:paraId="1149723A" w14:textId="77777777" w:rsidR="00D5172A" w:rsidRDefault="00D5172A" w:rsidP="00A72C79">
      <w:pPr>
        <w:ind w:firstLineChars="200" w:firstLine="480"/>
        <w:rPr>
          <w:rFonts w:ascii="宋体" w:eastAsia="宋体" w:hAnsi="宋体" w:hint="eastAsia"/>
          <w:sz w:val="24"/>
          <w:szCs w:val="24"/>
        </w:rPr>
      </w:pPr>
    </w:p>
    <w:p w14:paraId="7199169C" w14:textId="19054D32" w:rsidR="00A72C79" w:rsidRDefault="00A72C79" w:rsidP="00A72C79">
      <w:pPr>
        <w:rPr>
          <w:rFonts w:ascii="宋体" w:eastAsia="宋体" w:hAnsi="宋体" w:hint="eastAsia"/>
          <w:sz w:val="24"/>
          <w:szCs w:val="24"/>
        </w:rPr>
      </w:pPr>
      <w:r>
        <w:rPr>
          <w:rFonts w:ascii="宋体" w:eastAsia="宋体" w:hAnsi="宋体" w:hint="eastAsia"/>
          <w:sz w:val="24"/>
          <w:szCs w:val="24"/>
        </w:rPr>
        <w:t>六、参考文献</w:t>
      </w:r>
    </w:p>
    <w:p w14:paraId="1BF3902A" w14:textId="396D5CB2" w:rsidR="00A72C79" w:rsidRPr="00D15D9E" w:rsidRDefault="00A72C79" w:rsidP="00E918F2">
      <w:pPr>
        <w:pStyle w:val="a9"/>
        <w:numPr>
          <w:ilvl w:val="0"/>
          <w:numId w:val="1"/>
        </w:numPr>
        <w:rPr>
          <w:rFonts w:ascii="Times New Roman" w:eastAsia="宋体" w:hAnsi="Times New Roman" w:cs="Times New Roman"/>
        </w:rPr>
      </w:pPr>
      <w:r w:rsidRPr="00D15D9E">
        <w:rPr>
          <w:rFonts w:ascii="Times New Roman" w:eastAsia="宋体" w:hAnsi="Times New Roman" w:cs="Times New Roman"/>
        </w:rPr>
        <w:t>陈寿（著</w:t>
      </w:r>
      <w:r w:rsidR="00D15D9E" w:rsidRPr="00D15D9E">
        <w:rPr>
          <w:rFonts w:ascii="Times New Roman" w:eastAsia="宋体" w:hAnsi="Times New Roman" w:cs="Times New Roman" w:hint="eastAsia"/>
        </w:rPr>
        <w:t>）</w:t>
      </w:r>
      <w:r w:rsidR="00D15D9E" w:rsidRPr="00D15D9E">
        <w:rPr>
          <w:rFonts w:ascii="Times New Roman" w:eastAsia="宋体" w:hAnsi="Times New Roman" w:cs="Times New Roman" w:hint="eastAsia"/>
        </w:rPr>
        <w:t xml:space="preserve">, </w:t>
      </w:r>
      <w:r w:rsidRPr="00D15D9E">
        <w:rPr>
          <w:rFonts w:ascii="Times New Roman" w:eastAsia="宋体" w:hAnsi="Times New Roman" w:cs="Times New Roman"/>
        </w:rPr>
        <w:t>裴松之（注）</w:t>
      </w:r>
      <w:r w:rsidR="00D15D9E" w:rsidRPr="00D15D9E">
        <w:rPr>
          <w:rFonts w:ascii="Times New Roman" w:eastAsia="宋体" w:hAnsi="Times New Roman" w:cs="Times New Roman" w:hint="eastAsia"/>
        </w:rPr>
        <w:t>.</w:t>
      </w:r>
      <w:r w:rsidRPr="00D15D9E">
        <w:rPr>
          <w:rFonts w:ascii="Times New Roman" w:eastAsia="宋体" w:hAnsi="Times New Roman" w:cs="Times New Roman"/>
        </w:rPr>
        <w:t>《三国志》</w:t>
      </w:r>
      <w:r w:rsidRPr="00D15D9E">
        <w:rPr>
          <w:rFonts w:ascii="Times New Roman" w:eastAsia="宋体" w:hAnsi="Times New Roman" w:cs="Times New Roman"/>
        </w:rPr>
        <w:t xml:space="preserve">[M]. </w:t>
      </w:r>
      <w:r w:rsidRPr="00D15D9E">
        <w:rPr>
          <w:rFonts w:ascii="Times New Roman" w:eastAsia="宋体" w:hAnsi="Times New Roman" w:cs="Times New Roman"/>
        </w:rPr>
        <w:t>北京：中华书局，</w:t>
      </w:r>
      <w:r w:rsidRPr="00D15D9E">
        <w:rPr>
          <w:rFonts w:ascii="Times New Roman" w:eastAsia="宋体" w:hAnsi="Times New Roman" w:cs="Times New Roman"/>
        </w:rPr>
        <w:t xml:space="preserve">1959.  </w:t>
      </w:r>
    </w:p>
    <w:p w14:paraId="69EE6882" w14:textId="0CAF5996" w:rsidR="00A72C79" w:rsidRPr="00D15D9E" w:rsidRDefault="00A72C79" w:rsidP="00E918F2">
      <w:pPr>
        <w:pStyle w:val="a9"/>
        <w:numPr>
          <w:ilvl w:val="0"/>
          <w:numId w:val="1"/>
        </w:numPr>
        <w:rPr>
          <w:rFonts w:ascii="Times New Roman" w:eastAsia="宋体" w:hAnsi="Times New Roman" w:cs="Times New Roman"/>
        </w:rPr>
      </w:pPr>
      <w:r w:rsidRPr="00D15D9E">
        <w:rPr>
          <w:rFonts w:ascii="Times New Roman" w:eastAsia="宋体" w:hAnsi="Times New Roman" w:cs="Times New Roman"/>
        </w:rPr>
        <w:t>罗贯中</w:t>
      </w:r>
      <w:r w:rsidRPr="00D15D9E">
        <w:rPr>
          <w:rFonts w:ascii="Times New Roman" w:eastAsia="宋体" w:hAnsi="Times New Roman" w:cs="Times New Roman"/>
        </w:rPr>
        <w:t xml:space="preserve">. </w:t>
      </w:r>
      <w:r w:rsidRPr="00D15D9E">
        <w:rPr>
          <w:rFonts w:ascii="Times New Roman" w:eastAsia="宋体" w:hAnsi="Times New Roman" w:cs="Times New Roman"/>
        </w:rPr>
        <w:t>《三国演义》</w:t>
      </w:r>
      <w:r w:rsidRPr="00D15D9E">
        <w:rPr>
          <w:rFonts w:ascii="Times New Roman" w:eastAsia="宋体" w:hAnsi="Times New Roman" w:cs="Times New Roman"/>
        </w:rPr>
        <w:t xml:space="preserve">[M]. </w:t>
      </w:r>
      <w:r w:rsidRPr="00D15D9E">
        <w:rPr>
          <w:rFonts w:ascii="Times New Roman" w:eastAsia="宋体" w:hAnsi="Times New Roman" w:cs="Times New Roman"/>
        </w:rPr>
        <w:t>北京：人民文学出版社，</w:t>
      </w:r>
      <w:r w:rsidRPr="00D15D9E">
        <w:rPr>
          <w:rFonts w:ascii="Times New Roman" w:eastAsia="宋体" w:hAnsi="Times New Roman" w:cs="Times New Roman"/>
        </w:rPr>
        <w:t xml:space="preserve">1973.  </w:t>
      </w:r>
    </w:p>
    <w:p w14:paraId="7A2C277A" w14:textId="721B39A0" w:rsidR="00A72C79" w:rsidRPr="00D15D9E" w:rsidRDefault="00A72C79" w:rsidP="00E918F2">
      <w:pPr>
        <w:pStyle w:val="a9"/>
        <w:numPr>
          <w:ilvl w:val="0"/>
          <w:numId w:val="1"/>
        </w:numPr>
        <w:rPr>
          <w:rFonts w:ascii="Times New Roman" w:eastAsia="宋体" w:hAnsi="Times New Roman" w:cs="Times New Roman"/>
        </w:rPr>
      </w:pPr>
      <w:r w:rsidRPr="00D15D9E">
        <w:rPr>
          <w:rFonts w:ascii="Times New Roman" w:eastAsia="宋体" w:hAnsi="Times New Roman" w:cs="Times New Roman"/>
        </w:rPr>
        <w:t xml:space="preserve">Benedetto Croce. History as the Story of Liberty [M]. London: George Allen &amp; Unwin, 1941.  </w:t>
      </w:r>
    </w:p>
    <w:p w14:paraId="0AF374E0" w14:textId="0218CE4F" w:rsidR="00A72C79" w:rsidRPr="00D15D9E" w:rsidRDefault="00A72C79" w:rsidP="00E918F2">
      <w:pPr>
        <w:pStyle w:val="a9"/>
        <w:numPr>
          <w:ilvl w:val="0"/>
          <w:numId w:val="1"/>
        </w:numPr>
        <w:rPr>
          <w:rFonts w:ascii="Times New Roman" w:eastAsia="宋体" w:hAnsi="Times New Roman" w:cs="Times New Roman"/>
        </w:rPr>
      </w:pPr>
      <w:r w:rsidRPr="00D15D9E">
        <w:rPr>
          <w:rFonts w:ascii="Times New Roman" w:eastAsia="宋体" w:hAnsi="Times New Roman" w:cs="Times New Roman"/>
        </w:rPr>
        <w:t>Ernst Cassirer. An Essay on Man: An Introduction to a Philosophy of Human Culture [M]. New</w:t>
      </w:r>
      <w:r w:rsidRPr="00D15D9E">
        <w:rPr>
          <w:rFonts w:ascii="Times New Roman" w:eastAsia="宋体" w:hAnsi="Times New Roman" w:cs="Times New Roman" w:hint="eastAsia"/>
        </w:rPr>
        <w:t xml:space="preserve"> </w:t>
      </w:r>
      <w:r w:rsidRPr="00D15D9E">
        <w:rPr>
          <w:rFonts w:ascii="Times New Roman" w:eastAsia="宋体" w:hAnsi="Times New Roman" w:cs="Times New Roman"/>
        </w:rPr>
        <w:t xml:space="preserve">Haven: Yale University Press, 1944.  </w:t>
      </w:r>
    </w:p>
    <w:p w14:paraId="38D76B19" w14:textId="4CEEAFF1" w:rsidR="00A72C79" w:rsidRPr="00D15D9E" w:rsidRDefault="00A72C79" w:rsidP="00E918F2">
      <w:pPr>
        <w:pStyle w:val="a9"/>
        <w:numPr>
          <w:ilvl w:val="0"/>
          <w:numId w:val="1"/>
        </w:numPr>
        <w:rPr>
          <w:rFonts w:ascii="Times New Roman" w:eastAsia="宋体" w:hAnsi="Times New Roman" w:cs="Times New Roman"/>
        </w:rPr>
      </w:pPr>
      <w:r w:rsidRPr="00D15D9E">
        <w:rPr>
          <w:rFonts w:ascii="Times New Roman" w:eastAsia="宋体" w:hAnsi="Times New Roman" w:cs="Times New Roman"/>
        </w:rPr>
        <w:t>范行准</w:t>
      </w:r>
      <w:r w:rsidRPr="00D15D9E">
        <w:rPr>
          <w:rFonts w:ascii="Times New Roman" w:eastAsia="宋体" w:hAnsi="Times New Roman" w:cs="Times New Roman"/>
        </w:rPr>
        <w:t xml:space="preserve">. </w:t>
      </w:r>
      <w:r w:rsidRPr="00D15D9E">
        <w:rPr>
          <w:rFonts w:ascii="Times New Roman" w:eastAsia="宋体" w:hAnsi="Times New Roman" w:cs="Times New Roman"/>
        </w:rPr>
        <w:t>《中国医学史略》</w:t>
      </w:r>
      <w:r w:rsidRPr="00D15D9E">
        <w:rPr>
          <w:rFonts w:ascii="Times New Roman" w:eastAsia="宋体" w:hAnsi="Times New Roman" w:cs="Times New Roman"/>
        </w:rPr>
        <w:t xml:space="preserve">[M]. </w:t>
      </w:r>
      <w:r w:rsidRPr="00D15D9E">
        <w:rPr>
          <w:rFonts w:ascii="Times New Roman" w:eastAsia="宋体" w:hAnsi="Times New Roman" w:cs="Times New Roman"/>
        </w:rPr>
        <w:t>北京：中医古籍出版社，</w:t>
      </w:r>
      <w:r w:rsidRPr="00D15D9E">
        <w:rPr>
          <w:rFonts w:ascii="Times New Roman" w:eastAsia="宋体" w:hAnsi="Times New Roman" w:cs="Times New Roman"/>
        </w:rPr>
        <w:t xml:space="preserve">1986.  </w:t>
      </w:r>
    </w:p>
    <w:p w14:paraId="3B3480FD" w14:textId="0A03C023" w:rsidR="00A72C79" w:rsidRPr="00D15D9E" w:rsidRDefault="00A72C79" w:rsidP="00E918F2">
      <w:pPr>
        <w:pStyle w:val="a9"/>
        <w:numPr>
          <w:ilvl w:val="0"/>
          <w:numId w:val="1"/>
        </w:numPr>
        <w:rPr>
          <w:rFonts w:ascii="Times New Roman" w:eastAsia="宋体" w:hAnsi="Times New Roman" w:cs="Times New Roman"/>
        </w:rPr>
      </w:pPr>
      <w:r w:rsidRPr="00D15D9E">
        <w:rPr>
          <w:rFonts w:ascii="Times New Roman" w:eastAsia="宋体" w:hAnsi="Times New Roman" w:cs="Times New Roman"/>
        </w:rPr>
        <w:t>李经纬</w:t>
      </w:r>
      <w:r w:rsidRPr="00D15D9E">
        <w:rPr>
          <w:rFonts w:ascii="Times New Roman" w:eastAsia="宋体" w:hAnsi="Times New Roman" w:cs="Times New Roman"/>
        </w:rPr>
        <w:t xml:space="preserve">. </w:t>
      </w:r>
      <w:r w:rsidRPr="00D15D9E">
        <w:rPr>
          <w:rFonts w:ascii="Times New Roman" w:eastAsia="宋体" w:hAnsi="Times New Roman" w:cs="Times New Roman"/>
        </w:rPr>
        <w:t>《中外医学交流史》</w:t>
      </w:r>
      <w:r w:rsidRPr="00D15D9E">
        <w:rPr>
          <w:rFonts w:ascii="Times New Roman" w:eastAsia="宋体" w:hAnsi="Times New Roman" w:cs="Times New Roman"/>
        </w:rPr>
        <w:t xml:space="preserve">[M]. </w:t>
      </w:r>
      <w:r w:rsidRPr="00D15D9E">
        <w:rPr>
          <w:rFonts w:ascii="Times New Roman" w:eastAsia="宋体" w:hAnsi="Times New Roman" w:cs="Times New Roman"/>
        </w:rPr>
        <w:t>长沙：湖南教育出版社，</w:t>
      </w:r>
      <w:r w:rsidRPr="00D15D9E">
        <w:rPr>
          <w:rFonts w:ascii="Times New Roman" w:eastAsia="宋体" w:hAnsi="Times New Roman" w:cs="Times New Roman"/>
        </w:rPr>
        <w:t xml:space="preserve">1998.  </w:t>
      </w:r>
    </w:p>
    <w:p w14:paraId="68453AC1" w14:textId="69F57E86" w:rsidR="00A72C79" w:rsidRPr="00D15D9E" w:rsidRDefault="00A72C79" w:rsidP="00E918F2">
      <w:pPr>
        <w:pStyle w:val="a9"/>
        <w:numPr>
          <w:ilvl w:val="0"/>
          <w:numId w:val="1"/>
        </w:numPr>
        <w:rPr>
          <w:rFonts w:ascii="Times New Roman" w:eastAsia="宋体" w:hAnsi="Times New Roman" w:cs="Times New Roman"/>
        </w:rPr>
      </w:pPr>
      <w:proofErr w:type="gramStart"/>
      <w:r w:rsidRPr="00D15D9E">
        <w:rPr>
          <w:rFonts w:ascii="Times New Roman" w:eastAsia="宋体" w:hAnsi="Times New Roman" w:cs="Times New Roman"/>
        </w:rPr>
        <w:t>沈伯俊</w:t>
      </w:r>
      <w:proofErr w:type="gramEnd"/>
      <w:r w:rsidRPr="00D15D9E">
        <w:rPr>
          <w:rFonts w:ascii="Times New Roman" w:eastAsia="宋体" w:hAnsi="Times New Roman" w:cs="Times New Roman"/>
        </w:rPr>
        <w:t xml:space="preserve">. </w:t>
      </w:r>
      <w:r w:rsidRPr="00D15D9E">
        <w:rPr>
          <w:rFonts w:ascii="Times New Roman" w:eastAsia="宋体" w:hAnsi="Times New Roman" w:cs="Times New Roman"/>
        </w:rPr>
        <w:t>《三国演义新探》</w:t>
      </w:r>
      <w:r w:rsidRPr="00D15D9E">
        <w:rPr>
          <w:rFonts w:ascii="Times New Roman" w:eastAsia="宋体" w:hAnsi="Times New Roman" w:cs="Times New Roman"/>
        </w:rPr>
        <w:t xml:space="preserve">[C]. </w:t>
      </w:r>
      <w:r w:rsidRPr="00D15D9E">
        <w:rPr>
          <w:rFonts w:ascii="Times New Roman" w:eastAsia="宋体" w:hAnsi="Times New Roman" w:cs="Times New Roman"/>
        </w:rPr>
        <w:t>成都：四川人民出版社，</w:t>
      </w:r>
      <w:r w:rsidRPr="00D15D9E">
        <w:rPr>
          <w:rFonts w:ascii="Times New Roman" w:eastAsia="宋体" w:hAnsi="Times New Roman" w:cs="Times New Roman"/>
        </w:rPr>
        <w:t xml:space="preserve">2002.  </w:t>
      </w:r>
    </w:p>
    <w:p w14:paraId="7250AC6C" w14:textId="18E024EE" w:rsidR="00A72C79" w:rsidRPr="00D15D9E" w:rsidRDefault="00A72C79" w:rsidP="00E918F2">
      <w:pPr>
        <w:pStyle w:val="a9"/>
        <w:numPr>
          <w:ilvl w:val="0"/>
          <w:numId w:val="1"/>
        </w:numPr>
        <w:rPr>
          <w:rFonts w:ascii="Times New Roman" w:eastAsia="宋体" w:hAnsi="Times New Roman" w:cs="Times New Roman"/>
        </w:rPr>
      </w:pPr>
      <w:proofErr w:type="spellStart"/>
      <w:r w:rsidRPr="00D15D9E">
        <w:rPr>
          <w:rFonts w:ascii="Times New Roman" w:eastAsia="宋体" w:hAnsi="Times New Roman" w:cs="Times New Roman"/>
        </w:rPr>
        <w:t>Melzack</w:t>
      </w:r>
      <w:proofErr w:type="spellEnd"/>
      <w:r w:rsidRPr="00D15D9E">
        <w:rPr>
          <w:rFonts w:ascii="Times New Roman" w:eastAsia="宋体" w:hAnsi="Times New Roman" w:cs="Times New Roman"/>
        </w:rPr>
        <w:t>, R., &amp; Wall, P.D. The Challenge of Pain [M]. London: Penguin Books, 1988.</w:t>
      </w:r>
    </w:p>
    <w:p w14:paraId="3A3E87B5" w14:textId="0BE90F16" w:rsidR="006D0B82" w:rsidRPr="00D15D9E" w:rsidRDefault="006D0B82" w:rsidP="00E918F2">
      <w:pPr>
        <w:pStyle w:val="a9"/>
        <w:numPr>
          <w:ilvl w:val="0"/>
          <w:numId w:val="1"/>
        </w:numPr>
        <w:rPr>
          <w:rFonts w:ascii="Times New Roman" w:eastAsia="宋体" w:hAnsi="Times New Roman"/>
        </w:rPr>
      </w:pPr>
      <w:r w:rsidRPr="00D15D9E">
        <w:rPr>
          <w:rFonts w:ascii="Times New Roman" w:eastAsia="宋体" w:hAnsi="Times New Roman" w:hint="eastAsia"/>
        </w:rPr>
        <w:t>班固</w:t>
      </w:r>
      <w:r w:rsidRPr="00D15D9E">
        <w:rPr>
          <w:rFonts w:ascii="Times New Roman" w:eastAsia="宋体" w:hAnsi="Times New Roman" w:hint="eastAsia"/>
        </w:rPr>
        <w:t>.</w:t>
      </w:r>
      <w:r w:rsidRPr="00D15D9E">
        <w:rPr>
          <w:rFonts w:ascii="Times New Roman" w:eastAsia="宋体" w:hAnsi="Times New Roman" w:hint="eastAsia"/>
        </w:rPr>
        <w:t>《汉书》［</w:t>
      </w:r>
      <w:r w:rsidRPr="00D15D9E">
        <w:rPr>
          <w:rFonts w:ascii="Times New Roman" w:eastAsia="宋体" w:hAnsi="Times New Roman" w:hint="eastAsia"/>
        </w:rPr>
        <w:t>M</w:t>
      </w:r>
      <w:r w:rsidRPr="00D15D9E">
        <w:rPr>
          <w:rFonts w:ascii="Times New Roman" w:eastAsia="宋体" w:hAnsi="Times New Roman" w:hint="eastAsia"/>
        </w:rPr>
        <w:t>］</w:t>
      </w:r>
      <w:r w:rsidRPr="00D15D9E">
        <w:rPr>
          <w:rFonts w:ascii="Times New Roman" w:eastAsia="宋体" w:hAnsi="Times New Roman" w:hint="eastAsia"/>
        </w:rPr>
        <w:t>.</w:t>
      </w:r>
      <w:r w:rsidRPr="00D15D9E">
        <w:rPr>
          <w:rFonts w:ascii="Times New Roman" w:eastAsia="宋体" w:hAnsi="Times New Roman" w:hint="eastAsia"/>
        </w:rPr>
        <w:t>北京：中华书局，</w:t>
      </w:r>
      <w:r w:rsidRPr="00D15D9E">
        <w:rPr>
          <w:rFonts w:ascii="Times New Roman" w:eastAsia="宋体" w:hAnsi="Times New Roman" w:hint="eastAsia"/>
        </w:rPr>
        <w:t>1962.</w:t>
      </w:r>
    </w:p>
    <w:p w14:paraId="47AB028D" w14:textId="7F2AF9B1" w:rsidR="00E918F2" w:rsidRPr="00D15D9E" w:rsidRDefault="00E918F2" w:rsidP="00E918F2">
      <w:pPr>
        <w:pStyle w:val="a9"/>
        <w:numPr>
          <w:ilvl w:val="0"/>
          <w:numId w:val="1"/>
        </w:numPr>
        <w:rPr>
          <w:rFonts w:ascii="Times New Roman" w:eastAsia="宋体" w:hAnsi="Times New Roman"/>
        </w:rPr>
      </w:pPr>
      <w:r w:rsidRPr="00D15D9E">
        <w:rPr>
          <w:rFonts w:ascii="Times New Roman" w:eastAsia="宋体" w:hAnsi="Times New Roman" w:hint="eastAsia"/>
        </w:rPr>
        <w:t>谭良啸</w:t>
      </w:r>
      <w:r w:rsidRPr="00D15D9E">
        <w:rPr>
          <w:rFonts w:ascii="Times New Roman" w:eastAsia="宋体" w:hAnsi="Times New Roman" w:hint="eastAsia"/>
        </w:rPr>
        <w:t>.</w:t>
      </w:r>
      <w:r w:rsidRPr="00D15D9E">
        <w:rPr>
          <w:rFonts w:ascii="Times New Roman" w:eastAsia="宋体" w:hAnsi="Times New Roman" w:hint="eastAsia"/>
        </w:rPr>
        <w:t>白帝城托孤散论</w:t>
      </w:r>
      <w:r w:rsidRPr="00D15D9E">
        <w:rPr>
          <w:rFonts w:ascii="Times New Roman" w:eastAsia="宋体" w:hAnsi="Times New Roman" w:hint="eastAsia"/>
        </w:rPr>
        <w:t>[J].</w:t>
      </w:r>
      <w:r w:rsidRPr="00D15D9E">
        <w:rPr>
          <w:rFonts w:ascii="Times New Roman" w:eastAsia="宋体" w:hAnsi="Times New Roman" w:hint="eastAsia"/>
        </w:rPr>
        <w:t>看历史</w:t>
      </w:r>
      <w:r w:rsidRPr="00D15D9E">
        <w:rPr>
          <w:rFonts w:ascii="Times New Roman" w:eastAsia="宋体" w:hAnsi="Times New Roman" w:hint="eastAsia"/>
        </w:rPr>
        <w:t>,2023,(05):17-25.</w:t>
      </w:r>
    </w:p>
    <w:p w14:paraId="0E544C75" w14:textId="447B424B" w:rsidR="00570CFA" w:rsidRPr="00D15D9E" w:rsidRDefault="00570CFA" w:rsidP="00E918F2">
      <w:pPr>
        <w:pStyle w:val="a9"/>
        <w:numPr>
          <w:ilvl w:val="0"/>
          <w:numId w:val="1"/>
        </w:numPr>
        <w:rPr>
          <w:rFonts w:ascii="Times New Roman" w:eastAsia="宋体" w:hAnsi="Times New Roman"/>
        </w:rPr>
      </w:pPr>
      <w:r w:rsidRPr="00D15D9E">
        <w:rPr>
          <w:rFonts w:ascii="Times New Roman" w:eastAsia="宋体" w:hAnsi="Times New Roman" w:hint="eastAsia"/>
        </w:rPr>
        <w:t>谭良啸</w:t>
      </w:r>
      <w:r w:rsidRPr="00D15D9E">
        <w:rPr>
          <w:rFonts w:ascii="Times New Roman" w:eastAsia="宋体" w:hAnsi="Times New Roman" w:hint="eastAsia"/>
        </w:rPr>
        <w:t>.</w:t>
      </w:r>
      <w:r w:rsidRPr="00D15D9E">
        <w:rPr>
          <w:rFonts w:ascii="Times New Roman" w:eastAsia="宋体" w:hAnsi="Times New Roman" w:hint="eastAsia"/>
        </w:rPr>
        <w:t>刘备在白帝城论析</w:t>
      </w:r>
      <w:r w:rsidRPr="00D15D9E">
        <w:rPr>
          <w:rFonts w:ascii="Times New Roman" w:eastAsia="宋体" w:hAnsi="Times New Roman" w:hint="eastAsia"/>
        </w:rPr>
        <w:t>[J].</w:t>
      </w:r>
      <w:r w:rsidRPr="00D15D9E">
        <w:rPr>
          <w:rFonts w:ascii="Times New Roman" w:eastAsia="宋体" w:hAnsi="Times New Roman" w:hint="eastAsia"/>
        </w:rPr>
        <w:t>成都大学学报</w:t>
      </w:r>
      <w:r w:rsidRPr="00D15D9E">
        <w:rPr>
          <w:rFonts w:ascii="Times New Roman" w:eastAsia="宋体" w:hAnsi="Times New Roman" w:hint="eastAsia"/>
        </w:rPr>
        <w:t>(</w:t>
      </w:r>
      <w:r w:rsidRPr="00D15D9E">
        <w:rPr>
          <w:rFonts w:ascii="Times New Roman" w:eastAsia="宋体" w:hAnsi="Times New Roman" w:hint="eastAsia"/>
        </w:rPr>
        <w:t>社会科学版</w:t>
      </w:r>
      <w:r w:rsidRPr="00D15D9E">
        <w:rPr>
          <w:rFonts w:ascii="Times New Roman" w:eastAsia="宋体" w:hAnsi="Times New Roman" w:hint="eastAsia"/>
        </w:rPr>
        <w:t>),2010,No.132(06):9-17.</w:t>
      </w:r>
    </w:p>
    <w:p w14:paraId="0ADC372F" w14:textId="3D3DCF5B" w:rsidR="00570CFA" w:rsidRPr="00D15D9E" w:rsidRDefault="00570CFA" w:rsidP="00E918F2">
      <w:pPr>
        <w:pStyle w:val="a9"/>
        <w:numPr>
          <w:ilvl w:val="0"/>
          <w:numId w:val="1"/>
        </w:numPr>
        <w:rPr>
          <w:rFonts w:ascii="Times New Roman" w:eastAsia="宋体" w:hAnsi="Times New Roman"/>
        </w:rPr>
      </w:pPr>
      <w:r w:rsidRPr="00D15D9E">
        <w:rPr>
          <w:rFonts w:ascii="Times New Roman" w:eastAsia="宋体" w:hAnsi="Times New Roman" w:hint="eastAsia"/>
        </w:rPr>
        <w:t>孙启祥</w:t>
      </w:r>
      <w:r w:rsidRPr="00D15D9E">
        <w:rPr>
          <w:rFonts w:ascii="Times New Roman" w:eastAsia="宋体" w:hAnsi="Times New Roman" w:hint="eastAsia"/>
        </w:rPr>
        <w:t>. "</w:t>
      </w:r>
      <w:r w:rsidRPr="00D15D9E">
        <w:rPr>
          <w:rFonts w:ascii="Times New Roman" w:eastAsia="宋体" w:hAnsi="Times New Roman" w:hint="eastAsia"/>
        </w:rPr>
        <w:t>刘备托孤语</w:t>
      </w:r>
      <w:r w:rsidRPr="00D15D9E">
        <w:rPr>
          <w:rFonts w:ascii="Times New Roman" w:eastAsia="宋体" w:hAnsi="Times New Roman" w:hint="eastAsia"/>
        </w:rPr>
        <w:t>"</w:t>
      </w:r>
      <w:r w:rsidRPr="00D15D9E">
        <w:rPr>
          <w:rFonts w:ascii="Times New Roman" w:eastAsia="宋体" w:hAnsi="Times New Roman" w:hint="eastAsia"/>
        </w:rPr>
        <w:t>诸家观点评述</w:t>
      </w:r>
      <w:r w:rsidRPr="00D15D9E">
        <w:rPr>
          <w:rFonts w:ascii="Times New Roman" w:eastAsia="宋体" w:hAnsi="Times New Roman" w:hint="eastAsia"/>
        </w:rPr>
        <w:t xml:space="preserve">[J]. </w:t>
      </w:r>
      <w:r w:rsidRPr="00D15D9E">
        <w:rPr>
          <w:rFonts w:ascii="Times New Roman" w:eastAsia="宋体" w:hAnsi="Times New Roman" w:hint="eastAsia"/>
        </w:rPr>
        <w:t>湖北文理学院学报</w:t>
      </w:r>
      <w:r w:rsidRPr="00D15D9E">
        <w:rPr>
          <w:rFonts w:ascii="Times New Roman" w:eastAsia="宋体" w:hAnsi="Times New Roman" w:hint="eastAsia"/>
        </w:rPr>
        <w:t xml:space="preserve">,2024,45(4):5-9. </w:t>
      </w:r>
    </w:p>
    <w:p w14:paraId="5AE4E8E5" w14:textId="25A12483" w:rsidR="00A72C79" w:rsidRPr="00D15D9E" w:rsidRDefault="00A72C79" w:rsidP="00E918F2">
      <w:pPr>
        <w:pStyle w:val="a9"/>
        <w:numPr>
          <w:ilvl w:val="0"/>
          <w:numId w:val="1"/>
        </w:numPr>
        <w:rPr>
          <w:rFonts w:ascii="Times New Roman" w:eastAsia="宋体" w:hAnsi="Times New Roman"/>
        </w:rPr>
      </w:pPr>
      <w:r w:rsidRPr="00D15D9E">
        <w:rPr>
          <w:rFonts w:ascii="Times New Roman" w:eastAsia="宋体" w:hAnsi="Times New Roman" w:hint="eastAsia"/>
        </w:rPr>
        <w:t>方北辰</w:t>
      </w:r>
      <w:r w:rsidR="00570CFA" w:rsidRPr="00D15D9E">
        <w:rPr>
          <w:rFonts w:ascii="Times New Roman" w:eastAsia="宋体" w:hAnsi="Times New Roman" w:hint="eastAsia"/>
        </w:rPr>
        <w:t>.</w:t>
      </w:r>
      <w:r w:rsidRPr="00D15D9E">
        <w:rPr>
          <w:rFonts w:ascii="Times New Roman" w:eastAsia="宋体" w:hAnsi="Times New Roman" w:hint="eastAsia"/>
        </w:rPr>
        <w:t>《一个成都学者的精彩三国·正说诸葛亮接受刘备遗嘱之谜》</w:t>
      </w:r>
      <w:r w:rsidR="00570CFA" w:rsidRPr="00D15D9E">
        <w:rPr>
          <w:rFonts w:ascii="Times New Roman" w:eastAsia="宋体" w:hAnsi="Times New Roman" w:hint="eastAsia"/>
        </w:rPr>
        <w:t xml:space="preserve">[M]. </w:t>
      </w:r>
      <w:r w:rsidR="00570CFA" w:rsidRPr="00D15D9E">
        <w:rPr>
          <w:rFonts w:ascii="Times New Roman" w:eastAsia="宋体" w:hAnsi="Times New Roman" w:hint="eastAsia"/>
        </w:rPr>
        <w:t>成都：成都时代出版社，</w:t>
      </w:r>
      <w:r w:rsidR="00570CFA" w:rsidRPr="00D15D9E">
        <w:rPr>
          <w:rFonts w:ascii="Times New Roman" w:eastAsia="宋体" w:hAnsi="Times New Roman" w:hint="eastAsia"/>
        </w:rPr>
        <w:t>2015.</w:t>
      </w:r>
    </w:p>
    <w:p w14:paraId="1AC778A7" w14:textId="19E7A7DD" w:rsidR="00A72C79" w:rsidRPr="00D15D9E" w:rsidRDefault="00A72C79" w:rsidP="00E918F2">
      <w:pPr>
        <w:pStyle w:val="a9"/>
        <w:numPr>
          <w:ilvl w:val="0"/>
          <w:numId w:val="1"/>
        </w:numPr>
        <w:rPr>
          <w:rFonts w:ascii="Times New Roman" w:eastAsia="宋体" w:hAnsi="Times New Roman"/>
        </w:rPr>
      </w:pPr>
      <w:r w:rsidRPr="00D15D9E">
        <w:rPr>
          <w:rFonts w:ascii="Times New Roman" w:eastAsia="宋体" w:hAnsi="Times New Roman" w:hint="eastAsia"/>
        </w:rPr>
        <w:t>方北辰</w:t>
      </w:r>
      <w:r w:rsidR="00E918F2" w:rsidRPr="00D15D9E">
        <w:rPr>
          <w:rFonts w:ascii="Times New Roman" w:eastAsia="宋体" w:hAnsi="Times New Roman" w:hint="eastAsia"/>
        </w:rPr>
        <w:t>.</w:t>
      </w:r>
      <w:r w:rsidRPr="00D15D9E">
        <w:rPr>
          <w:rFonts w:ascii="Times New Roman" w:eastAsia="宋体" w:hAnsi="Times New Roman" w:hint="eastAsia"/>
        </w:rPr>
        <w:t>《三国志译注》卷</w:t>
      </w:r>
      <w:r w:rsidRPr="00D15D9E">
        <w:rPr>
          <w:rFonts w:ascii="Times New Roman" w:eastAsia="宋体" w:hAnsi="Times New Roman"/>
        </w:rPr>
        <w:t>5</w:t>
      </w:r>
      <w:r w:rsidRPr="00D15D9E">
        <w:rPr>
          <w:rFonts w:ascii="Times New Roman" w:eastAsia="宋体" w:hAnsi="Times New Roman"/>
        </w:rPr>
        <w:t>《诸葛亮传》</w:t>
      </w:r>
      <w:r w:rsidR="00E918F2" w:rsidRPr="00D15D9E">
        <w:rPr>
          <w:rFonts w:ascii="Times New Roman" w:eastAsia="宋体" w:hAnsi="Times New Roman" w:hint="eastAsia"/>
        </w:rPr>
        <w:t xml:space="preserve">[M]. </w:t>
      </w:r>
      <w:r w:rsidR="00E918F2" w:rsidRPr="00D15D9E">
        <w:rPr>
          <w:rFonts w:ascii="Times New Roman" w:eastAsia="宋体" w:hAnsi="Times New Roman" w:hint="eastAsia"/>
        </w:rPr>
        <w:t>上海：上海古籍出版社，</w:t>
      </w:r>
      <w:r w:rsidR="00E918F2" w:rsidRPr="00D15D9E">
        <w:rPr>
          <w:rFonts w:ascii="Times New Roman" w:eastAsia="宋体" w:hAnsi="Times New Roman" w:hint="eastAsia"/>
        </w:rPr>
        <w:t>2021.</w:t>
      </w:r>
    </w:p>
    <w:p w14:paraId="07B93719" w14:textId="77777777" w:rsidR="00E918F2" w:rsidRPr="00D15D9E" w:rsidRDefault="00E918F2" w:rsidP="00E918F2">
      <w:pPr>
        <w:pStyle w:val="a9"/>
        <w:numPr>
          <w:ilvl w:val="0"/>
          <w:numId w:val="1"/>
        </w:numPr>
        <w:rPr>
          <w:rFonts w:ascii="Times New Roman" w:eastAsia="宋体" w:hAnsi="Times New Roman"/>
        </w:rPr>
      </w:pPr>
      <w:proofErr w:type="gramStart"/>
      <w:r w:rsidRPr="00D15D9E">
        <w:rPr>
          <w:rFonts w:ascii="Times New Roman" w:eastAsia="宋体" w:hAnsi="Times New Roman" w:hint="eastAsia"/>
        </w:rPr>
        <w:t>林宪亮</w:t>
      </w:r>
      <w:proofErr w:type="gramEnd"/>
      <w:r w:rsidRPr="00D15D9E">
        <w:rPr>
          <w:rFonts w:ascii="Times New Roman" w:eastAsia="宋体" w:hAnsi="Times New Roman" w:hint="eastAsia"/>
        </w:rPr>
        <w:t>.</w:t>
      </w:r>
      <w:r w:rsidRPr="00D15D9E">
        <w:rPr>
          <w:rFonts w:ascii="Times New Roman" w:eastAsia="宋体" w:hAnsi="Times New Roman" w:hint="eastAsia"/>
        </w:rPr>
        <w:t>论《三国演义》之“白帝城托孤”</w:t>
      </w:r>
      <w:r w:rsidRPr="00D15D9E">
        <w:rPr>
          <w:rFonts w:ascii="Times New Roman" w:eastAsia="宋体" w:hAnsi="Times New Roman" w:hint="eastAsia"/>
        </w:rPr>
        <w:t>[C]//</w:t>
      </w:r>
      <w:r w:rsidRPr="00D15D9E">
        <w:rPr>
          <w:rFonts w:ascii="Times New Roman" w:eastAsia="宋体" w:hAnsi="Times New Roman" w:hint="eastAsia"/>
        </w:rPr>
        <w:t>黑龙江省文学学会</w:t>
      </w:r>
      <w:r w:rsidRPr="00D15D9E">
        <w:rPr>
          <w:rFonts w:ascii="Times New Roman" w:eastAsia="宋体" w:hAnsi="Times New Roman" w:hint="eastAsia"/>
        </w:rPr>
        <w:t>.</w:t>
      </w:r>
      <w:r w:rsidRPr="00D15D9E">
        <w:rPr>
          <w:rFonts w:ascii="Times New Roman" w:eastAsia="宋体" w:hAnsi="Times New Roman" w:hint="eastAsia"/>
        </w:rPr>
        <w:t>黑龙江省文学学会</w:t>
      </w:r>
      <w:r w:rsidRPr="00D15D9E">
        <w:rPr>
          <w:rFonts w:ascii="Times New Roman" w:eastAsia="宋体" w:hAnsi="Times New Roman" w:hint="eastAsia"/>
        </w:rPr>
        <w:t>2011</w:t>
      </w:r>
      <w:r w:rsidRPr="00D15D9E">
        <w:rPr>
          <w:rFonts w:ascii="Times New Roman" w:eastAsia="宋体" w:hAnsi="Times New Roman" w:hint="eastAsia"/>
        </w:rPr>
        <w:t>年学术年会论文集</w:t>
      </w:r>
      <w:r w:rsidRPr="00D15D9E">
        <w:rPr>
          <w:rFonts w:ascii="Times New Roman" w:eastAsia="宋体" w:hAnsi="Times New Roman" w:hint="eastAsia"/>
        </w:rPr>
        <w:t>.</w:t>
      </w:r>
      <w:r w:rsidRPr="00D15D9E">
        <w:rPr>
          <w:rFonts w:ascii="Times New Roman" w:eastAsia="宋体" w:hAnsi="Times New Roman" w:hint="eastAsia"/>
        </w:rPr>
        <w:t>哈尔滨师范大学文学院</w:t>
      </w:r>
      <w:r w:rsidRPr="00D15D9E">
        <w:rPr>
          <w:rFonts w:ascii="Times New Roman" w:eastAsia="宋体" w:hAnsi="Times New Roman" w:hint="eastAsia"/>
        </w:rPr>
        <w:t>;,2011:139-144.</w:t>
      </w:r>
    </w:p>
    <w:p w14:paraId="634AA182" w14:textId="38DDF501" w:rsidR="00A72C79" w:rsidRPr="00D15D9E" w:rsidRDefault="00E918F2" w:rsidP="00E918F2">
      <w:pPr>
        <w:pStyle w:val="a9"/>
        <w:numPr>
          <w:ilvl w:val="0"/>
          <w:numId w:val="1"/>
        </w:numPr>
        <w:rPr>
          <w:rFonts w:ascii="Times New Roman" w:eastAsia="宋体" w:hAnsi="Times New Roman"/>
          <w:b/>
          <w:bCs/>
          <w:sz w:val="24"/>
          <w:szCs w:val="24"/>
        </w:rPr>
      </w:pPr>
      <w:r w:rsidRPr="00D15D9E">
        <w:rPr>
          <w:rFonts w:ascii="Times New Roman" w:eastAsia="宋体" w:hAnsi="Times New Roman" w:hint="eastAsia"/>
        </w:rPr>
        <w:t>高云</w:t>
      </w:r>
      <w:r w:rsidRPr="00D15D9E">
        <w:rPr>
          <w:rFonts w:ascii="Times New Roman" w:eastAsia="宋体" w:hAnsi="Times New Roman" w:hint="eastAsia"/>
        </w:rPr>
        <w:t>.</w:t>
      </w:r>
      <w:r w:rsidRPr="00D15D9E">
        <w:rPr>
          <w:rFonts w:ascii="Times New Roman" w:eastAsia="宋体" w:hAnsi="Times New Roman" w:hint="eastAsia"/>
        </w:rPr>
        <w:t>由《出师表》看诸葛亮的隐忧</w:t>
      </w:r>
      <w:r w:rsidRPr="00D15D9E">
        <w:rPr>
          <w:rFonts w:ascii="Times New Roman" w:eastAsia="宋体" w:hAnsi="Times New Roman" w:hint="eastAsia"/>
        </w:rPr>
        <w:t>[J].</w:t>
      </w:r>
      <w:r w:rsidRPr="00D15D9E">
        <w:rPr>
          <w:rFonts w:ascii="Times New Roman" w:eastAsia="宋体" w:hAnsi="Times New Roman" w:hint="eastAsia"/>
        </w:rPr>
        <w:t>中国民族博览</w:t>
      </w:r>
      <w:r w:rsidRPr="00D15D9E">
        <w:rPr>
          <w:rFonts w:ascii="Times New Roman" w:eastAsia="宋体" w:hAnsi="Times New Roman" w:hint="eastAsia"/>
        </w:rPr>
        <w:t>,2020,(18):106-107.</w:t>
      </w:r>
    </w:p>
    <w:sectPr w:rsidR="00A72C79" w:rsidRPr="00D15D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18289" w14:textId="77777777" w:rsidR="00FF6A2B" w:rsidRDefault="00FF6A2B" w:rsidP="00EC4A49">
      <w:pPr>
        <w:rPr>
          <w:rFonts w:hint="eastAsia"/>
        </w:rPr>
      </w:pPr>
      <w:r>
        <w:separator/>
      </w:r>
    </w:p>
  </w:endnote>
  <w:endnote w:type="continuationSeparator" w:id="0">
    <w:p w14:paraId="3F423191" w14:textId="77777777" w:rsidR="00FF6A2B" w:rsidRDefault="00FF6A2B" w:rsidP="00EC4A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0030101010101"/>
    <w:charset w:val="86"/>
    <w:family w:val="auto"/>
    <w:pitch w:val="variable"/>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B1F25" w14:textId="77777777" w:rsidR="00FF6A2B" w:rsidRDefault="00FF6A2B" w:rsidP="00EC4A49">
      <w:pPr>
        <w:rPr>
          <w:rFonts w:hint="eastAsia"/>
        </w:rPr>
      </w:pPr>
      <w:r>
        <w:separator/>
      </w:r>
    </w:p>
  </w:footnote>
  <w:footnote w:type="continuationSeparator" w:id="0">
    <w:p w14:paraId="31A9F9D1" w14:textId="77777777" w:rsidR="00FF6A2B" w:rsidRDefault="00FF6A2B" w:rsidP="00EC4A4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178BD"/>
    <w:multiLevelType w:val="hybridMultilevel"/>
    <w:tmpl w:val="4B5C7F20"/>
    <w:lvl w:ilvl="0" w:tplc="ECECD64E">
      <w:start w:val="1"/>
      <w:numFmt w:val="decimal"/>
      <w:lvlText w:val="[%1]"/>
      <w:lvlJc w:val="left"/>
      <w:pPr>
        <w:ind w:left="440" w:hanging="440"/>
      </w:pPr>
      <w:rPr>
        <w:rFonts w:ascii="Times New Roman" w:eastAsia="华文宋体" w:hAnsi="Times New Roman" w:hint="default"/>
        <w:b w:val="0"/>
        <w:bCs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71472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95F"/>
    <w:rsid w:val="0005385B"/>
    <w:rsid w:val="00054924"/>
    <w:rsid w:val="0013495F"/>
    <w:rsid w:val="00232AB4"/>
    <w:rsid w:val="0027490A"/>
    <w:rsid w:val="004E5671"/>
    <w:rsid w:val="005354B5"/>
    <w:rsid w:val="00570CFA"/>
    <w:rsid w:val="005D154B"/>
    <w:rsid w:val="006D0B82"/>
    <w:rsid w:val="006D5163"/>
    <w:rsid w:val="007F75CA"/>
    <w:rsid w:val="00A72C79"/>
    <w:rsid w:val="00AF459F"/>
    <w:rsid w:val="00B610CC"/>
    <w:rsid w:val="00B66EF7"/>
    <w:rsid w:val="00D15D9E"/>
    <w:rsid w:val="00D5172A"/>
    <w:rsid w:val="00E918F2"/>
    <w:rsid w:val="00EC4A49"/>
    <w:rsid w:val="00FF6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C9F756"/>
  <w15:chartTrackingRefBased/>
  <w15:docId w15:val="{1AF5D36C-08D8-4D7D-B857-D084705C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349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349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349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3495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3495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3495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3495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495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3495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49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349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349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3495F"/>
    <w:rPr>
      <w:rFonts w:cstheme="majorBidi"/>
      <w:color w:val="0F4761" w:themeColor="accent1" w:themeShade="BF"/>
      <w:sz w:val="28"/>
      <w:szCs w:val="28"/>
    </w:rPr>
  </w:style>
  <w:style w:type="character" w:customStyle="1" w:styleId="50">
    <w:name w:val="标题 5 字符"/>
    <w:basedOn w:val="a0"/>
    <w:link w:val="5"/>
    <w:uiPriority w:val="9"/>
    <w:semiHidden/>
    <w:rsid w:val="0013495F"/>
    <w:rPr>
      <w:rFonts w:cstheme="majorBidi"/>
      <w:color w:val="0F4761" w:themeColor="accent1" w:themeShade="BF"/>
      <w:sz w:val="24"/>
      <w:szCs w:val="24"/>
    </w:rPr>
  </w:style>
  <w:style w:type="character" w:customStyle="1" w:styleId="60">
    <w:name w:val="标题 6 字符"/>
    <w:basedOn w:val="a0"/>
    <w:link w:val="6"/>
    <w:uiPriority w:val="9"/>
    <w:semiHidden/>
    <w:rsid w:val="0013495F"/>
    <w:rPr>
      <w:rFonts w:cstheme="majorBidi"/>
      <w:b/>
      <w:bCs/>
      <w:color w:val="0F4761" w:themeColor="accent1" w:themeShade="BF"/>
    </w:rPr>
  </w:style>
  <w:style w:type="character" w:customStyle="1" w:styleId="70">
    <w:name w:val="标题 7 字符"/>
    <w:basedOn w:val="a0"/>
    <w:link w:val="7"/>
    <w:uiPriority w:val="9"/>
    <w:semiHidden/>
    <w:rsid w:val="0013495F"/>
    <w:rPr>
      <w:rFonts w:cstheme="majorBidi"/>
      <w:b/>
      <w:bCs/>
      <w:color w:val="595959" w:themeColor="text1" w:themeTint="A6"/>
    </w:rPr>
  </w:style>
  <w:style w:type="character" w:customStyle="1" w:styleId="80">
    <w:name w:val="标题 8 字符"/>
    <w:basedOn w:val="a0"/>
    <w:link w:val="8"/>
    <w:uiPriority w:val="9"/>
    <w:semiHidden/>
    <w:rsid w:val="0013495F"/>
    <w:rPr>
      <w:rFonts w:cstheme="majorBidi"/>
      <w:color w:val="595959" w:themeColor="text1" w:themeTint="A6"/>
    </w:rPr>
  </w:style>
  <w:style w:type="character" w:customStyle="1" w:styleId="90">
    <w:name w:val="标题 9 字符"/>
    <w:basedOn w:val="a0"/>
    <w:link w:val="9"/>
    <w:uiPriority w:val="9"/>
    <w:semiHidden/>
    <w:rsid w:val="0013495F"/>
    <w:rPr>
      <w:rFonts w:eastAsiaTheme="majorEastAsia" w:cstheme="majorBidi"/>
      <w:color w:val="595959" w:themeColor="text1" w:themeTint="A6"/>
    </w:rPr>
  </w:style>
  <w:style w:type="paragraph" w:styleId="a3">
    <w:name w:val="Title"/>
    <w:basedOn w:val="a"/>
    <w:next w:val="a"/>
    <w:link w:val="a4"/>
    <w:uiPriority w:val="10"/>
    <w:qFormat/>
    <w:rsid w:val="001349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49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49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49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495F"/>
    <w:pPr>
      <w:spacing w:before="160" w:after="160"/>
      <w:jc w:val="center"/>
    </w:pPr>
    <w:rPr>
      <w:i/>
      <w:iCs/>
      <w:color w:val="404040" w:themeColor="text1" w:themeTint="BF"/>
    </w:rPr>
  </w:style>
  <w:style w:type="character" w:customStyle="1" w:styleId="a8">
    <w:name w:val="引用 字符"/>
    <w:basedOn w:val="a0"/>
    <w:link w:val="a7"/>
    <w:uiPriority w:val="29"/>
    <w:rsid w:val="0013495F"/>
    <w:rPr>
      <w:i/>
      <w:iCs/>
      <w:color w:val="404040" w:themeColor="text1" w:themeTint="BF"/>
    </w:rPr>
  </w:style>
  <w:style w:type="paragraph" w:styleId="a9">
    <w:name w:val="List Paragraph"/>
    <w:basedOn w:val="a"/>
    <w:uiPriority w:val="34"/>
    <w:qFormat/>
    <w:rsid w:val="0013495F"/>
    <w:pPr>
      <w:ind w:left="720"/>
      <w:contextualSpacing/>
    </w:pPr>
  </w:style>
  <w:style w:type="character" w:styleId="aa">
    <w:name w:val="Intense Emphasis"/>
    <w:basedOn w:val="a0"/>
    <w:uiPriority w:val="21"/>
    <w:qFormat/>
    <w:rsid w:val="0013495F"/>
    <w:rPr>
      <w:i/>
      <w:iCs/>
      <w:color w:val="0F4761" w:themeColor="accent1" w:themeShade="BF"/>
    </w:rPr>
  </w:style>
  <w:style w:type="paragraph" w:styleId="ab">
    <w:name w:val="Intense Quote"/>
    <w:basedOn w:val="a"/>
    <w:next w:val="a"/>
    <w:link w:val="ac"/>
    <w:uiPriority w:val="30"/>
    <w:qFormat/>
    <w:rsid w:val="001349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3495F"/>
    <w:rPr>
      <w:i/>
      <w:iCs/>
      <w:color w:val="0F4761" w:themeColor="accent1" w:themeShade="BF"/>
    </w:rPr>
  </w:style>
  <w:style w:type="character" w:styleId="ad">
    <w:name w:val="Intense Reference"/>
    <w:basedOn w:val="a0"/>
    <w:uiPriority w:val="32"/>
    <w:qFormat/>
    <w:rsid w:val="0013495F"/>
    <w:rPr>
      <w:b/>
      <w:bCs/>
      <w:smallCaps/>
      <w:color w:val="0F4761" w:themeColor="accent1" w:themeShade="BF"/>
      <w:spacing w:val="5"/>
    </w:rPr>
  </w:style>
  <w:style w:type="paragraph" w:customStyle="1" w:styleId="21bc9c4b-6a32-43e5-beaa-fd2d792c5735">
    <w:name w:val="21bc9c4b-6a32-43e5-beaa-fd2d792c5735"/>
    <w:basedOn w:val="1"/>
    <w:next w:val="acbfdd8b-e11b-4d36-88ff-6049b138f862"/>
    <w:link w:val="21bc9c4b-6a32-43e5-beaa-fd2d792c57350"/>
    <w:rsid w:val="007F75CA"/>
    <w:pPr>
      <w:adjustRightInd w:val="0"/>
      <w:spacing w:before="0" w:after="0" w:line="288" w:lineRule="auto"/>
      <w:jc w:val="left"/>
    </w:pPr>
    <w:rPr>
      <w:rFonts w:ascii="微软雅黑" w:eastAsia="微软雅黑" w:hAnsi="微软雅黑"/>
      <w:b/>
      <w:color w:val="000000"/>
      <w:sz w:val="32"/>
    </w:rPr>
  </w:style>
  <w:style w:type="character" w:customStyle="1" w:styleId="21bc9c4b-6a32-43e5-beaa-fd2d792c57350">
    <w:name w:val="21bc9c4b-6a32-43e5-beaa-fd2d792c5735 字符"/>
    <w:basedOn w:val="a0"/>
    <w:link w:val="21bc9c4b-6a32-43e5-beaa-fd2d792c5735"/>
    <w:rsid w:val="007F75CA"/>
    <w:rPr>
      <w:rFonts w:ascii="微软雅黑" w:eastAsia="微软雅黑" w:hAnsi="微软雅黑" w:cstheme="majorBidi"/>
      <w:b/>
      <w:color w:val="000000"/>
      <w:sz w:val="32"/>
      <w:szCs w:val="48"/>
    </w:rPr>
  </w:style>
  <w:style w:type="paragraph" w:customStyle="1" w:styleId="acbfdd8b-e11b-4d36-88ff-6049b138f862">
    <w:name w:val="acbfdd8b-e11b-4d36-88ff-6049b138f862"/>
    <w:basedOn w:val="a"/>
    <w:link w:val="acbfdd8b-e11b-4d36-88ff-6049b138f8620"/>
    <w:rsid w:val="007F75CA"/>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7F75CA"/>
    <w:rPr>
      <w:rFonts w:ascii="微软雅黑" w:eastAsia="微软雅黑" w:hAnsi="微软雅黑"/>
      <w:color w:val="000000"/>
      <w:sz w:val="22"/>
    </w:rPr>
  </w:style>
  <w:style w:type="paragraph" w:customStyle="1" w:styleId="71e7dc79-1ff7-45e8-997d-0ebda3762b91">
    <w:name w:val="71e7dc79-1ff7-45e8-997d-0ebda3762b91"/>
    <w:basedOn w:val="2"/>
    <w:next w:val="acbfdd8b-e11b-4d36-88ff-6049b138f862"/>
    <w:link w:val="71e7dc79-1ff7-45e8-997d-0ebda3762b910"/>
    <w:rsid w:val="007F75CA"/>
    <w:pPr>
      <w:adjustRightInd w:val="0"/>
      <w:spacing w:before="0" w:after="0" w:line="288" w:lineRule="auto"/>
      <w:jc w:val="left"/>
    </w:pPr>
    <w:rPr>
      <w:rFonts w:ascii="微软雅黑" w:eastAsia="微软雅黑" w:hAnsi="微软雅黑"/>
      <w:b/>
      <w:color w:val="000000"/>
      <w:sz w:val="28"/>
    </w:rPr>
  </w:style>
  <w:style w:type="character" w:customStyle="1" w:styleId="71e7dc79-1ff7-45e8-997d-0ebda3762b910">
    <w:name w:val="71e7dc79-1ff7-45e8-997d-0ebda3762b91 字符"/>
    <w:basedOn w:val="a0"/>
    <w:link w:val="71e7dc79-1ff7-45e8-997d-0ebda3762b91"/>
    <w:rsid w:val="007F75CA"/>
    <w:rPr>
      <w:rFonts w:ascii="微软雅黑" w:eastAsia="微软雅黑" w:hAnsi="微软雅黑" w:cstheme="majorBidi"/>
      <w:b/>
      <w:color w:val="000000"/>
      <w:sz w:val="28"/>
      <w:szCs w:val="40"/>
    </w:rPr>
  </w:style>
  <w:style w:type="paragraph" w:customStyle="1" w:styleId="17babae4-54f0-44fa-a444-1068224df0ac">
    <w:name w:val="17babae4-54f0-44fa-a444-1068224df0ac"/>
    <w:basedOn w:val="a3"/>
    <w:next w:val="acbfdd8b-e11b-4d36-88ff-6049b138f862"/>
    <w:link w:val="17babae4-54f0-44fa-a444-1068224df0ac0"/>
    <w:rsid w:val="007F75CA"/>
    <w:pPr>
      <w:adjustRightInd w:val="0"/>
      <w:spacing w:after="0" w:line="288" w:lineRule="auto"/>
      <w:outlineLvl w:val="0"/>
    </w:pPr>
    <w:rPr>
      <w:rFonts w:ascii="微软雅黑" w:eastAsia="微软雅黑" w:hAnsi="微软雅黑"/>
      <w:b/>
      <w:color w:val="000000"/>
      <w:sz w:val="40"/>
    </w:rPr>
  </w:style>
  <w:style w:type="character" w:customStyle="1" w:styleId="17babae4-54f0-44fa-a444-1068224df0ac0">
    <w:name w:val="17babae4-54f0-44fa-a444-1068224df0ac 字符"/>
    <w:basedOn w:val="21bc9c4b-6a32-43e5-beaa-fd2d792c57350"/>
    <w:link w:val="17babae4-54f0-44fa-a444-1068224df0ac"/>
    <w:rsid w:val="007F75CA"/>
    <w:rPr>
      <w:rFonts w:ascii="微软雅黑" w:eastAsia="微软雅黑" w:hAnsi="微软雅黑" w:cstheme="majorBidi"/>
      <w:b/>
      <w:color w:val="000000"/>
      <w:spacing w:val="-10"/>
      <w:kern w:val="28"/>
      <w:sz w:val="40"/>
      <w:szCs w:val="56"/>
    </w:rPr>
  </w:style>
  <w:style w:type="paragraph" w:customStyle="1" w:styleId="p1">
    <w:name w:val="p1"/>
    <w:basedOn w:val="a"/>
    <w:rsid w:val="007F75CA"/>
    <w:pPr>
      <w:widowControl/>
      <w:spacing w:before="100" w:beforeAutospacing="1" w:after="100" w:afterAutospacing="1"/>
      <w:jc w:val="left"/>
    </w:pPr>
    <w:rPr>
      <w:rFonts w:ascii="宋体" w:eastAsia="宋体" w:hAnsi="宋体" w:cs="宋体"/>
      <w:kern w:val="0"/>
      <w:sz w:val="24"/>
      <w:szCs w:val="24"/>
      <w14:ligatures w14:val="none"/>
    </w:rPr>
  </w:style>
  <w:style w:type="paragraph" w:styleId="ae">
    <w:name w:val="header"/>
    <w:basedOn w:val="a"/>
    <w:link w:val="af"/>
    <w:uiPriority w:val="99"/>
    <w:unhideWhenUsed/>
    <w:rsid w:val="00EC4A49"/>
    <w:pPr>
      <w:tabs>
        <w:tab w:val="center" w:pos="4153"/>
        <w:tab w:val="right" w:pos="8306"/>
      </w:tabs>
      <w:snapToGrid w:val="0"/>
      <w:jc w:val="center"/>
    </w:pPr>
    <w:rPr>
      <w:sz w:val="18"/>
      <w:szCs w:val="18"/>
    </w:rPr>
  </w:style>
  <w:style w:type="character" w:customStyle="1" w:styleId="af">
    <w:name w:val="页眉 字符"/>
    <w:basedOn w:val="a0"/>
    <w:link w:val="ae"/>
    <w:uiPriority w:val="99"/>
    <w:rsid w:val="00EC4A49"/>
    <w:rPr>
      <w:sz w:val="18"/>
      <w:szCs w:val="18"/>
    </w:rPr>
  </w:style>
  <w:style w:type="paragraph" w:styleId="af0">
    <w:name w:val="footer"/>
    <w:basedOn w:val="a"/>
    <w:link w:val="af1"/>
    <w:uiPriority w:val="99"/>
    <w:unhideWhenUsed/>
    <w:rsid w:val="00EC4A49"/>
    <w:pPr>
      <w:tabs>
        <w:tab w:val="center" w:pos="4153"/>
        <w:tab w:val="right" w:pos="8306"/>
      </w:tabs>
      <w:snapToGrid w:val="0"/>
      <w:jc w:val="left"/>
    </w:pPr>
    <w:rPr>
      <w:sz w:val="18"/>
      <w:szCs w:val="18"/>
    </w:rPr>
  </w:style>
  <w:style w:type="character" w:customStyle="1" w:styleId="af1">
    <w:name w:val="页脚 字符"/>
    <w:basedOn w:val="a0"/>
    <w:link w:val="af0"/>
    <w:uiPriority w:val="99"/>
    <w:rsid w:val="00EC4A4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008630">
      <w:bodyDiv w:val="1"/>
      <w:marLeft w:val="0"/>
      <w:marRight w:val="0"/>
      <w:marTop w:val="0"/>
      <w:marBottom w:val="0"/>
      <w:divBdr>
        <w:top w:val="none" w:sz="0" w:space="0" w:color="auto"/>
        <w:left w:val="none" w:sz="0" w:space="0" w:color="auto"/>
        <w:bottom w:val="none" w:sz="0" w:space="0" w:color="auto"/>
        <w:right w:val="none" w:sz="0" w:space="0" w:color="auto"/>
      </w:divBdr>
    </w:div>
    <w:div w:id="418868209">
      <w:bodyDiv w:val="1"/>
      <w:marLeft w:val="0"/>
      <w:marRight w:val="0"/>
      <w:marTop w:val="0"/>
      <w:marBottom w:val="0"/>
      <w:divBdr>
        <w:top w:val="none" w:sz="0" w:space="0" w:color="auto"/>
        <w:left w:val="none" w:sz="0" w:space="0" w:color="auto"/>
        <w:bottom w:val="none" w:sz="0" w:space="0" w:color="auto"/>
        <w:right w:val="none" w:sz="0" w:space="0" w:color="auto"/>
      </w:divBdr>
    </w:div>
    <w:div w:id="635916626">
      <w:bodyDiv w:val="1"/>
      <w:marLeft w:val="0"/>
      <w:marRight w:val="0"/>
      <w:marTop w:val="0"/>
      <w:marBottom w:val="0"/>
      <w:divBdr>
        <w:top w:val="none" w:sz="0" w:space="0" w:color="auto"/>
        <w:left w:val="none" w:sz="0" w:space="0" w:color="auto"/>
        <w:bottom w:val="none" w:sz="0" w:space="0" w:color="auto"/>
        <w:right w:val="none" w:sz="0" w:space="0" w:color="auto"/>
      </w:divBdr>
    </w:div>
    <w:div w:id="1071149834">
      <w:bodyDiv w:val="1"/>
      <w:marLeft w:val="0"/>
      <w:marRight w:val="0"/>
      <w:marTop w:val="0"/>
      <w:marBottom w:val="0"/>
      <w:divBdr>
        <w:top w:val="none" w:sz="0" w:space="0" w:color="auto"/>
        <w:left w:val="none" w:sz="0" w:space="0" w:color="auto"/>
        <w:bottom w:val="none" w:sz="0" w:space="0" w:color="auto"/>
        <w:right w:val="none" w:sz="0" w:space="0" w:color="auto"/>
      </w:divBdr>
    </w:div>
    <w:div w:id="1476950189">
      <w:bodyDiv w:val="1"/>
      <w:marLeft w:val="0"/>
      <w:marRight w:val="0"/>
      <w:marTop w:val="0"/>
      <w:marBottom w:val="0"/>
      <w:divBdr>
        <w:top w:val="none" w:sz="0" w:space="0" w:color="auto"/>
        <w:left w:val="none" w:sz="0" w:space="0" w:color="auto"/>
        <w:bottom w:val="none" w:sz="0" w:space="0" w:color="auto"/>
        <w:right w:val="none" w:sz="0" w:space="0" w:color="auto"/>
      </w:divBdr>
    </w:div>
    <w:div w:id="1857377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6823E-5361-4DBF-9C14-4C8EFE747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7</Pages>
  <Words>4411</Words>
  <Characters>4633</Characters>
  <Application>Microsoft Office Word</Application>
  <DocSecurity>0</DocSecurity>
  <Lines>144</Lines>
  <Paragraphs>61</Paragraphs>
  <ScaleCrop>false</ScaleCrop>
  <Company/>
  <LinksUpToDate>false</LinksUpToDate>
  <CharactersWithSpaces>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馨月 张</dc:creator>
  <cp:keywords/>
  <dc:description/>
  <cp:lastModifiedBy>馨月 张</cp:lastModifiedBy>
  <cp:revision>3</cp:revision>
  <dcterms:created xsi:type="dcterms:W3CDTF">2025-06-05T06:29:00Z</dcterms:created>
  <dcterms:modified xsi:type="dcterms:W3CDTF">2025-06-05T08:41:00Z</dcterms:modified>
</cp:coreProperties>
</file>