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DC4E2">
      <w:pPr>
        <w:pStyle w:val="11"/>
        <w:keepNext w:val="0"/>
        <w:keepLines w:val="0"/>
        <w:pageBreakBefore w:val="0"/>
        <w:kinsoku/>
        <w:wordWrap w:val="0"/>
        <w:overflowPunct/>
        <w:topLinePunct w:val="0"/>
        <w:autoSpaceDE/>
        <w:autoSpaceDN/>
        <w:bidi w:val="0"/>
        <w:adjustRightInd/>
        <w:snapToGrid/>
        <w:rPr>
          <w:rFonts w:hint="default"/>
          <w:lang w:val="en-US" w:eastAsia="zh-CN"/>
        </w:rPr>
      </w:pPr>
      <w:r>
        <w:rPr>
          <w:rFonts w:hint="eastAsia"/>
          <w:lang w:val="en-US" w:eastAsia="zh-CN"/>
        </w:rPr>
        <w:t>实验三 垂直领域模型微调实战</w:t>
      </w:r>
    </w:p>
    <w:p w14:paraId="7C9899CF">
      <w:pPr>
        <w:pStyle w:val="11"/>
        <w:keepNext w:val="0"/>
        <w:keepLines w:val="0"/>
        <w:pageBreakBefore w:val="0"/>
        <w:kinsoku/>
        <w:wordWrap w:val="0"/>
        <w:overflowPunct/>
        <w:topLinePunct w:val="0"/>
        <w:autoSpaceDE/>
        <w:autoSpaceDN/>
        <w:bidi w:val="0"/>
        <w:adjustRightInd/>
        <w:snapToGrid/>
        <w:rPr>
          <w:rFonts w:hint="eastAsia"/>
          <w:lang w:val="en-US" w:eastAsia="zh-CN"/>
        </w:rPr>
      </w:pPr>
    </w:p>
    <w:p w14:paraId="00A56607">
      <w:pPr>
        <w:pStyle w:val="11"/>
        <w:keepNext w:val="0"/>
        <w:keepLines w:val="0"/>
        <w:pageBreakBefore w:val="0"/>
        <w:kinsoku/>
        <w:wordWrap w:val="0"/>
        <w:overflowPunct/>
        <w:topLinePunct w:val="0"/>
        <w:autoSpaceDE/>
        <w:autoSpaceDN/>
        <w:bidi w:val="0"/>
        <w:adjustRightInd/>
        <w:snapToGrid/>
        <w:rPr>
          <w:rFonts w:hint="default"/>
          <w:lang w:val="en-US" w:eastAsia="zh-CN"/>
        </w:rPr>
      </w:pPr>
      <w:r>
        <w:rPr>
          <w:rFonts w:hint="eastAsia"/>
          <w:b w:val="0"/>
          <w:bCs/>
          <w:lang w:val="en-US" w:eastAsia="zh-CN"/>
        </w:rPr>
        <w:t>2023112451 顾雨航</w:t>
      </w:r>
    </w:p>
    <w:p w14:paraId="4AF47D4C">
      <w:pPr>
        <w:keepNext w:val="0"/>
        <w:keepLines w:val="0"/>
        <w:pageBreakBefore w:val="0"/>
        <w:kinsoku/>
        <w:wordWrap w:val="0"/>
        <w:overflowPunct/>
        <w:topLinePunct w:val="0"/>
        <w:autoSpaceDE/>
        <w:autoSpaceDN/>
        <w:bidi w:val="0"/>
        <w:adjustRightInd/>
        <w:snapToGrid/>
        <w:rPr>
          <w:rFonts w:hint="eastAsia"/>
          <w:lang w:val="en-US" w:eastAsia="zh-CN"/>
        </w:rPr>
      </w:pPr>
    </w:p>
    <w:p w14:paraId="0F202027">
      <w:pPr>
        <w:pStyle w:val="12"/>
        <w:keepNext w:val="0"/>
        <w:keepLines w:val="0"/>
        <w:pageBreakBefore w:val="0"/>
        <w:kinsoku/>
        <w:wordWrap w:val="0"/>
        <w:overflowPunct/>
        <w:topLinePunct w:val="0"/>
        <w:autoSpaceDE/>
        <w:autoSpaceDN/>
        <w:bidi w:val="0"/>
        <w:adjustRightInd/>
        <w:snapToGrid/>
        <w:jc w:val="center"/>
        <w:rPr>
          <w:rFonts w:hint="default"/>
          <w:lang w:val="en-US" w:eastAsia="zh-CN"/>
        </w:rPr>
      </w:pPr>
      <w:r>
        <w:rPr>
          <w:rFonts w:hint="eastAsia"/>
          <w:lang w:val="en-US" w:eastAsia="zh-CN"/>
        </w:rPr>
        <w:t>一、实验目的与任务说明</w:t>
      </w:r>
    </w:p>
    <w:p w14:paraId="7F5B5DD4">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本实验围绕“垂直领域模型微调实践”展开，目标是在有限算力条件下，完成大语言模型的参数高效微调，并结合数据构建、量化加载、训练观测、权重合并和结果分析，形成一套完整、可复现的实验流程。与传统全参数微调相比，LoRA 通过只训练少量低秩增量参数，大幅降低训练成本；QLoRA 则在 LoRA 的基础上引入 4-bit 量化，使 7B 级模型也可以在消费级 GPU 上完成实验。</w:t>
      </w:r>
    </w:p>
    <w:p w14:paraId="7CA5E2E5">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结合实验手册要求，本实验需要完成以下几项核心任务：</w:t>
      </w:r>
    </w:p>
    <w:p w14:paraId="6FE0556C">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1. 构建一个垂直领域指令微调数据集，并整理为标准的 instruction-input-output 格式。</w:t>
      </w:r>
    </w:p>
    <w:p w14:paraId="4485D059">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2. 基于 Hugging Face 生态完成模型加载、Tokenizer 处理、LoRA 注入与 QLoRA 微调。</w:t>
      </w:r>
    </w:p>
    <w:p w14:paraId="3D6B3659">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3. 对比量化与非量化加载的资源占用，记录训练过程中的参数规模、显存观测与 Loss 变化。</w:t>
      </w:r>
    </w:p>
    <w:p w14:paraId="21E93548">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4. 完成 LoRA Adapter 保存、权重合并，以及面向最终展示的交互部署准备。</w:t>
      </w:r>
    </w:p>
    <w:p w14:paraId="747E5908">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5. 在报告中对 Base Model 与 LoRA-Tuned Model 的案例表现进行分析，并讨论 LoRA Rank 对效果和资源的影响。</w:t>
      </w:r>
    </w:p>
    <w:p w14:paraId="45C73568">
      <w:pPr>
        <w:pStyle w:val="12"/>
        <w:keepNext w:val="0"/>
        <w:keepLines w:val="0"/>
        <w:pageBreakBefore w:val="0"/>
        <w:kinsoku/>
        <w:wordWrap w:val="0"/>
        <w:overflowPunct/>
        <w:topLinePunct w:val="0"/>
        <w:autoSpaceDE/>
        <w:autoSpaceDN/>
        <w:bidi w:val="0"/>
        <w:adjustRightInd/>
        <w:snapToGrid/>
        <w:jc w:val="center"/>
        <w:rPr>
          <w:rFonts w:hint="default"/>
          <w:lang w:val="en-US" w:eastAsia="zh-CN"/>
        </w:rPr>
      </w:pPr>
      <w:r>
        <w:rPr>
          <w:rFonts w:hint="eastAsia"/>
          <w:lang w:val="en-US" w:eastAsia="zh-CN"/>
        </w:rPr>
        <w:t>二、实验环境与模型配置</w:t>
      </w:r>
    </w:p>
    <w:p w14:paraId="0A872DB1">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1. 硬件环境</w:t>
      </w:r>
    </w:p>
    <w:p w14:paraId="04434857">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本地实验环境为 Windows 平台，GPU 为 NVIDIA GeForce RTX 4060 Laptop GPU，标称显存 8GB。由于实验使用的是 7B 级指令模型，因此本地环境在加载、训练和推理过程中都比较接近资源上限。实际实验中，早期曾因依赖版本和量化环境兼容问题导致 4-bit 加载异常退出，后续通过重建独立 conda 环境解决。</w:t>
      </w:r>
    </w:p>
    <w:p w14:paraId="72A65B26">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2. 软件环境</w:t>
      </w:r>
    </w:p>
    <w:p w14:paraId="4CF1E080">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实验主要依赖如下：</w:t>
      </w:r>
    </w:p>
    <w:p w14:paraId="514F9988">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Python 3.10</w:t>
      </w:r>
    </w:p>
    <w:p w14:paraId="26193E9A">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Transformers</w:t>
      </w:r>
    </w:p>
    <w:p w14:paraId="2C2EE7B3">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Datasets</w:t>
      </w:r>
    </w:p>
    <w:p w14:paraId="5195C049">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PEFT</w:t>
      </w:r>
    </w:p>
    <w:p w14:paraId="5C1B151D">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Accelerate</w:t>
      </w:r>
    </w:p>
    <w:p w14:paraId="6D121104">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BitsAndBytes</w:t>
      </w:r>
    </w:p>
    <w:p w14:paraId="7EB23B19">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Gradio</w:t>
      </w:r>
    </w:p>
    <w:p w14:paraId="01AA64CE">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Matplotlib</w:t>
      </w:r>
    </w:p>
    <w:p w14:paraId="200497EF">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实验后期还尝试在云端 GPU 环境中完成最终展示，但由于网络访问 Hugging Face 基座模型时存在链路限制，最终网页展示部分未稳定完成，因此报告主体以本地已完成的核心实验结果为准。</w:t>
      </w:r>
    </w:p>
    <w:p w14:paraId="32C63236">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3. 基座模型与微调方案</w:t>
      </w:r>
    </w:p>
    <w:p w14:paraId="125BA544">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本实验选用的基座模型为：</w:t>
      </w:r>
    </w:p>
    <w:p w14:paraId="44C82681">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Qwen/Qwen2.5-7B-Instruct</w:t>
      </w:r>
    </w:p>
    <w:p w14:paraId="3B2F94AF">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p>
    <w:p w14:paraId="7ACBF8F4">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微调方案为：</w:t>
      </w:r>
    </w:p>
    <w:p w14:paraId="0E149B5D">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QLoRA</w:t>
      </w:r>
    </w:p>
    <w:p w14:paraId="5A5F6234">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- 4-bit 量化加载</w:t>
      </w:r>
    </w:p>
    <w:p w14:paraId="28F8DD42">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LoRA Rank r = 16</w:t>
      </w:r>
    </w:p>
    <w:p w14:paraId="2AA4A715">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LoRA Alpha = 32</w:t>
      </w:r>
    </w:p>
    <w:p w14:paraId="659FB1A7">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LoRA Dropout = 0.05</w:t>
      </w:r>
    </w:p>
    <w:p w14:paraId="49B5E871">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Target Modules = q_proj, k_proj, v_proj, o_proj</w:t>
      </w:r>
    </w:p>
    <w:p w14:paraId="032AFCC4">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Learning Rate = 2e-4</w:t>
      </w:r>
    </w:p>
    <w:p w14:paraId="5EE88A12">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Batch Size = 1</w:t>
      </w:r>
    </w:p>
    <w:p w14:paraId="4D0A0592">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Gradient Accumulation Steps = 8</w:t>
      </w:r>
    </w:p>
    <w:p w14:paraId="0ABD5FFA">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Max Sequence Length = 512</w:t>
      </w:r>
    </w:p>
    <w:p w14:paraId="1862D753">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正式采用训练步数 = 100</w:t>
      </w:r>
    </w:p>
    <w:p w14:paraId="30B18AFF">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之所以最终采用 100 步而不是继续增加训练步数，主要是因为当前数据集规模较小，仅有 55 条正式训练样本。对这样的小样本数据来说，继续增加训练步数更容易带来过拟合，而不一定带来更强的泛化收益。</w:t>
      </w:r>
    </w:p>
    <w:p w14:paraId="04BAEF25">
      <w:pPr>
        <w:keepNext w:val="0"/>
        <w:keepLines w:val="0"/>
        <w:pageBreakBefore w:val="0"/>
        <w:kinsoku/>
        <w:wordWrap w:val="0"/>
        <w:overflowPunct/>
        <w:topLinePunct w:val="0"/>
        <w:autoSpaceDE/>
        <w:autoSpaceDN/>
        <w:bidi w:val="0"/>
        <w:adjustRightInd/>
        <w:snapToGrid/>
        <w:rPr>
          <w:rFonts w:hint="default"/>
          <w:lang w:val="en-US" w:eastAsia="zh-CN"/>
        </w:rPr>
      </w:pPr>
    </w:p>
    <w:p w14:paraId="7AEEF2A3">
      <w:pPr>
        <w:pStyle w:val="12"/>
        <w:keepNext w:val="0"/>
        <w:keepLines w:val="0"/>
        <w:pageBreakBefore w:val="0"/>
        <w:kinsoku/>
        <w:wordWrap w:val="0"/>
        <w:overflowPunct/>
        <w:topLinePunct w:val="0"/>
        <w:autoSpaceDE/>
        <w:autoSpaceDN/>
        <w:bidi w:val="0"/>
        <w:adjustRightInd/>
        <w:snapToGrid/>
        <w:jc w:val="center"/>
        <w:rPr>
          <w:rFonts w:hint="default"/>
          <w:lang w:val="en-US" w:eastAsia="zh-CN"/>
        </w:rPr>
      </w:pPr>
      <w:r>
        <w:rPr>
          <w:rFonts w:hint="eastAsia"/>
          <w:lang w:val="en-US" w:eastAsia="zh-CN"/>
        </w:rPr>
        <w:t>三、垂直领域数据集构建</w:t>
      </w:r>
    </w:p>
    <w:p w14:paraId="4E8CC10F">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1. 领域选择</w:t>
      </w:r>
    </w:p>
    <w:p w14:paraId="03E4B99E">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本实验选取“高校教务与实验室管理”作为垂直领域。该领域具有较强的规则性、流程性和制度性，非常适合作为课程实验中的垂直领域微调对象。相较于开放域闲聊任务，高校教务与实验室管理问题通常存在更加明确的处理流程与边界条件，因此更容易观察到“领域风格注入”后的模型表现变化。</w:t>
      </w:r>
    </w:p>
    <w:p w14:paraId="6B7CCF04">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2. 数据格式设计</w:t>
      </w:r>
    </w:p>
    <w:p w14:paraId="16972ABA">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本实验中的监督微调样本采用 JSON 格式组织，单条样本包含如下字段：</w:t>
      </w:r>
    </w:p>
    <w:p w14:paraId="4308CE8A">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system：系统角色提示，用于约束回答身份与风格。</w:t>
      </w:r>
    </w:p>
    <w:p w14:paraId="4C9B1F77">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instruction：任务指令，如“回答高校教务相关问题”。</w:t>
      </w:r>
    </w:p>
    <w:p w14:paraId="74D05AF0">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input：具体问题或补充上下文。</w:t>
      </w:r>
    </w:p>
    <w:p w14:paraId="7178EC67">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output：目标答案。</w:t>
      </w:r>
    </w:p>
    <w:p w14:paraId="57BB0965">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训练时，脚本会将 system、instruction 与 input 拼接为对话式 prompt，并通过 chat template 构造成模型输入；同时仅对 assistant 输出部分计算损失，以避免模型错误学习“复述输入”的模式。</w:t>
      </w:r>
    </w:p>
    <w:p w14:paraId="6E8BDA32">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3. 数据集规模与文件组织</w:t>
      </w:r>
    </w:p>
    <w:p w14:paraId="36B6DA13">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本实验中主要使用的数据文件如下：</w:t>
      </w:r>
    </w:p>
    <w:p w14:paraId="2ED0DD7A">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data/domain_dataset_sample.json：流程调试用样例数据，共 12 条。</w:t>
      </w:r>
    </w:p>
    <w:p w14:paraId="5274BE0B">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data/domain_dataset_edu_expanded.json：正式训练数据，共 55 条。</w:t>
      </w:r>
    </w:p>
    <w:p w14:paraId="73934046">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data/eval_cases.json：后续案例评测问题集。</w:t>
      </w:r>
    </w:p>
    <w:p w14:paraId="4D2CBD14">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正式训练使用的数据集为：</w:t>
      </w:r>
    </w:p>
    <w:p w14:paraId="49EE0930">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data/domain_dataset_edu_expanded.json</w:t>
      </w:r>
    </w:p>
    <w:p w14:paraId="002B0D5D">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训练摘要文件 metrics_summary.json 中也记录了：</w:t>
      </w:r>
    </w:p>
    <w:p w14:paraId="2AC7B865">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train_file = data/domain_dataset_edu_expanded.json</w:t>
      </w:r>
    </w:p>
    <w:p w14:paraId="15535A84">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dataset_size = 55</w:t>
      </w:r>
    </w:p>
    <w:p w14:paraId="79B0FD6A">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因此，可以明确认定本实验正式训练使用的是扩充版高校教务与实验室管理数据集，而不是 sample 小数据集。</w:t>
      </w:r>
    </w:p>
    <w:p w14:paraId="5AC6FB27">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p>
    <w:p w14:paraId="11DFF39F">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4. 数据内容特点</w:t>
      </w:r>
    </w:p>
    <w:p w14:paraId="6F78B946">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当前数据集主要围绕以下主题展开：</w:t>
      </w:r>
    </w:p>
    <w:p w14:paraId="347D6222">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缓考、补考、成绩认定</w:t>
      </w:r>
    </w:p>
    <w:p w14:paraId="72531CB7">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学分、毕业条件、转专业审核</w:t>
      </w:r>
    </w:p>
    <w:p w14:paraId="6514AE37">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实习学分认定</w:t>
      </w:r>
    </w:p>
    <w:p w14:paraId="35929F7E">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论文与学术规范</w:t>
      </w:r>
    </w:p>
    <w:p w14:paraId="1FD498B8">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实验室安全、设备管理、废液处理</w:t>
      </w:r>
    </w:p>
    <w:p w14:paraId="0E7D803A">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这些样本的共同特点是：</w:t>
      </w:r>
    </w:p>
    <w:p w14:paraId="71056520">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回答倾向于制度化、事务化表达。</w:t>
      </w:r>
    </w:p>
    <w:p w14:paraId="3B5A03FE">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大多数答案会采用分点式结构。</w:t>
      </w:r>
    </w:p>
    <w:p w14:paraId="0BD6EB6A">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经常出现“以学校具体规定为准”“按通知流程办理”等约束性表述。</w:t>
      </w:r>
    </w:p>
    <w:p w14:paraId="3EF99C59">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更接近真实校内事务答复，而不是泛泛的常识解释。</w:t>
      </w:r>
    </w:p>
    <w:p w14:paraId="76633926">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p>
    <w:p w14:paraId="7F660AC2">
      <w:pPr>
        <w:keepNext w:val="0"/>
        <w:keepLines w:val="0"/>
        <w:pageBreakBefore w:val="0"/>
        <w:kinsoku/>
        <w:wordWrap w:val="0"/>
        <w:overflowPunct/>
        <w:topLinePunct w:val="0"/>
        <w:autoSpaceDE/>
        <w:autoSpaceDN/>
        <w:bidi w:val="0"/>
        <w:adjustRightInd/>
        <w:snapToGrid/>
        <w:jc w:val="center"/>
        <w:rPr>
          <w:rFonts w:hint="default"/>
          <w:lang w:val="en-US" w:eastAsia="zh-CN"/>
        </w:rPr>
      </w:pPr>
    </w:p>
    <w:p w14:paraId="4FF4D9C7">
      <w:pPr>
        <w:pStyle w:val="12"/>
        <w:keepNext w:val="0"/>
        <w:keepLines w:val="0"/>
        <w:pageBreakBefore w:val="0"/>
        <w:kinsoku/>
        <w:wordWrap w:val="0"/>
        <w:overflowPunct/>
        <w:topLinePunct w:val="0"/>
        <w:autoSpaceDE/>
        <w:autoSpaceDN/>
        <w:bidi w:val="0"/>
        <w:adjustRightInd/>
        <w:snapToGrid/>
        <w:jc w:val="center"/>
        <w:rPr>
          <w:rFonts w:hint="default"/>
          <w:lang w:val="en-US" w:eastAsia="zh-CN"/>
        </w:rPr>
      </w:pPr>
      <w:r>
        <w:rPr>
          <w:rFonts w:hint="eastAsia"/>
          <w:lang w:val="en-US" w:eastAsia="zh-CN"/>
        </w:rPr>
        <w:t>四、模型微调方法与实现流程</w:t>
      </w:r>
    </w:p>
    <w:p w14:paraId="0E5A7F87">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1. 数据预处理与 Tokenization</w:t>
      </w:r>
    </w:p>
    <w:p w14:paraId="2B14B6CF">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训练脚本通过 datasets 读取 JSON 数据，并使用 Qwen 系列模型对应的 tokenizer 和 chat template 处理系统提示、用户问题与目标答案。在标签构造阶段，脚本将 prompt 部分的 labels 设置为 -100，仅保留助手输出部分参与损失计算，从而使模型把学习重点放在“如何回答”上，而不是“如何复现输入”。</w:t>
      </w:r>
    </w:p>
    <w:p w14:paraId="58C5632C">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2. 量化加载与 LoRA 注入</w:t>
      </w:r>
    </w:p>
    <w:p w14:paraId="605865EE">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模型加载阶段使用 AutoModelForCausalLM.from_pretrained() 结合 BitsAndBytesConfig 启用 4-bit 量化。量化配置采用：</w:t>
      </w:r>
    </w:p>
    <w:p w14:paraId="67E0A732">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load_in_4bit = True</w:t>
      </w:r>
    </w:p>
    <w:p w14:paraId="6FE1B625">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bnb_4bit_quant_type = nf4</w:t>
      </w:r>
    </w:p>
    <w:p w14:paraId="7CE5AD4B">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bnb_4bit_use_double_quant = True</w:t>
      </w:r>
    </w:p>
    <w:p w14:paraId="7B85F5A9">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 bnb_4bit_compute_dtype = bfloat16</w:t>
      </w:r>
    </w:p>
    <w:p w14:paraId="4E66BA27">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在量化模型加载后，通过 prepare_model_for_kbit_training() 做训练准备，再使用 LoraConfig 和 get_peft_model() 将 LoRA 适配器注入到注意力层的 q_proj、k_proj、v_proj 和 o_proj 模块中。该配置是参数高效微调中较常见也较有效的设置。</w:t>
      </w:r>
    </w:p>
    <w:p w14:paraId="17213580">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3. 训练过程</w:t>
      </w:r>
    </w:p>
    <w:p w14:paraId="0DC301DA">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r>
        <w:rPr>
          <w:rFonts w:hint="default"/>
          <w:lang w:val="en-US" w:eastAsia="zh-CN"/>
        </w:rPr>
        <w:t>本实验采用 Hugging Face Trainer 完成训练。由于本地设备只有 8GB 级显存，因此训练参数配置较保守，batch size 设置为 1，同时使用 gradient accumulation steps = 8 以稳定训练过程。训练结果表明，这种配置足以支撑当前 55 条样本的小规模领域适配任务。</w:t>
      </w:r>
    </w:p>
    <w:p w14:paraId="2BE22F4D">
      <w:pPr>
        <w:keepNext w:val="0"/>
        <w:keepLines w:val="0"/>
        <w:pageBreakBefore w:val="0"/>
        <w:kinsoku/>
        <w:wordWrap w:val="0"/>
        <w:overflowPunct/>
        <w:topLinePunct w:val="0"/>
        <w:autoSpaceDE/>
        <w:autoSpaceDN/>
        <w:bidi w:val="0"/>
        <w:adjustRightInd/>
        <w:snapToGrid/>
        <w:ind w:firstLine="420" w:firstLineChars="0"/>
        <w:rPr>
          <w:rFonts w:hint="default"/>
          <w:lang w:val="en-US" w:eastAsia="zh-CN"/>
        </w:rPr>
      </w:pPr>
    </w:p>
    <w:p w14:paraId="0EE2D796">
      <w:pPr>
        <w:keepNext w:val="0"/>
        <w:keepLines w:val="0"/>
        <w:pageBreakBefore w:val="0"/>
        <w:kinsoku/>
        <w:wordWrap w:val="0"/>
        <w:overflowPunct/>
        <w:topLinePunct w:val="0"/>
        <w:autoSpaceDE/>
        <w:autoSpaceDN/>
        <w:bidi w:val="0"/>
        <w:adjustRightInd/>
        <w:snapToGrid/>
        <w:rPr>
          <w:rFonts w:hint="default"/>
          <w:lang w:val="en-US" w:eastAsia="zh-CN"/>
        </w:rPr>
      </w:pPr>
    </w:p>
    <w:p w14:paraId="2A6348B0">
      <w:pPr>
        <w:pStyle w:val="12"/>
        <w:keepNext w:val="0"/>
        <w:keepLines w:val="0"/>
        <w:pageBreakBefore w:val="0"/>
        <w:kinsoku/>
        <w:wordWrap w:val="0"/>
        <w:overflowPunct/>
        <w:topLinePunct w:val="0"/>
        <w:autoSpaceDE/>
        <w:autoSpaceDN/>
        <w:bidi w:val="0"/>
        <w:adjustRightInd/>
        <w:snapToGrid/>
        <w:jc w:val="center"/>
        <w:rPr>
          <w:rFonts w:hint="default"/>
          <w:lang w:val="en-US" w:eastAsia="zh-CN"/>
        </w:rPr>
      </w:pPr>
      <w:r>
        <w:rPr>
          <w:rFonts w:hint="eastAsia"/>
          <w:lang w:val="en-US" w:eastAsia="zh-CN"/>
        </w:rPr>
        <w:t>五、实验结果与量化观测</w:t>
      </w:r>
    </w:p>
    <w:p w14:paraId="203D8D83">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1. 可训练参数规模统计</w:t>
      </w:r>
    </w:p>
    <w:p w14:paraId="216D3323">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训练脚本输出的参数统计结果如下：</w:t>
      </w:r>
    </w:p>
    <w:p w14:paraId="458D6BBA">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总参数量：4,363,064,832</w:t>
      </w:r>
    </w:p>
    <w:p w14:paraId="5086A018">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可训练参数量：10,092,544</w:t>
      </w:r>
    </w:p>
    <w:p w14:paraId="12F6E2DB">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可训练参数占比：0.2313%</w:t>
      </w:r>
    </w:p>
    <w:p w14:paraId="2F1E0B09">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p>
    <w:p w14:paraId="3403B0F6">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这一结果表明，LoRA 微调只更新了极少量的增量参数，而没有更新整个基座模型的全部参数。对课程实验而言，这一结果已经清楚体现了参数高效微调的核心价值。</w:t>
      </w:r>
    </w:p>
    <w:p w14:paraId="1086F6EC">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2. 训练过程统计</w:t>
      </w:r>
    </w:p>
    <w:p w14:paraId="27787E1B">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根据 outputs/qwen2.5-7b-edu-lora/metrics_summary.json，正式训练结果如下：</w:t>
      </w:r>
    </w:p>
    <w:p w14:paraId="706BB688">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train_runtime = 1797.255 秒</w:t>
      </w:r>
    </w:p>
    <w:p w14:paraId="7CC11650">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train_samples_per_second = 0.445</w:t>
      </w:r>
    </w:p>
    <w:p w14:paraId="4DF30F1F">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train_steps_per_second = 0.056</w:t>
      </w:r>
    </w:p>
    <w:p w14:paraId="55CCEBBF">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train_loss = 0.7523451262712478</w:t>
      </w:r>
    </w:p>
    <w:p w14:paraId="54F68E55">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epoch = 14.290909090909091</w:t>
      </w:r>
    </w:p>
    <w:p w14:paraId="0F841ABC">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max_gpu_allocated_mb = 8918.72</w:t>
      </w:r>
    </w:p>
    <w:p w14:paraId="2C051A44">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max_gpu_reserved_mb = 9338.0</w:t>
      </w:r>
    </w:p>
    <w:p w14:paraId="798EE791">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这些数据说明，在本地 8GB 级设备上完成一次 7B 模型的 QLoRA 微调已经相当接近资源边界，但训练流程最终仍然成功完成。</w:t>
      </w:r>
    </w:p>
    <w:p w14:paraId="63A4BD80">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3. 量化与非量化加载对比</w:t>
      </w:r>
    </w:p>
    <w:p w14:paraId="67A64731">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本实验分别完成了 4-bit 量化加载与非量化加载测试，结果文件如下：</w:t>
      </w:r>
    </w:p>
    <w:p w14:paraId="2465D8D2">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outputs/qwen7b_4bit_memory.json</w:t>
      </w:r>
    </w:p>
    <w:p w14:paraId="1829475E">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outputs/qwen7b_fp16_memory.json</w:t>
      </w:r>
    </w:p>
    <w:p w14:paraId="7907742A">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观测结果如下：</w:t>
      </w:r>
    </w:p>
    <w:p w14:paraId="6E5DBAA5">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- 4-bit 量化加载：max_reserved_mb = 5494.0 MB</w:t>
      </w:r>
    </w:p>
    <w:p w14:paraId="1AB953AC">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非量化加载：max_reserved_mb = 5044.0 MB</w:t>
      </w:r>
    </w:p>
    <w:p w14:paraId="2EE13B1C">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这一现象表面上与“量化一定更省显存”的直觉不完全一致。原因在于本实验的加载测试采用了 device_map="auto"，模型部分权重可能被自动分配到 CPU 或其他设备，因此 JSON 文件记录的是 GPU 侧局部占用，而不是模型总资源成本。换言之，该结果不能简单解读为“非量化比量化更省资源”，而应理解为自动设备映射改变了 GPU 侧观测值。</w:t>
      </w:r>
    </w:p>
    <w:p w14:paraId="3AD9D5FB">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从实验结论上看，QLoRA 的真正价值体现在：它使得 7B 级模型可以在本地消费级显卡上完成训练流程，这一点比单次 GPU 数值对比更有意义。</w:t>
      </w:r>
    </w:p>
    <w:p w14:paraId="5336E2A8">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4. Loss 曲线分析</w:t>
      </w:r>
    </w:p>
    <w:p w14:paraId="619EB4E7">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根据 trainer_state.json 中的日志记录，训练损失变化如下：</w:t>
      </w:r>
    </w:p>
    <w:p w14:paraId="7A9541FD">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Step 10：2.3878</w:t>
      </w:r>
    </w:p>
    <w:p w14:paraId="061D5208">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Step 20：1.6586</w:t>
      </w:r>
    </w:p>
    <w:p w14:paraId="596F9626">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Step 30：1.2286</w:t>
      </w:r>
    </w:p>
    <w:p w14:paraId="416C245F">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Step 40：0.9225</w:t>
      </w:r>
    </w:p>
    <w:p w14:paraId="113B6D4A">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Step 50：0.5792</w:t>
      </w:r>
    </w:p>
    <w:p w14:paraId="6CB1A385">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Step 60：0.3383</w:t>
      </w:r>
    </w:p>
    <w:p w14:paraId="45F9CF20">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Step 70：0.1853</w:t>
      </w:r>
    </w:p>
    <w:p w14:paraId="5950A1CB">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Step 80：0.0979</w:t>
      </w:r>
    </w:p>
    <w:p w14:paraId="15826F7E">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Step 90：0.0654</w:t>
      </w:r>
    </w:p>
    <w:p w14:paraId="45868140">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 Step 100：0.0598</w:t>
      </w:r>
    </w:p>
    <w:p w14:paraId="7A0795F8">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同时，loss 曲线图</w:t>
      </w:r>
      <w:r>
        <w:rPr>
          <w:rFonts w:hint="eastAsia"/>
          <w:lang w:val="en-US" w:eastAsia="zh-CN"/>
        </w:rPr>
        <w:t>如下</w:t>
      </w:r>
      <w:r>
        <w:rPr>
          <w:rFonts w:hint="default"/>
          <w:lang w:val="en-US" w:eastAsia="zh-CN"/>
        </w:rPr>
        <w:t>：</w:t>
      </w:r>
    </w:p>
    <w:p w14:paraId="09EEE7F7">
      <w:pPr>
        <w:keepNext w:val="0"/>
        <w:keepLines w:val="0"/>
        <w:pageBreakBefore w:val="0"/>
        <w:kinsoku/>
        <w:wordWrap w:val="0"/>
        <w:overflowPunct/>
        <w:topLinePunct w:val="0"/>
        <w:autoSpaceDE/>
        <w:autoSpaceDN/>
        <w:bidi w:val="0"/>
        <w:adjustRightInd/>
        <w:snapToGrid/>
        <w:jc w:val="both"/>
        <w:rPr>
          <w:rFonts w:hint="default"/>
          <w:lang w:val="en-US" w:eastAsia="zh-CN"/>
        </w:rPr>
      </w:pPr>
      <w:r>
        <w:rPr>
          <w:rFonts w:hint="default"/>
          <w:lang w:val="en-US" w:eastAsia="zh-CN"/>
        </w:rPr>
        <w:drawing>
          <wp:inline distT="0" distB="0" distL="114300" distR="114300">
            <wp:extent cx="5274310" cy="3296285"/>
            <wp:effectExtent l="0" t="0" r="8890" b="5715"/>
            <wp:docPr id="1" name="图片 1" descr="loss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ss_curve"/>
                    <pic:cNvPicPr>
                      <a:picLocks noChangeAspect="1"/>
                    </pic:cNvPicPr>
                  </pic:nvPicPr>
                  <pic:blipFill>
                    <a:blip r:embed="rId4"/>
                    <a:stretch>
                      <a:fillRect/>
                    </a:stretch>
                  </pic:blipFill>
                  <pic:spPr>
                    <a:xfrm>
                      <a:off x="0" y="0"/>
                      <a:ext cx="5274310" cy="3296285"/>
                    </a:xfrm>
                    <a:prstGeom prst="rect">
                      <a:avLst/>
                    </a:prstGeom>
                  </pic:spPr>
                </pic:pic>
              </a:graphicData>
            </a:graphic>
          </wp:inline>
        </w:drawing>
      </w:r>
    </w:p>
    <w:p w14:paraId="48E80930">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整体来看，Loss 呈现出稳定下降趋势，说明模型成功学习到了当前数据集中的领域表达模式。由于数据规模较小，模型在 100 步内就快速进入较低损失区域，这也意味着继续增加步数存在更高的过拟合风险。</w:t>
      </w:r>
    </w:p>
    <w:p w14:paraId="4B672352">
      <w:pPr>
        <w:pStyle w:val="12"/>
        <w:keepNext w:val="0"/>
        <w:keepLines w:val="0"/>
        <w:pageBreakBefore w:val="0"/>
        <w:kinsoku/>
        <w:wordWrap w:val="0"/>
        <w:overflowPunct/>
        <w:topLinePunct w:val="0"/>
        <w:autoSpaceDE/>
        <w:autoSpaceDN/>
        <w:bidi w:val="0"/>
        <w:adjustRightInd/>
        <w:snapToGrid/>
        <w:jc w:val="center"/>
        <w:rPr>
          <w:rFonts w:hint="default"/>
          <w:lang w:val="en-US" w:eastAsia="zh-CN"/>
        </w:rPr>
      </w:pPr>
      <w:r>
        <w:rPr>
          <w:rFonts w:hint="eastAsia"/>
          <w:lang w:val="en-US" w:eastAsia="zh-CN"/>
        </w:rPr>
        <w:t>六、结果分析与讨论</w:t>
      </w:r>
    </w:p>
    <w:p w14:paraId="75B66ACC">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1. LoRA 的有效性</w:t>
      </w:r>
    </w:p>
    <w:p w14:paraId="4EF0F503">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本实验最直接的结果是：在只训练 0.2313% 参数的情况下，模型仍然能够完成明确的领域适配。这说明 LoRA 不只是“节省资源”的技巧，更是一个在小样本领域任务中切实有效的参数高效学习方法。</w:t>
      </w:r>
    </w:p>
    <w:p w14:paraId="284B6B23">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2. 小样本训练的特点</w:t>
      </w:r>
    </w:p>
    <w:p w14:paraId="6F87CAB0">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当前正式训练集仅有 55 条样本，因此模型很容易较快学习到特定回答模式，如分点式结构、流程说明、制度边界提示等。这种训练方式非常适合教学实验和方法验证，但并不意味着模型已经具备强泛化能力。更合理的表述应当是：模型已经完成了初步的领域风格适配，而不是形成了成熟的行业级系统。</w:t>
      </w:r>
    </w:p>
    <w:p w14:paraId="78D8D6AE">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3. 关于本地展示性能受限的说明</w:t>
      </w:r>
    </w:p>
    <w:p w14:paraId="59BE097A">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实验后期已经完成了权重合并，并尝试使用 Gradio 启动本地 Web 展示。但在本地 8GB 显存环境下，7B 模型推理延迟明显，且云端环境又受到 Hugging Face 访问链路限制，因此最终未形成稳定可复现的在线网页展示结果。该问题主要影响的是“最终演示体验”，并不影响训练、量化对比、Loss 分析与权重合并等核心实验步骤的完成度。</w:t>
      </w:r>
    </w:p>
    <w:p w14:paraId="62CCA221">
      <w:pPr>
        <w:keepNext w:val="0"/>
        <w:keepLines w:val="0"/>
        <w:pageBreakBefore w:val="0"/>
        <w:kinsoku/>
        <w:wordWrap w:val="0"/>
        <w:overflowPunct/>
        <w:topLinePunct w:val="0"/>
        <w:autoSpaceDE/>
        <w:autoSpaceDN/>
        <w:bidi w:val="0"/>
        <w:adjustRightInd/>
        <w:snapToGrid/>
        <w:ind w:firstLine="420" w:firstLineChars="0"/>
        <w:jc w:val="both"/>
        <w:rPr>
          <w:rFonts w:hint="eastAsia"/>
          <w:lang w:val="en-US" w:eastAsia="zh-CN"/>
        </w:rPr>
      </w:pPr>
      <w:r>
        <w:rPr>
          <w:rFonts w:hint="eastAsia"/>
          <w:lang w:val="en-US" w:eastAsia="zh-CN"/>
        </w:rPr>
        <w:t>4. LoRA Rank 对效果与资源的影响分析</w:t>
      </w:r>
    </w:p>
    <w:p w14:paraId="71D7DDFF">
      <w:pPr>
        <w:keepNext w:val="0"/>
        <w:keepLines w:val="0"/>
        <w:pageBreakBefore w:val="0"/>
        <w:kinsoku/>
        <w:wordWrap w:val="0"/>
        <w:overflowPunct/>
        <w:topLinePunct w:val="0"/>
        <w:autoSpaceDE/>
        <w:autoSpaceDN/>
        <w:bidi w:val="0"/>
        <w:adjustRightInd/>
        <w:snapToGrid/>
        <w:ind w:firstLine="420" w:firstLineChars="0"/>
        <w:jc w:val="both"/>
        <w:rPr>
          <w:rFonts w:hint="eastAsia"/>
          <w:lang w:val="en-US" w:eastAsia="zh-CN"/>
        </w:rPr>
      </w:pPr>
      <w:r>
        <w:rPr>
          <w:rFonts w:hint="eastAsia"/>
          <w:lang w:val="en-US" w:eastAsia="zh-CN"/>
        </w:rPr>
        <w:t>LoRA Rank 决定了低秩增量矩阵的表达能力，是影响微调效果与资源开销的重要超参数。一般来说：</w:t>
      </w:r>
    </w:p>
    <w:p w14:paraId="1DF5EBED">
      <w:pPr>
        <w:keepNext w:val="0"/>
        <w:keepLines w:val="0"/>
        <w:pageBreakBefore w:val="0"/>
        <w:kinsoku/>
        <w:wordWrap w:val="0"/>
        <w:overflowPunct/>
        <w:topLinePunct w:val="0"/>
        <w:autoSpaceDE/>
        <w:autoSpaceDN/>
        <w:bidi w:val="0"/>
        <w:adjustRightInd/>
        <w:snapToGrid/>
        <w:ind w:firstLine="420" w:firstLineChars="0"/>
        <w:jc w:val="both"/>
        <w:rPr>
          <w:rFonts w:hint="eastAsia"/>
          <w:lang w:val="en-US" w:eastAsia="zh-CN"/>
        </w:rPr>
      </w:pPr>
      <w:r>
        <w:rPr>
          <w:rFonts w:hint="eastAsia"/>
          <w:lang w:val="en-US" w:eastAsia="zh-CN"/>
        </w:rPr>
        <w:t>- Rank 较小时，可训练参数更少、显存占用更低、训练速度更快，但表达能力有限。</w:t>
      </w:r>
    </w:p>
    <w:p w14:paraId="1310C667">
      <w:pPr>
        <w:keepNext w:val="0"/>
        <w:keepLines w:val="0"/>
        <w:pageBreakBefore w:val="0"/>
        <w:kinsoku/>
        <w:wordWrap w:val="0"/>
        <w:overflowPunct/>
        <w:topLinePunct w:val="0"/>
        <w:autoSpaceDE/>
        <w:autoSpaceDN/>
        <w:bidi w:val="0"/>
        <w:adjustRightInd/>
        <w:snapToGrid/>
        <w:ind w:firstLine="420" w:firstLineChars="0"/>
        <w:jc w:val="both"/>
        <w:rPr>
          <w:rFonts w:hint="eastAsia"/>
          <w:lang w:val="en-US" w:eastAsia="zh-CN"/>
        </w:rPr>
      </w:pPr>
      <w:r>
        <w:rPr>
          <w:rFonts w:hint="eastAsia"/>
          <w:lang w:val="en-US" w:eastAsia="zh-CN"/>
        </w:rPr>
        <w:t>- Rank 增大时，模型适配能力更强，但显存和参数开销也会增加，并且在小样本场景下更容易过拟合。</w:t>
      </w:r>
    </w:p>
    <w:p w14:paraId="0B49AAFB">
      <w:pPr>
        <w:keepNext w:val="0"/>
        <w:keepLines w:val="0"/>
        <w:pageBreakBefore w:val="0"/>
        <w:kinsoku/>
        <w:wordWrap w:val="0"/>
        <w:overflowPunct/>
        <w:topLinePunct w:val="0"/>
        <w:autoSpaceDE/>
        <w:autoSpaceDN/>
        <w:bidi w:val="0"/>
        <w:adjustRightInd/>
        <w:snapToGrid/>
        <w:ind w:firstLine="420" w:firstLineChars="0"/>
        <w:jc w:val="both"/>
        <w:rPr>
          <w:rFonts w:hint="eastAsia"/>
          <w:lang w:val="en-US" w:eastAsia="zh-CN"/>
        </w:rPr>
      </w:pPr>
    </w:p>
    <w:p w14:paraId="14713058">
      <w:pPr>
        <w:keepNext w:val="0"/>
        <w:keepLines w:val="0"/>
        <w:pageBreakBefore w:val="0"/>
        <w:kinsoku/>
        <w:wordWrap w:val="0"/>
        <w:overflowPunct/>
        <w:topLinePunct w:val="0"/>
        <w:autoSpaceDE/>
        <w:autoSpaceDN/>
        <w:bidi w:val="0"/>
        <w:adjustRightInd/>
        <w:snapToGrid/>
        <w:ind w:firstLine="420" w:firstLineChars="0"/>
        <w:jc w:val="both"/>
        <w:rPr>
          <w:rFonts w:hint="eastAsia"/>
          <w:lang w:val="en-US" w:eastAsia="zh-CN"/>
        </w:rPr>
      </w:pPr>
      <w:r>
        <w:rPr>
          <w:rFonts w:hint="eastAsia"/>
          <w:lang w:val="en-US" w:eastAsia="zh-CN"/>
        </w:rPr>
        <w:t>本实验选择 r = 16，属于在资源成本和适配效果之间的折中配置。对仅有 55 条样本的小规模数据集而言，r = 16 已经能够带来明显的 Loss 下降和较稳定的领域风格学习，因此没有必要继续盲目增大 Rank。</w:t>
      </w:r>
    </w:p>
    <w:p w14:paraId="22C79359">
      <w:pPr>
        <w:keepNext w:val="0"/>
        <w:keepLines w:val="0"/>
        <w:pageBreakBefore w:val="0"/>
        <w:kinsoku/>
        <w:wordWrap w:val="0"/>
        <w:overflowPunct/>
        <w:topLinePunct w:val="0"/>
        <w:autoSpaceDE/>
        <w:autoSpaceDN/>
        <w:bidi w:val="0"/>
        <w:adjustRightInd/>
        <w:snapToGrid/>
        <w:ind w:firstLine="420" w:firstLineChars="0"/>
        <w:jc w:val="both"/>
        <w:rPr>
          <w:rFonts w:hint="eastAsia"/>
          <w:lang w:val="en-US" w:eastAsia="zh-CN"/>
        </w:rPr>
      </w:pPr>
      <w:r>
        <w:rPr>
          <w:rFonts w:hint="eastAsia"/>
          <w:lang w:val="en-US" w:eastAsia="zh-CN"/>
        </w:rPr>
        <w:t>5.Case Study 案例对比</w:t>
      </w:r>
    </w:p>
    <w:p w14:paraId="7A4154DE">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案例一：缓考安排确认</w:t>
      </w:r>
    </w:p>
    <w:p w14:paraId="44411F45">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问题：学生在缓考通过后，是否还需要单独在系统中确认考试安排？</w:t>
      </w:r>
    </w:p>
    <w:p w14:paraId="3F8A87D7">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Base Model 回答：通常情况下，学生在缓考通过后，需要在教务系统中进行相应的操作以确认新的考试安排。具体步骤和要求可能因学校而异，但一般包括查看通知、确认考试时间与地点等。</w:t>
      </w:r>
    </w:p>
    <w:p w14:paraId="01084196">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LoRA-Tuned Model 回答：这要看学校管理方式。部分学校会自动更新缓考后的考试安排，但有些学校仍需学生在系统中再次确认或补选。稳妥做法是咨询教务员，了解本校流程。</w:t>
      </w:r>
    </w:p>
    <w:p w14:paraId="06176CCE">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分析：Base Model 的回答较通用，倾向于给出标准化步骤；LoRA-Tuned Model 的回答更贴近校内教务场景，强调不同学校流程差异、系统确认和咨询教务员，回答更谨慎。</w:t>
      </w:r>
    </w:p>
    <w:p w14:paraId="37E62A1F">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案例二：危险化学废液处理</w:t>
      </w:r>
    </w:p>
    <w:p w14:paraId="4E937034">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问题：实验结束后，危险化学废液一般应如何处理？</w:t>
      </w:r>
    </w:p>
    <w:p w14:paraId="1933E6E1">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Base Model 回答：实验结束后，危险化学废液应进行分类收集、标签标识和安全储存，例如区分酸性、碱性、有机溶剂、重金属等不同类型。</w:t>
      </w:r>
    </w:p>
    <w:p w14:paraId="0E652D1C">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LoRA-Tuned Model 回答：危险化学废液通常不应直接倒入下水道或普通垃圾桶。正确做法是：分类收集到专用废液瓶中，标记废液成分、浓度和产生时间，交由学校危废管理人员或专业机构统一处置，并遵守环保法规和应急预案。</w:t>
      </w:r>
    </w:p>
    <w:p w14:paraId="6C1B87D7">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分析：两个模型都能给出正确方向，但 LoRA-Tuned Model 更明确指出禁止直接排放、专用废液瓶、学校危废管理人员和专业机构统一处置，和实验室管理规范更一致。</w:t>
      </w:r>
    </w:p>
    <w:p w14:paraId="30A1E408">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案例三：转专业申请限制</w:t>
      </w:r>
    </w:p>
    <w:p w14:paraId="223611E4">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问题：如果第一学期有一门课程不及格，是否一定不能申请转专业？</w:t>
      </w:r>
    </w:p>
    <w:p w14:paraId="563CCD9F">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Base Model 回答：不一定。能否申请转专业取决于学校的具体规定和政策。一些学校可能允许学生在第一学期有一门课程不及格的情况下申请转专业，但通常会要求整体成绩达到一定标准，并需要提供合理的转专业理由。</w:t>
      </w:r>
    </w:p>
    <w:p w14:paraId="327F647D">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LoRA-Tuned Model 回答：是否能申请转专业要看学校转专业的政策。部分学校允许补修不及格课程后申请，但部分学校对不及格课程数量有限制。最好查看本校教务处规定或咨询学院教务员。</w:t>
      </w:r>
    </w:p>
    <w:p w14:paraId="38245547">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分析：Base Model 回答合理但偏泛化；LoRA-Tuned Model 更突出教务政策约束、补修、不及格课程数量限制和咨询学院教务员，体现了训练数据中的高校事务表达风格。</w:t>
      </w:r>
      <w:bookmarkStart w:id="0" w:name="_GoBack"/>
      <w:bookmarkEnd w:id="0"/>
    </w:p>
    <w:p w14:paraId="49BE35C6">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从以上三组案例可以看出，Base Model 已具备较强的通用问答能力，但回答往往偏模板化，容易停留在一般性建议层面。LoRA-Tuned Model 的回答更短、更贴近高校教务和实验室管理语境，能够主动加入“教务员”“本校规定”“危废管理人员”“统一处置”等领域相关表达。虽然这种变化不代表模型已经掌握某一所学校的正式制度，但说明 LoRA 微调确实增强了模型在目标垂直领域中的表达一致性和场景适配能力。</w:t>
      </w:r>
    </w:p>
    <w:p w14:paraId="503172C3">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p>
    <w:p w14:paraId="02927770">
      <w:pPr>
        <w:pStyle w:val="11"/>
        <w:bidi w:val="0"/>
        <w:rPr>
          <w:rFonts w:hint="eastAsia"/>
          <w:lang w:val="en-US" w:eastAsia="zh-CN"/>
        </w:rPr>
      </w:pPr>
      <w:r>
        <w:rPr>
          <w:rFonts w:hint="eastAsia"/>
          <w:lang w:val="en-US" w:eastAsia="zh-CN"/>
        </w:rPr>
        <w:t>七、结论</w:t>
      </w:r>
    </w:p>
    <w:p w14:paraId="4543BC83">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本实验基于 Qwen/Qwen2.5-7B-Instruct，完成了一个面向“高校教务与实验室管理”垂直领域的 QLoRA 微调实践。实验结果表明，在消费级 GPU 条件下，结合 4-bit 量化与 LoRA 技术，可以以较低成本完成 7B 级模型的领域适配训练。</w:t>
      </w:r>
    </w:p>
    <w:p w14:paraId="2A1332B5">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实验中已完成以下核心内容：</w:t>
      </w:r>
    </w:p>
    <w:p w14:paraId="2EC4F2F4">
      <w:pPr>
        <w:keepNext w:val="0"/>
        <w:keepLines w:val="0"/>
        <w:pageBreakBefore w:val="0"/>
        <w:kinsoku/>
        <w:wordWrap w:val="0"/>
        <w:overflowPunct/>
        <w:topLinePunct w:val="0"/>
        <w:autoSpaceDE/>
        <w:autoSpaceDN/>
        <w:bidi w:val="0"/>
        <w:adjustRightInd/>
        <w:snapToGrid/>
        <w:jc w:val="both"/>
        <w:rPr>
          <w:rFonts w:hint="default"/>
          <w:lang w:val="en-US" w:eastAsia="zh-CN"/>
        </w:rPr>
      </w:pPr>
      <w:r>
        <w:rPr>
          <w:rFonts w:hint="default"/>
          <w:lang w:val="en-US" w:eastAsia="zh-CN"/>
        </w:rPr>
        <w:t>1. 构建高校教务与实验室管理领域指令微调数据集。</w:t>
      </w:r>
    </w:p>
    <w:p w14:paraId="71C0D240">
      <w:pPr>
        <w:keepNext w:val="0"/>
        <w:keepLines w:val="0"/>
        <w:pageBreakBefore w:val="0"/>
        <w:kinsoku/>
        <w:wordWrap w:val="0"/>
        <w:overflowPunct/>
        <w:topLinePunct w:val="0"/>
        <w:autoSpaceDE/>
        <w:autoSpaceDN/>
        <w:bidi w:val="0"/>
        <w:adjustRightInd/>
        <w:snapToGrid/>
        <w:jc w:val="both"/>
        <w:rPr>
          <w:rFonts w:hint="default"/>
          <w:lang w:val="en-US" w:eastAsia="zh-CN"/>
        </w:rPr>
      </w:pPr>
      <w:r>
        <w:rPr>
          <w:rFonts w:hint="default"/>
          <w:lang w:val="en-US" w:eastAsia="zh-CN"/>
        </w:rPr>
        <w:t>2. 使用 QLoRA 完成 7B 模型微调。</w:t>
      </w:r>
    </w:p>
    <w:p w14:paraId="125A8F97">
      <w:pPr>
        <w:keepNext w:val="0"/>
        <w:keepLines w:val="0"/>
        <w:pageBreakBefore w:val="0"/>
        <w:kinsoku/>
        <w:wordWrap w:val="0"/>
        <w:overflowPunct/>
        <w:topLinePunct w:val="0"/>
        <w:autoSpaceDE/>
        <w:autoSpaceDN/>
        <w:bidi w:val="0"/>
        <w:adjustRightInd/>
        <w:snapToGrid/>
        <w:jc w:val="both"/>
        <w:rPr>
          <w:rFonts w:hint="default"/>
          <w:lang w:val="en-US" w:eastAsia="zh-CN"/>
        </w:rPr>
      </w:pPr>
      <w:r>
        <w:rPr>
          <w:rFonts w:hint="default"/>
          <w:lang w:val="en-US" w:eastAsia="zh-CN"/>
        </w:rPr>
        <w:t>3. 记录可训练参数占比、训练时间、显存观测与 Loss 变化。</w:t>
      </w:r>
    </w:p>
    <w:p w14:paraId="050F0A33">
      <w:pPr>
        <w:keepNext w:val="0"/>
        <w:keepLines w:val="0"/>
        <w:pageBreakBefore w:val="0"/>
        <w:kinsoku/>
        <w:wordWrap w:val="0"/>
        <w:overflowPunct/>
        <w:topLinePunct w:val="0"/>
        <w:autoSpaceDE/>
        <w:autoSpaceDN/>
        <w:bidi w:val="0"/>
        <w:adjustRightInd/>
        <w:snapToGrid/>
        <w:jc w:val="both"/>
        <w:rPr>
          <w:rFonts w:hint="default"/>
          <w:lang w:val="en-US" w:eastAsia="zh-CN"/>
        </w:rPr>
      </w:pPr>
      <w:r>
        <w:rPr>
          <w:rFonts w:hint="default"/>
          <w:lang w:val="en-US" w:eastAsia="zh-CN"/>
        </w:rPr>
        <w:t>4. 完成量化与非量化加载对比。</w:t>
      </w:r>
    </w:p>
    <w:p w14:paraId="6D19762F">
      <w:pPr>
        <w:keepNext w:val="0"/>
        <w:keepLines w:val="0"/>
        <w:pageBreakBefore w:val="0"/>
        <w:kinsoku/>
        <w:wordWrap w:val="0"/>
        <w:overflowPunct/>
        <w:topLinePunct w:val="0"/>
        <w:autoSpaceDE/>
        <w:autoSpaceDN/>
        <w:bidi w:val="0"/>
        <w:adjustRightInd/>
        <w:snapToGrid/>
        <w:jc w:val="both"/>
        <w:rPr>
          <w:rFonts w:hint="default"/>
          <w:lang w:val="en-US" w:eastAsia="zh-CN"/>
        </w:rPr>
      </w:pPr>
      <w:r>
        <w:rPr>
          <w:rFonts w:hint="default"/>
          <w:lang w:val="en-US" w:eastAsia="zh-CN"/>
        </w:rPr>
        <w:t>5. 完成 LoRA Adapter 保存与合并模型导出。</w:t>
      </w:r>
    </w:p>
    <w:p w14:paraId="2022C74D">
      <w:pPr>
        <w:keepNext w:val="0"/>
        <w:keepLines w:val="0"/>
        <w:pageBreakBefore w:val="0"/>
        <w:kinsoku/>
        <w:wordWrap w:val="0"/>
        <w:overflowPunct/>
        <w:topLinePunct w:val="0"/>
        <w:autoSpaceDE/>
        <w:autoSpaceDN/>
        <w:bidi w:val="0"/>
        <w:adjustRightInd/>
        <w:snapToGrid/>
        <w:ind w:firstLine="420" w:firstLineChars="0"/>
        <w:jc w:val="both"/>
        <w:rPr>
          <w:rFonts w:hint="default"/>
          <w:lang w:val="en-US" w:eastAsia="zh-CN"/>
        </w:rPr>
      </w:pPr>
      <w:r>
        <w:rPr>
          <w:rFonts w:hint="default"/>
          <w:lang w:val="en-US" w:eastAsia="zh-CN"/>
        </w:rPr>
        <w:t>因此，从实验手册的核心要求来看，本实验的主体内容已经完成。当前尚未完全补齐的主要是最终在线展示与 Base vs LoRA-Tuned 案例对比结果，而这部分更偏向展示层和补充分析层，不影响本次实验主体流程已经形成完整闭环。</w:t>
      </w:r>
    </w:p>
    <w:p w14:paraId="16E78846">
      <w:pPr>
        <w:keepNext w:val="0"/>
        <w:keepLines w:val="0"/>
        <w:pageBreakBefore w:val="0"/>
        <w:kinsoku/>
        <w:wordWrap w:val="0"/>
        <w:overflowPunct/>
        <w:topLinePunct w:val="0"/>
        <w:autoSpaceDE/>
        <w:autoSpaceDN/>
        <w:bidi w:val="0"/>
        <w:adjustRightInd/>
        <w:snapToGrid/>
        <w:jc w:val="both"/>
        <w:rPr>
          <w:rFonts w:hint="default"/>
          <w:lang w:val="en-US" w:eastAsia="zh-CN"/>
        </w:rPr>
      </w:pPr>
    </w:p>
    <w:p w14:paraId="0621F903">
      <w:pPr>
        <w:keepNext w:val="0"/>
        <w:keepLines w:val="0"/>
        <w:pageBreakBefore w:val="0"/>
        <w:kinsoku/>
        <w:wordWrap w:val="0"/>
        <w:overflowPunct/>
        <w:topLinePunct w:val="0"/>
        <w:autoSpaceDE/>
        <w:autoSpaceDN/>
        <w:bidi w:val="0"/>
        <w:adjustRightInd/>
        <w:snapToGrid/>
        <w:jc w:val="both"/>
        <w:rPr>
          <w:rFonts w:hint="default"/>
          <w:lang w:val="en-US" w:eastAsia="zh-CN"/>
        </w:rPr>
      </w:pPr>
    </w:p>
    <w:p w14:paraId="3889EF0C">
      <w:pPr>
        <w:keepNext w:val="0"/>
        <w:keepLines w:val="0"/>
        <w:pageBreakBefore w:val="0"/>
        <w:kinsoku/>
        <w:wordWrap w:val="0"/>
        <w:overflowPunct/>
        <w:topLinePunct w:val="0"/>
        <w:autoSpaceDE/>
        <w:autoSpaceDN/>
        <w:bidi w:val="0"/>
        <w:adjustRightInd/>
        <w:snapToGrid/>
        <w:jc w:val="both"/>
        <w:rPr>
          <w:rFonts w:hint="default"/>
          <w:lang w:val="en-US" w:eastAsia="zh-CN"/>
        </w:rPr>
      </w:pPr>
    </w:p>
    <w:p w14:paraId="5767824C">
      <w:pPr>
        <w:keepNext w:val="0"/>
        <w:keepLines w:val="0"/>
        <w:pageBreakBefore w:val="0"/>
        <w:kinsoku/>
        <w:wordWrap w:val="0"/>
        <w:overflowPunct/>
        <w:topLinePunct w:val="0"/>
        <w:autoSpaceDE/>
        <w:autoSpaceDN/>
        <w:bidi w:val="0"/>
        <w:adjustRightInd/>
        <w:snapToGrid/>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7">
      <wne:fci wne:fciName="Fon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D94B99"/>
    <w:rsid w:val="1CBB24BB"/>
    <w:rsid w:val="2072456D"/>
    <w:rsid w:val="21D818E3"/>
    <w:rsid w:val="2B2B0B8D"/>
    <w:rsid w:val="2C403D15"/>
    <w:rsid w:val="326C2CF5"/>
    <w:rsid w:val="33950C4A"/>
    <w:rsid w:val="357C036D"/>
    <w:rsid w:val="35AF5AAB"/>
    <w:rsid w:val="43FE1866"/>
    <w:rsid w:val="55F80399"/>
    <w:rsid w:val="5A294BD7"/>
    <w:rsid w:val="6631106F"/>
    <w:rsid w:val="753A2574"/>
    <w:rsid w:val="7A1207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keepNext/>
      <w:keepLines/>
      <w:spacing w:beforeLines="0" w:beforeAutospacing="0" w:afterLines="0" w:afterAutospacing="0" w:line="320" w:lineRule="exact"/>
      <w:outlineLvl w:val="2"/>
    </w:pPr>
    <w:rPr>
      <w:rFonts w:eastAsia="宋体" w:asciiTheme="minorAscii" w:hAnsiTheme="minorAscii"/>
      <w:b/>
      <w:sz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HTML Code"/>
    <w:basedOn w:val="9"/>
    <w:qFormat/>
    <w:uiPriority w:val="0"/>
    <w:rPr>
      <w:rFonts w:ascii="Courier New" w:hAnsi="Courier New"/>
      <w:sz w:val="20"/>
    </w:rPr>
  </w:style>
  <w:style w:type="paragraph" w:customStyle="1" w:styleId="11">
    <w:name w:val="一级标题"/>
    <w:basedOn w:val="1"/>
    <w:qFormat/>
    <w:uiPriority w:val="0"/>
    <w:pPr>
      <w:spacing w:line="320" w:lineRule="exact"/>
      <w:ind w:firstLine="420"/>
      <w:jc w:val="center"/>
    </w:pPr>
    <w:rPr>
      <w:rFonts w:hint="eastAsia" w:ascii="宋体" w:hAnsi="宋体" w:eastAsia="宋体" w:cs="宋体"/>
      <w:b/>
      <w:sz w:val="28"/>
    </w:rPr>
  </w:style>
  <w:style w:type="paragraph" w:customStyle="1" w:styleId="12">
    <w:name w:val="二级标题"/>
    <w:basedOn w:val="1"/>
    <w:qFormat/>
    <w:uiPriority w:val="0"/>
    <w:pPr>
      <w:spacing w:line="320" w:lineRule="exact"/>
      <w:ind w:firstLine="420"/>
      <w:jc w:val="left"/>
    </w:pPr>
    <w:rPr>
      <w:rFonts w:hint="eastAsia" w:ascii="宋体" w:hAnsi="宋体" w:eastAsia="宋体" w:cs="宋体"/>
      <w:b/>
      <w:sz w:val="28"/>
    </w:rPr>
  </w:style>
  <w:style w:type="paragraph" w:customStyle="1" w:styleId="13">
    <w:name w:val="三级标题"/>
    <w:basedOn w:val="1"/>
    <w:qFormat/>
    <w:uiPriority w:val="0"/>
    <w:pPr>
      <w:spacing w:line="320" w:lineRule="exact"/>
      <w:ind w:left="420" w:firstLine="420"/>
      <w:jc w:val="left"/>
    </w:pPr>
    <w:rPr>
      <w:rFonts w:hint="eastAsia" w:ascii="宋体" w:hAnsi="宋体" w:eastAsia="宋体" w:cs="宋体"/>
      <w:b/>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3330</Words>
  <Characters>5393</Characters>
  <Lines>0</Lines>
  <Paragraphs>0</Paragraphs>
  <TotalTime>182</TotalTime>
  <ScaleCrop>false</ScaleCrop>
  <LinksUpToDate>false</LinksUpToDate>
  <CharactersWithSpaces>5755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2024-03-25T01:35:00Z</dcterms:created>
  <dc:creator>DanXi</dc:creator>
  <cp:lastModifiedBy>胆小菇</cp:lastModifiedBy>
  <dcterms:modified xsi:type="dcterms:W3CDTF">2026-04-24T10:30:59Z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403D8B8E5FEC4E8797EB44D462D992E9_12</vt:lpwstr>
  </property>
  <property fmtid="{D5CDD505-2E9C-101B-9397-08002B2CF9AE}" pid="4" name="KSOTemplateDocerSaveRecord">
    <vt:lpwstr>eyJoZGlkIjoiOWFkZDdiMTA0ZTdlMDA0NDk5Zjc1MzM1MTVlMmVlMjkiLCJ1c2VySWQiOiIxNTExMzUzNTI2In0=</vt:lpwstr>
  </property>
</Properties>
</file>