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DOI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10. 13227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j. hjkx. 2007. 03. 031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</w:rPr>
        <w:t>卷第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期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年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月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环 境 科 学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0"/>
        <w:jc w:val="center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307" w:left="998" w:right="4797" w:bottom="427" w:header="0" w:footer="3" w:gutter="0"/>
          <w:pgNumType w:start="1"/>
          <w:cols w:num="2" w:space="720" w:equalWidth="0">
            <w:col w:w="2880" w:space="953"/>
            <w:col w:w="2611"/>
          </w:cols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</w:t>
      </w:r>
    </w:p>
    <w:p>
      <w:pPr>
        <w:widowControl w:val="0"/>
        <w:spacing w:before="52" w:after="5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307" w:left="0" w:right="0" w:bottom="427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both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降解多环芳桂的菌株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 xml:space="preserve"> sp. He4</w:t>
      </w:r>
      <w:r>
        <w:rPr>
          <w:color w:val="000000"/>
          <w:spacing w:val="0"/>
          <w:w w:val="100"/>
          <w:position w:val="0"/>
          <w:shd w:val="clear" w:color="auto" w:fill="auto"/>
        </w:rPr>
        <w:t>的分离鉴定及 其在菲污染土壤修复过程中的动态变化</w:t>
      </w:r>
      <w:bookmarkEnd w:id="0"/>
      <w:bookmarkEnd w:id="1"/>
    </w:p>
    <w:p>
      <w:pPr>
        <w:pStyle w:val="Style2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刘磊"，李习武刘双江刘志培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footnoteReference w:id="2"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footnoteReference w:id="3"/>
      </w:r>
      <w:bookmarkEnd w:id="2"/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(1.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中国科学院微生物研究所，北京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100080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中国科学院研究生院，北京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100049)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摘要:从石油污染土壤中分离得到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株降解石油炷类污染物的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菌株.该菌株能够以正十六烷、苯、蔡、蔥、菲和荒作为唯一 的碳源生长.经过对其形态特征、生理生化、以及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基因序列分析，该菌株初步鉴定为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通过分析其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基因序列，设计引物并构建了竞争性模板.通过竞争性定量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PCR(quantitative conpetitive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PCR)</w:t>
      </w:r>
      <w:r>
        <w:rPr>
          <w:color w:val="000000"/>
          <w:spacing w:val="0"/>
          <w:w w:val="100"/>
          <w:position w:val="0"/>
          <w:shd w:val="clear" w:color="auto" w:fill="auto"/>
        </w:rPr>
        <w:t>分析了该菌株在含有菲的污 染土壤中数量的变化.结果表明，部分菌株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在土壤中转变为不可培养状态，采用传统的稀释涂布菌落计数法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(CFU)</w:t>
      </w:r>
      <w:r>
        <w:rPr>
          <w:color w:val="000000"/>
          <w:spacing w:val="0"/>
          <w:w w:val="100"/>
          <w:position w:val="0"/>
          <w:shd w:val="clear" w:color="auto" w:fill="auto"/>
        </w:rPr>
        <w:t>无法对 其进行定量,而通过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能够较准确地测定土壤中微生物的动态变化.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关键词：多环芳炷;生物降解;生物修复;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QC-PCR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中图分类号: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X172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文献标识码: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文章编号: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0250-3301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(2007)03-0617-06</w:t>
      </w:r>
    </w:p>
    <w:p>
      <w:pPr>
        <w:pStyle w:val="Style31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Isolation and Identification of a PAHs-Degrading Strain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He4 and Its Dynamics During Bioremediation of Phenanthrene Polluted Soil</w:t>
      </w:r>
      <w:bookmarkEnd w:id="4"/>
      <w:bookmarkEnd w:id="5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Lei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\ UXi^vu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LIU Shuang-jiang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LIU Zhi-pei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(1. Institute of Microbiology, Chinese Acaden^ of Sciences, Beijing 100080, China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2. Graduate School of Chinese Academy of Sciences, Beijing 100049, China)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Abstract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bacterial strain, He4, capable of degrading </w:t>
      </w:r>
      <w:r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az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-hexadecane and other polycyclic aromatic compounds was isolated from petroleum polluted soil. This strain was identified as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Gordonia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sp. He4 according to its morphology, physiological, biochemical properties and the analysis of its 16S rRNA gene sequence. Based on its 16S rRNA gene sequence, specific primers were designed and a competitor template was amplified by PCR. The dynamics of strain He4 in phenanthrene polluted soil was analyzed by colony forming unit (CFU) method and QC-PCR method. The results showed that partial of He4 become non-culturable and un-detectable by CFU method. But by using QC-PCR, the population density of strain He4 could be measured accurately.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0" w:right="0" w:firstLine="0"/>
        <w:jc w:val="both"/>
        <w:rPr>
          <w:sz w:val="16"/>
          <w:szCs w:val="16"/>
        </w:rPr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307" w:left="984" w:right="948" w:bottom="427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Key words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polycyclic aromatic compounds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biodegradation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bioremediation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quantitative competitive PCR(QC-PCR)</w:t>
      </w:r>
    </w:p>
    <w:p>
      <w:pPr>
        <w:widowControl w:val="0"/>
        <w:spacing w:line="145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398" w:left="0" w:right="0" w:bottom="34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(bioremediation)</w:t>
      </w:r>
      <w:r>
        <w:rPr>
          <w:color w:val="000000"/>
          <w:spacing w:val="0"/>
          <w:w w:val="100"/>
          <w:position w:val="0"/>
          <w:shd w:val="clear" w:color="auto" w:fill="auto"/>
        </w:rPr>
        <w:t>是利用微生物所具有 的广泛的代谢途径对污染物进行处理的一种环境生 物技术⑴，其中投加高效降解菌株是生物修复中最 常见最有效的一种方法•为了更有效地控制生物修 复过程，提高其效率，需要对加入的活性菌株的数量 和降解活性进行实时检测.然而，土壤是一个十分复 杂的环境体系，受到其中很多因素，例如营养成分 (碳、氮、磷源等)，温度，氧分压，含水量,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值或盐 浓度的变化等的影响，某些微生物细胞以一种不可 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(viable but non-culturable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的状态存在・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㈢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发现，将实验室获得的纯培养菌株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Escherichia coli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Vibrio cholerae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在缺乏营养以及低温的条件下进 行培养，一段时间后通过荧光显微镜观察，活细胞的 总体数量并没有明显下降，但是当使用通用的培养 基进行培养计数时，其结果却明显偏低，有些细胞已 经无法在培养基内生长•研究表明，这种现象在环境 中普遍存在•由于土壤的复杂性以及微生物在环境 </w:t>
      </w:r>
      <w:r>
        <w:rPr>
          <w:color w:val="000000"/>
          <w:spacing w:val="0"/>
          <w:w w:val="100"/>
          <w:position w:val="0"/>
          <w:shd w:val="clear" w:color="auto" w:fill="auto"/>
        </w:rPr>
        <w:t>中存在不可培养的状态，采用传统的以培养为基础 的方法，如最大可能数法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most probable number, MPN)</w:t>
      </w:r>
      <w:r>
        <w:rPr>
          <w:color w:val="000000"/>
          <w:spacing w:val="0"/>
          <w:w w:val="100"/>
          <w:position w:val="0"/>
          <w:shd w:val="clear" w:color="auto" w:fill="auto"/>
        </w:rPr>
        <w:t>或稀释涂布菌落计数法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colony forming unit, CFU)</w:t>
      </w:r>
      <w:r>
        <w:rPr>
          <w:color w:val="000000"/>
          <w:spacing w:val="0"/>
          <w:w w:val="100"/>
          <w:position w:val="0"/>
          <w:shd w:val="clear" w:color="auto" w:fill="auto"/>
        </w:rPr>
        <w:t>等,对加入到环境中进行生物修复的微生物数 量的变化进行动态监测，就有一定困难⑺・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52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398" w:left="972" w:right="950" w:bottom="34" w:header="0" w:footer="3" w:gutter="0"/>
          <w:cols w:num="2" w:space="32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目前，以环境中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RNA</w:t>
      </w:r>
      <w:r>
        <w:rPr>
          <w:color w:val="000000"/>
          <w:spacing w:val="0"/>
          <w:w w:val="100"/>
          <w:position w:val="0"/>
          <w:shd w:val="clear" w:color="auto" w:fill="auto"/>
        </w:rPr>
        <w:t>为基础的定量技 术已经开始广泛应用，其中基于杂交探针进行定量 的狭缝杂交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(quantitative slot-blot hybridization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和荧光 原位杂交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(fluoTescent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situ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hybridization, FISH)</w:t>
      </w:r>
      <w:r>
        <w:rPr>
          <w:color w:val="000000"/>
          <w:spacing w:val="0"/>
          <w:w w:val="100"/>
          <w:position w:val="0"/>
          <w:shd w:val="clear" w:color="auto" w:fill="auto"/>
        </w:rPr>
        <w:t>已经 成功地运用于确定微生物种群的数量，但是这些方 法需要较高浓度的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rRNA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样品，要求目标菌株在土 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壤中具有较高的丰度或较快的生长速率同，另外由 于环境样品中会产生自发荧光，使得荧光原位杂交 具有较高的假阳性率⑹，这些不利因素制约了定量 核酸杂交技术在土壤微生物种群计数中的应用•同 以上技术相比，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技术具有很高的灵敏度，即使某 种菌株在土壤中的含量很低，通过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扩增技术也 能够得到检测，定量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技术应运而生，并且开始 用于环境样品中微生物数量的检测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其中竞争 性定量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PCR </w:t>
      </w:r>
      <w:r>
        <w:rPr>
          <w:color w:val="000000"/>
          <w:spacing w:val="0"/>
          <w:w w:val="100"/>
          <w:position w:val="0"/>
          <w:shd w:val="clear" w:color="auto" w:fill="auto"/>
        </w:rPr>
        <w:t>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quantitative competitive PCR, QC~ PCR)</w:t>
      </w:r>
      <w:r>
        <w:rPr>
          <w:color w:val="000000"/>
          <w:spacing w:val="0"/>
          <w:w w:val="100"/>
          <w:position w:val="0"/>
          <w:shd w:val="clear" w:color="auto" w:fill="auto"/>
        </w:rPr>
        <w:t>是指在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反应体系中加入一定已知量的竞 争性模板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(con^etitor)</w:t>
      </w:r>
      <w:r>
        <w:rPr>
          <w:color w:val="000000"/>
          <w:spacing w:val="0"/>
          <w:w w:val="100"/>
          <w:position w:val="0"/>
          <w:shd w:val="clear" w:color="auto" w:fill="auto"/>
        </w:rPr>
        <w:t>作为内标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(internal standard</w:t>
      </w:r>
      <w:r>
        <w:rPr>
          <w:color w:val="000000"/>
          <w:spacing w:val="0"/>
          <w:w w:val="100"/>
          <w:position w:val="0"/>
          <w:shd w:val="clear" w:color="auto" w:fill="auto"/>
        </w:rPr>
        <w:t>与 未知浓度的目标模板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(target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)—</w:t>
      </w:r>
      <w:r>
        <w:rPr>
          <w:color w:val="000000"/>
          <w:spacing w:val="0"/>
          <w:w w:val="100"/>
          <w:position w:val="0"/>
          <w:shd w:val="clear" w:color="auto" w:fill="auto"/>
        </w:rPr>
        <w:t>起进行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扩增，为 了达到相近的扩增效率，竞争性模板应当具有与目 标模板相同的引物结合位点，且二者的扩增产物大 小应相近同，通过二者扩增产物的比值反映初始目 标模板的浓度凹，进而可以计算出样品中目标菌株 的总数量•通过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MPN</w:t>
      </w:r>
      <w:r>
        <w:rPr>
          <w:color w:val="000000"/>
          <w:spacing w:val="0"/>
          <w:w w:val="100"/>
          <w:position w:val="0"/>
          <w:shd w:val="clear" w:color="auto" w:fill="auto"/>
        </w:rPr>
        <w:t>法或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</w:rPr>
        <w:t>法的计数结果与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 PCR</w:t>
      </w:r>
      <w:r>
        <w:rPr>
          <w:color w:val="000000"/>
          <w:spacing w:val="0"/>
          <w:w w:val="100"/>
          <w:position w:val="0"/>
          <w:shd w:val="clear" w:color="auto" w:fill="auto"/>
        </w:rPr>
        <w:t>的计数的比较，可以计算出样品中目标菌株的 不可培养细胞的数量.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本研究从石油污染土壤中分离得到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株具有多 环芳桂化合物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(PAHs)</w:t>
      </w:r>
      <w:r>
        <w:rPr>
          <w:color w:val="000000"/>
          <w:spacing w:val="0"/>
          <w:w w:val="100"/>
          <w:position w:val="0"/>
          <w:shd w:val="clear" w:color="auto" w:fill="auto"/>
        </w:rPr>
        <w:t>降解活性的菌株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He4,</w:t>
      </w:r>
      <w:r>
        <w:rPr>
          <w:color w:val="000000"/>
          <w:spacing w:val="0"/>
          <w:w w:val="100"/>
          <w:position w:val="0"/>
          <w:shd w:val="clear" w:color="auto" w:fill="auto"/>
        </w:rPr>
        <w:t>分析其 降解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的特性，并进一步以该菌株为对象，应用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 PCR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</w:rPr>
        <w:t>方法，分别鉴定了土壤中菌株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He4 </w:t>
      </w:r>
      <w:r>
        <w:rPr>
          <w:color w:val="000000"/>
          <w:spacing w:val="0"/>
          <w:w w:val="100"/>
          <w:position w:val="0"/>
          <w:shd w:val="clear" w:color="auto" w:fill="auto"/>
        </w:rPr>
        <w:t>不可培养和可培养细胞数量的动态变化，为进一步 研究菌株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在受多环芳桂污染土壤的生物修复中 的应用奠定了基础.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3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菌株的分离、培养及鉴定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分离自石油污染的土壤，具体方法如 下:将采自华北油田的原油污染土壤置于装有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液体无机盐培养基的三角瓶内，其组成为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K2HPO4 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KH2PO4 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NH4NO3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0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0. 02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痕量的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FeCl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1 000 mL,</w:t>
      </w:r>
      <w:r>
        <w:rPr>
          <w:color w:val="000000"/>
          <w:spacing w:val="0"/>
          <w:w w:val="100"/>
          <w:position w:val="0"/>
          <w:shd w:val="clear" w:color="auto" w:fill="auto"/>
        </w:rPr>
        <w:t>固体培养基内加入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1.5%</w:t>
      </w:r>
      <w:r>
        <w:rPr>
          <w:color w:val="000000"/>
          <w:spacing w:val="0"/>
          <w:w w:val="100"/>
          <w:position w:val="0"/>
          <w:shd w:val="clear" w:color="auto" w:fill="auto"/>
        </w:rPr>
        <w:t>的琼脂•分别加入正十 六烷、荼、蔥、菲和花作为唯一的碳源，在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下摇 床振荡培养，进行驯化•其中正十六烷和荼的浓度为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L,</w:t>
      </w:r>
      <w:r>
        <w:rPr>
          <w:color w:val="000000"/>
          <w:spacing w:val="0"/>
          <w:w w:val="100"/>
          <w:position w:val="0"/>
          <w:shd w:val="clear" w:color="auto" w:fill="auto"/>
        </w:rPr>
        <w:t>蔥、菲和瓦的浓度为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mgL.</w:t>
      </w:r>
      <w:r>
        <w:rPr>
          <w:color w:val="000000"/>
          <w:spacing w:val="0"/>
          <w:w w:val="100"/>
          <w:position w:val="0"/>
          <w:shd w:val="clear" w:color="auto" w:fill="auto"/>
        </w:rPr>
        <w:t>驯化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~3 </w:t>
      </w:r>
      <w:r>
        <w:rPr>
          <w:color w:val="000000"/>
          <w:spacing w:val="0"/>
          <w:w w:val="100"/>
          <w:position w:val="0"/>
          <w:shd w:val="clear" w:color="auto" w:fill="auto"/>
        </w:rPr>
        <w:t>代后，取培养液涂布含有上述污染物的无机盐固体 平板，于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温箱培养，挑取单菌落进行验证.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按照文献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［10］</w:t>
      </w:r>
      <w:r>
        <w:rPr>
          <w:color w:val="000000"/>
          <w:spacing w:val="0"/>
          <w:w w:val="100"/>
          <w:position w:val="0"/>
          <w:shd w:val="clear" w:color="auto" w:fill="auto"/>
        </w:rPr>
        <w:t>的方法对菌株进行生理生化鉴定.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提取菌株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扩增其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基因•使用通用引物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27f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(5'&lt;jAGAGTIT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GAITCOGGCrCAG-3'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］541r </w:t>
      </w:r>
      <w:r>
        <w:rPr>
          <w:color w:val="000000"/>
          <w:spacing w:val="0"/>
          <w:w w:val="100"/>
          <w:position w:val="0"/>
          <w:shd w:val="clear" w:color="auto" w:fill="auto"/>
        </w:rPr>
        <w:t>( 5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'-AAGGAGGTG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AIUZAGCC-3'), PCR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反应条件为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 °Q 5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94 °Q 1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55 °Q 1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72 °Q 1 min,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个循环，最后一 个循环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延长至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扩增产物由上海基康公司 测序.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降解能力的测定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以正十六烷、苯、荼、蔥、菲和梵等底物为唯一碳 源对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进行培养•对于正十六烷、苯和荼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种底 物，通过测定培养液的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046</w:t>
      </w:r>
      <w:r>
        <w:rPr>
          <w:color w:val="000000"/>
          <w:spacing w:val="0"/>
          <w:w w:val="100"/>
          <w:position w:val="0"/>
          <w:shd w:val="clear" w:color="auto" w:fill="auto"/>
        </w:rPr>
        <w:t>。的值衡量菌株对底物的 降解能力•通过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  <w:shd w:val="clear" w:color="auto" w:fill="auto"/>
        </w:rPr>
        <w:t>法测定培养液中残留的的蔥、 菲和陀，计算其降解速率•具体测定方法为:将待测 样品的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值调至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0,</w:t>
      </w:r>
      <w:r>
        <w:rPr>
          <w:color w:val="000000"/>
          <w:spacing w:val="0"/>
          <w:w w:val="100"/>
          <w:position w:val="0"/>
          <w:shd w:val="clear" w:color="auto" w:fill="auto"/>
        </w:rPr>
        <w:t>以等体积的正己烷萃取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min,</w:t>
      </w:r>
      <w:r>
        <w:rPr>
          <w:color w:val="000000"/>
          <w:spacing w:val="0"/>
          <w:w w:val="100"/>
          <w:position w:val="0"/>
          <w:shd w:val="clear" w:color="auto" w:fill="auto"/>
        </w:rPr>
        <w:t>将有机相用孔径为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的虑膜过滤后进行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HPLC</w:t>
      </w:r>
      <w:r>
        <w:rPr>
          <w:color w:val="000000"/>
          <w:spacing w:val="0"/>
          <w:w w:val="100"/>
          <w:position w:val="0"/>
          <w:shd w:val="clear" w:color="auto" w:fill="auto"/>
        </w:rPr>
        <w:t>分析•采用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HP-Extender&lt;18</w:t>
      </w:r>
      <w:r>
        <w:rPr>
          <w:color w:val="000000"/>
          <w:spacing w:val="0"/>
          <w:w w:val="100"/>
          <w:position w:val="0"/>
          <w:shd w:val="clear" w:color="auto" w:fill="auto"/>
        </w:rPr>
        <w:t>柱，流动相为乙月青 :水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=60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40,</w:t>
      </w:r>
      <w:r>
        <w:rPr>
          <w:color w:val="000000"/>
          <w:spacing w:val="0"/>
          <w:w w:val="100"/>
          <w:position w:val="0"/>
          <w:shd w:val="clear" w:color="auto" w:fill="auto"/>
        </w:rPr>
        <w:t>流速为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mL/nin</w:t>
      </w:r>
      <w:r>
        <w:rPr>
          <w:color w:val="000000"/>
          <w:spacing w:val="0"/>
          <w:w w:val="100"/>
          <w:position w:val="0"/>
          <w:shd w:val="clear" w:color="auto" w:fill="auto"/>
        </w:rPr>
        <w:t>•蔥、菲和花的检测 波长分别为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nm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nm.</w:t>
      </w:r>
      <w:r>
        <w:rPr>
          <w:color w:val="000000"/>
          <w:spacing w:val="0"/>
          <w:w w:val="100"/>
          <w:position w:val="0"/>
          <w:shd w:val="clear" w:color="auto" w:fill="auto"/>
        </w:rPr>
        <w:t>根据标准曲 线分别计算蔥、菲和花的量.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对菲污染土壤生物修复系统的建立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在含有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菲的无机盐培养基 中培养，收集菌体加入到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含有菲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(500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°kg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的灭菌土壤中，使其初始浓度达到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14 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土壤的含水量控制在</w:t>
      </w:r>
      <w:r>
        <w:rPr>
          <w:color w:val="000000"/>
          <w:spacing w:val="0"/>
          <w:w w:val="100"/>
          <w:position w:val="0"/>
          <w:shd w:val="clear" w:color="auto" w:fill="auto"/>
        </w:rPr>
        <w:t>40%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避 光培养•分别在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0, 4, &amp; 13, 19, 28, 38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取土壤样品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加入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OmLNaCl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溶液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(0. </w:t>
      </w:r>
      <w:r>
        <w:rPr>
          <w:color w:val="000000"/>
          <w:spacing w:val="0"/>
          <w:w w:val="100"/>
          <w:position w:val="0"/>
          <w:shd w:val="clear" w:color="auto" w:fill="auto"/>
        </w:rPr>
        <w:t>9%),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涡旋振荡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将混合悬液进行</w:t>
      </w: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倍梯度稀释，取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不同 浓度的稀释液涂布含有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lOOmg^f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菲的无机盐固体 平板，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培养并对菌落进行计数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(CFU).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同时另取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0.5g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土壤样品用于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提取.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1.4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土壤样品中基因组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Laurenet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等的方法“口，并作适当调整，提取 土壤中的基因组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ITQA.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具体如下：取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土壤，加 入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提取液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Tris,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EDIA, 100 mmol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NaCl, 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polyvinylpyrrolidone,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SDS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)和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玻璃珠(直径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剧烈振荡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min,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13 000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r/nin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下离心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取出上清液，加入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/l0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体积冰冷的乙酸钠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 L),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冰上放置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后， 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OOOr/nin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下离心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取出上清夜，加入等体 积的异丙醇，沉淀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13 000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/nin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下离心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收集沉淀，溶解于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IE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Tris, 1 mmol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EDIA, pH &amp; 0)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缓冲液中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经过稀释后用于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 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分析.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引物设计及竞争性模板的构建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本实验根据菌株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基因序列设 计了表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中的引物，通过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反应构建了长度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color w:val="000000"/>
          <w:spacing w:val="0"/>
          <w:w w:val="100"/>
          <w:position w:val="0"/>
          <w:shd w:val="clear" w:color="auto" w:fill="auto"/>
        </w:rPr>
        <w:t>的竞争性模板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etitor)</w:t>
      </w:r>
      <w:r>
        <w:rPr>
          <w:color w:val="000000"/>
          <w:spacing w:val="0"/>
          <w:w w:val="100"/>
          <w:position w:val="0"/>
          <w:shd w:val="clear" w:color="auto" w:fill="auto"/>
        </w:rPr>
        <w:t>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QC-PCR.</w:t>
      </w:r>
      <w:r>
        <w:br w:type="page"/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left"/>
      </w:pPr>
      <w:r>
        <mc:AlternateContent>
          <mc:Choice Requires="wps">
            <w:drawing>
              <wp:anchor distT="0" distB="114300" distL="114300" distR="114300" simplePos="0" relativeHeight="125829378" behindDoc="0" locked="0" layoutInCell="1" allowOverlap="1">
                <wp:simplePos x="0" y="0"/>
                <wp:positionH relativeFrom="page">
                  <wp:posOffset>635635</wp:posOffset>
                </wp:positionH>
                <wp:positionV relativeFrom="margin">
                  <wp:posOffset>-11430</wp:posOffset>
                </wp:positionV>
                <wp:extent cx="6529070" cy="169164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29070" cy="169164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834"/>
                              <w:gridCol w:w="6091"/>
                              <w:gridCol w:w="2357"/>
                            </w:tblGrid>
                            <w:tr>
                              <w:trPr>
                                <w:tblHeader/>
                                <w:trHeight w:val="802" w:hRule="exact"/>
                              </w:trPr>
                              <w:tc>
                                <w:tcPr>
                                  <w:gridSpan w:val="3"/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80" w:line="240" w:lineRule="auto"/>
                                    <w:ind w:left="0" w:righ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表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本实验所用的引物</w:t>
                                  </w:r>
                                </w:p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Primers used in this study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引物名称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引物序列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84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shd w:val="clear" w:color="auto" w:fill="auto"/>
                                      <w:lang w:val="zh-CN" w:eastAsia="zh-CN" w:bidi="zh-CN"/>
                                    </w:rPr>
                                    <w:t>特异性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456 F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5'-CAG CAG CCG CGG TAA TAC 3‘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Universal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1482 R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ACG GCT ACC TIG TIA CGA CT 3’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Universal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HYB-He4 F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 '&lt;K5CCCAGACTCCrACGGGAGGCAGCAGTGCGAGCGTTCTCCGG3'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8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Specific to He4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1338 R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 xml:space="preserve">5 'CGGTGTGTACAAGGOCC3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Universal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298 F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5' CCIACGGGAGGCAGCAG 3'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Universal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exact"/>
                              </w:trPr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He4-961 R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7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 '&lt;]GCrATATCTCrACAGCnTCrGG3 /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38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8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Specific to He4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0.049999999999997pt;margin-top:-0.90000000000000002pt;width:514.10000000000002pt;height:133.19999999999999pt;z-index:-125829375;mso-wrap-distance-left:9.pt;mso-wrap-distance-right:9.pt;mso-wrap-distance-bottom:9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834"/>
                        <w:gridCol w:w="6091"/>
                        <w:gridCol w:w="2357"/>
                      </w:tblGrid>
                      <w:tr>
                        <w:trPr>
                          <w:tblHeader/>
                          <w:trHeight w:val="802" w:hRule="exact"/>
                        </w:trPr>
                        <w:tc>
                          <w:tcPr>
                            <w:gridSpan w:val="3"/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本实验所用的引物</w:t>
                            </w:r>
                          </w:p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Primers used in this study</w:t>
                            </w:r>
                          </w:p>
                        </w:tc>
                      </w:tr>
                      <w:tr>
                        <w:trPr>
                          <w:trHeight w:val="34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引物名称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引物序列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84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特异性</w:t>
                            </w:r>
                          </w:p>
                        </w:tc>
                      </w:tr>
                      <w:tr>
                        <w:trPr>
                          <w:trHeight w:val="259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456 F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5'-CAG CAG CCG CGG TAA TAC 3‘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Universal</w:t>
                            </w: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1482 R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ACG GCT ACC TIG TIA CGA CT 3’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Universal</w:t>
                            </w: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HYB-He4 F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 '&lt;K5CCCAGACTCCrACGGGAGGCAGCAGTGCGAGCGTTCTCCGG3'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8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Specific to He4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1338 R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5 'CGGTGTGTACAAGGOCC3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Universal</w:t>
                            </w: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298 F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5' CCIACGGGAGGCAGCAG 3'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Universal</w:t>
                            </w:r>
                          </w:p>
                        </w:tc>
                      </w:tr>
                      <w:tr>
                        <w:trPr>
                          <w:trHeight w:val="250" w:hRule="exact"/>
                        </w:trPr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He4-961 R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7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 '&lt;]GCrATATCTCrACAGCnTCrGG3 /</w:t>
                            </w:r>
                          </w:p>
                        </w:tc>
                        <w:tc>
                          <w:tcPr>
                            <w:tcBorders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3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8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Specific to He4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</w:t>
      </w:r>
      <w:r>
        <w:rPr>
          <w:color w:val="000000"/>
          <w:spacing w:val="0"/>
          <w:w w:val="100"/>
          <w:position w:val="0"/>
          <w:shd w:val="clear" w:color="auto" w:fill="auto"/>
        </w:rPr>
        <w:t>标准曲线的建立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将不同浓度的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菌悬液加入到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无菌土 壤中，使其终浓度分别达到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76X 10%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88X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</w:p>
    <w:p>
      <w:pPr>
        <w:pStyle w:val="Style1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5" w:val="left"/>
        </w:tabs>
        <w:bidi w:val="0"/>
        <w:spacing w:before="0" w:after="0" w:line="3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44X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2X </w:t>
      </w: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提取土壤 样品中的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进行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 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扩增，其中竞争性模板 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16^(16X10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n]g).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left"/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QCPCR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将土壤中提取的以及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竞争性模板在 同一反应体系内进行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扩增，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体系中加入：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X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缓冲液，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mmol L NfeCl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0.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mmol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dNTP, 0.2 Mmolt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引 物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298F He4 961R, 0. 5 U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聚合酶，目标模板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以及竞争性模板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16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反应条件为：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95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</w:rPr>
        <w:t>°C，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94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°Q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°Q 1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72 °Q 40 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共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个循环，最后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个循环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延 长至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取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 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产物在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2 %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的琼脂糖上进 行凝胶电泳.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</w:t>
      </w:r>
      <w:r>
        <w:rPr>
          <w:color w:val="000000"/>
          <w:spacing w:val="0"/>
          <w:w w:val="100"/>
          <w:position w:val="0"/>
          <w:shd w:val="clear" w:color="auto" w:fill="auto"/>
        </w:rPr>
        <w:t>数据处理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琼脂糖凝胶经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  <w:shd w:val="clear" w:color="auto" w:fill="auto"/>
        </w:rPr>
        <w:t>染色后，采用凝胶成像分析 软件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Quantity One (Bio-Rad)</w:t>
      </w:r>
      <w:r>
        <w:rPr>
          <w:color w:val="000000"/>
          <w:spacing w:val="0"/>
          <w:w w:val="100"/>
          <w:position w:val="0"/>
          <w:shd w:val="clear" w:color="auto" w:fill="auto"/>
        </w:rPr>
        <w:t>读取条带亮度，并换算为 单位面积的光密度，通过目标模板与竞争性模板产 物光密度的比值确定菌株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的数量•数据处理使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Excel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>•所有实验均为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个重复.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40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结果与分析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菌株的分离及其对多环芳桂的降解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通过对石油污染土壤样品进行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次富集培养， 并通过划线分离得到菌株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He4.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细胞为革 兰氏阳性、杆状，大小约为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>接触酶 阳性，能够利用葡萄糖、蔗糖、麦芽糖等.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扩增菌株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基因，并对序列进行 同源性分析，结果表明该菌株与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 amicalis</w:t>
      </w:r>
      <w:r>
        <w:rPr>
          <w:color w:val="000000"/>
          <w:spacing w:val="0"/>
          <w:w w:val="100"/>
          <w:position w:val="0"/>
          <w:shd w:val="clear" w:color="auto" w:fill="auto"/>
        </w:rPr>
        <w:t>的 亲缘关系最近，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基因相似性为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99%.</w:t>
      </w:r>
      <w:r>
        <w:rPr>
          <w:color w:val="000000"/>
          <w:spacing w:val="0"/>
          <w:w w:val="100"/>
          <w:position w:val="0"/>
          <w:shd w:val="clear" w:color="auto" w:fill="auto"/>
        </w:rPr>
        <w:t>结合 菌株的形态和生理生化特性，菌株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初步鉴定为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该菌株能够以正十六烷、苯、茶、蔥、菲和芜作为 </w:t>
      </w:r>
      <w:r>
        <w:rPr>
          <w:color w:val="000000"/>
          <w:spacing w:val="0"/>
          <w:w w:val="100"/>
          <w:position w:val="0"/>
          <w:shd w:val="clear" w:color="auto" w:fill="auto"/>
        </w:rPr>
        <w:t>唯一的碳源生长•其中正十六烷的浓度可达到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mgt</w:t>
      </w:r>
      <w:r>
        <w:rPr>
          <w:color w:val="000000"/>
          <w:spacing w:val="0"/>
          <w:w w:val="100"/>
          <w:position w:val="0"/>
          <w:shd w:val="clear" w:color="auto" w:fill="auto"/>
        </w:rPr>
        <w:t>苯的浓度为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MLt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荼、蔥、菲和陀的浓度为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 L.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竞争性模板的构建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220" w:line="32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基因序列进行分析表 明，在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930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之间包含了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个可变区，通过 比对发现其序列具有较强的特异性•根据这段可变 区的序列设计引物，通过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反应得到了竞争 性模板，其构建过程如图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所示.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280" w:firstLine="0"/>
        <w:jc w:val="right"/>
      </w:pPr>
      <w:r>
        <w:drawing>
          <wp:anchor distT="140335" distB="0" distL="502920" distR="114300" simplePos="0" relativeHeight="125829380" behindDoc="0" locked="0" layoutInCell="1" allowOverlap="1">
            <wp:simplePos x="0" y="0"/>
            <wp:positionH relativeFrom="page">
              <wp:posOffset>4503420</wp:posOffset>
            </wp:positionH>
            <wp:positionV relativeFrom="margin">
              <wp:posOffset>4039235</wp:posOffset>
            </wp:positionV>
            <wp:extent cx="847090" cy="871855"/>
            <wp:wrapSquare wrapText="right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847090" cy="87185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4114800</wp:posOffset>
                </wp:positionH>
                <wp:positionV relativeFrom="margin">
                  <wp:posOffset>4352925</wp:posOffset>
                </wp:positionV>
                <wp:extent cx="321310" cy="24384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1310" cy="2438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6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竞争性 模板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24.pt;margin-top:342.75pt;width:25.300000000000001pt;height:19.199999999999999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68" w:lineRule="exact"/>
                        <w:ind w:left="0" w:right="0" w:firstLine="0"/>
                        <w:jc w:val="center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竞争性 模板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4677410</wp:posOffset>
                </wp:positionH>
                <wp:positionV relativeFrom="margin">
                  <wp:posOffset>3898900</wp:posOffset>
                </wp:positionV>
                <wp:extent cx="262255" cy="13398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25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456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68.30000000000001pt;margin-top:307.pt;width:20.649999999999999pt;height:10.550000000000001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456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F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L482R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100" w:after="0" w:line="334" w:lineRule="exact"/>
        <w:ind w:left="0" w:right="0"/>
        <w:jc w:val="both"/>
      </w:pPr>
      <w:r>
        <w:drawing>
          <wp:anchor distT="377825" distB="631190" distL="631190" distR="313690" simplePos="0" relativeHeight="125829381" behindDoc="0" locked="0" layoutInCell="1" allowOverlap="1">
            <wp:simplePos x="0" y="0"/>
            <wp:positionH relativeFrom="page">
              <wp:posOffset>4525010</wp:posOffset>
            </wp:positionH>
            <wp:positionV relativeFrom="margin">
              <wp:posOffset>4429125</wp:posOffset>
            </wp:positionV>
            <wp:extent cx="2444750" cy="463550"/>
            <wp:wrapTopAndBottom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444750" cy="4635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6430010</wp:posOffset>
                </wp:positionH>
                <wp:positionV relativeFrom="margin">
                  <wp:posOffset>4261485</wp:posOffset>
                </wp:positionV>
                <wp:extent cx="292735" cy="133985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27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1338R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506.30000000000001pt;margin-top:335.55000000000001pt;width:23.050000000000001pt;height:10.550000000000001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1338R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5654040</wp:posOffset>
                </wp:positionH>
                <wp:positionV relativeFrom="margin">
                  <wp:posOffset>4051300</wp:posOffset>
                </wp:positionV>
                <wp:extent cx="281940" cy="13589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1940" cy="1358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000000"/>
                                <w:left w:val="single" w:sz="0" w:space="0" w:color="000000"/>
                                <w:bottom w:val="single" w:sz="0" w:space="0" w:color="000000"/>
                                <w:right w:val="single" w:sz="0" w:space="0" w:color="000000"/>
                              </w:pBdr>
                              <w:shd w:val="clear" w:color="auto" w:fill="00000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996bp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445.19999999999999pt;margin-top:319.pt;width:22.199999999999999pt;height:10.699999999999999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pBdr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pBdr>
                        <w:shd w:val="clear" w:color="auto" w:fill="000000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FFFFFF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996bp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4008120</wp:posOffset>
                </wp:positionH>
                <wp:positionV relativeFrom="margin">
                  <wp:posOffset>5100955</wp:posOffset>
                </wp:positionV>
                <wp:extent cx="3161030" cy="30480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61030" cy="3048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竞争性模板的构建过程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Fig.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Diagram of the strategy used to construct the c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xq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etitive template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15.60000000000002pt;margin-top:401.64999999999998pt;width:248.90000000000001pt;height:24.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1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竞争性模板的构建过程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Fig.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Diagram of the strategy used to construct the c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xq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etitive template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以菌株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基因组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为模板，采用通用引物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456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1 482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扩增得到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996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的片段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以片段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为模板，用引物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HYB He4F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1338R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进行扩增，其 中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HYB He4 F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由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部分组成：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GGCCCAGACT CCIACGGGAGGCAGCAG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对应于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He4 16S rRNA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基因 序列的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288 -314 bp,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其中包含了与引物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298F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相同 的序列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(CCIACGGGAGGCAGCAG)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另一部分则对应 于</w:t>
      </w:r>
      <w:r>
        <w:rPr>
          <w:color w:val="000000"/>
          <w:spacing w:val="0"/>
          <w:w w:val="100"/>
          <w:position w:val="0"/>
          <w:shd w:val="clear" w:color="auto" w:fill="auto"/>
        </w:rPr>
        <w:t>480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495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之间的序列，利用这对引物扩增得到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890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的片段，该片段既为竞争性模板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(competitor).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当采用引物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298F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He4-961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对基因组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模板 进行扩增时，得到大小为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666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的片段，而以竞争 性模板为模板进行扩增，得到的产物大小为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501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bp,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该产物缺失了 </w:t>
      </w:r>
      <w:r>
        <w:rPr>
          <w:color w:val="000000"/>
          <w:spacing w:val="0"/>
          <w:w w:val="100"/>
          <w:position w:val="0"/>
          <w:shd w:val="clear" w:color="auto" w:fill="auto"/>
        </w:rPr>
        <w:t>315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</w:rPr>
        <w:t>479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之间的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165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通过电泳可 以将两者区分.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33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</w:rPr>
        <w:t>和特异性引物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He4-961 R</w:t>
      </w:r>
      <w:r>
        <w:rPr>
          <w:color w:val="000000"/>
          <w:spacing w:val="0"/>
          <w:w w:val="100"/>
          <w:position w:val="0"/>
          <w:shd w:val="clear" w:color="auto" w:fill="auto"/>
        </w:rPr>
        <w:t>分别对加 入和未加入降解菌株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扩增・对 没有加入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的土壤样品进行扩增没有得到任何产 物(图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表明所设计的引物在本实验所采用的土 </w:t>
      </w:r>
      <w:r>
        <w:rPr>
          <w:color w:val="000000"/>
          <w:spacing w:val="0"/>
          <w:w w:val="100"/>
          <w:position w:val="0"/>
          <w:shd w:val="clear" w:color="auto" w:fill="auto"/>
        </w:rPr>
        <w:t>壤体系中具有较强的特异性，这也增加了结果的可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leader="underscore" w:pos="4099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信度.</w:t>
        <w:tab/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1946" w:val="left"/>
          <w:tab w:pos="2486" w:val="left"/>
        </w:tabs>
        <w:bidi w:val="0"/>
        <w:spacing w:before="0" w:after="0" w:line="240" w:lineRule="auto"/>
        <w:ind w:left="715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I 2</w:t>
        <w:tab/>
        <w:t>3</w:t>
        <w:tab/>
        <w:t>4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700530" cy="1639570"/>
            <wp:docPr id="23" name="Picutre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700530" cy="1639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0" w:line="280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Marker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含有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的土壤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与竞争性模板；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不含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的土壤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竞争性模板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He4 DNA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不同样品的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QC-PCR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电泳图谱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8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Agarose electrophoresis of the QC-PCR product of diflerent samples</w:t>
      </w:r>
    </w:p>
    <w:p>
      <w:pPr>
        <w:widowControl w:val="0"/>
        <w:spacing w:after="17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 QC-PCR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扩增效率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扩增效率是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个重要的参数，只有 当竞争性模板与目标模板的扩增效率相等或相近时 才能正确反映目标模板的真实初始数量•分别以竞 争性模板与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</w:rPr>
        <w:t>为目标模板进行扩增，在反 应分别进行到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20, 22, 24, 26, 2&amp; 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个循环时取样，在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1.2%</w:t>
      </w:r>
      <w:r>
        <w:rPr>
          <w:color w:val="000000"/>
          <w:spacing w:val="0"/>
          <w:w w:val="100"/>
          <w:position w:val="0"/>
          <w:shd w:val="clear" w:color="auto" w:fill="auto"/>
        </w:rPr>
        <w:t>琼脂糖凝胶上进行电泳，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  <w:shd w:val="clear" w:color="auto" w:fill="auto"/>
        </w:rPr>
        <w:t>染色后，通过凝胶 成像分析软件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Quantity One （Bio-Rad）</w:t>
      </w:r>
      <w:r>
        <w:rPr>
          <w:color w:val="000000"/>
          <w:spacing w:val="0"/>
          <w:w w:val="100"/>
          <w:position w:val="0"/>
          <w:shd w:val="clear" w:color="auto" w:fill="auto"/>
        </w:rPr>
        <w:t>读取条带亮度， 并换算为单位面积的光密度，与循环数对应做回归 曲线，分别得到两者得扩增效率，如图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所示.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的结果表明，目标模板和竞争性模板在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循环内产物的量与循环次数呈线性相关，目标 模板的相关系数为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698 3</w:t>
      </w:r>
      <w:r>
        <w:rPr>
          <w:color w:val="000000"/>
          <w:spacing w:val="0"/>
          <w:w w:val="100"/>
          <w:position w:val="0"/>
          <w:shd w:val="clear" w:color="auto" w:fill="auto"/>
        </w:rPr>
        <w:t>兀一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360 9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（疋=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981 3）,</w:t>
      </w:r>
      <w:r>
        <w:rPr>
          <w:color w:val="000000"/>
          <w:spacing w:val="0"/>
          <w:w w:val="100"/>
          <w:position w:val="0"/>
          <w:shd w:val="clear" w:color="auto" w:fill="auto"/>
        </w:rPr>
        <w:t>竞争性模板的相关系数为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 = 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627 2</w:t>
      </w:r>
      <w:r>
        <w:rPr>
          <w:color w:val="000000"/>
          <w:spacing w:val="0"/>
          <w:w w:val="100"/>
          <w:position w:val="0"/>
          <w:shd w:val="clear" w:color="auto" w:fill="auto"/>
        </w:rPr>
        <w:t>兀-</w:t>
      </w:r>
    </w:p>
    <w:p>
      <w:pPr>
        <w:pStyle w:val="Style1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70" w:val="left"/>
        </w:tabs>
        <w:bidi w:val="0"/>
        <w:spacing w:before="0" w:after="0" w:line="33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203 1 （7?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=0. 985 6）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•根据公式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Efl5ciency[eflf]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= 10°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-Id</w:t>
      </w:r>
      <w:r>
        <w:rPr>
          <w:color w:val="000000"/>
          <w:spacing w:val="0"/>
          <w:w w:val="100"/>
          <w:position w:val="0"/>
          <w:shd w:val="clear" w:color="auto" w:fill="auto"/>
        </w:rPr>
        <w:t>为斜率）⑺可以计算出目标模板的的扩增效 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eflf=3.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992 3,</w:t>
      </w:r>
      <w:r>
        <w:rPr>
          <w:color w:val="000000"/>
          <w:spacing w:val="0"/>
          <w:w w:val="100"/>
          <w:position w:val="0"/>
          <w:shd w:val="clear" w:color="auto" w:fill="auto"/>
        </w:rPr>
        <w:t>竞争性模板的扩增效率为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eff= 3.238 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循环内，两者的扩增效率基本一 致，其比值保持恒定为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当竞争性模板与目标 模板的扩增效率相同或接近时，能较真实地反映样 品中目标模板的浓度•另外，根据数据处理结果发 现，当循环数大于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时，扩增产物趋于饱和，产物的 浓度与循环数不再成线性关系，因此将循环数确定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个.</w:t>
      </w:r>
    </w:p>
    <w:p>
      <w:pPr>
        <w:pStyle w:val="Style1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74" w:val="left"/>
        </w:tabs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的细胞数量与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产物的相关性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6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将土壤中加入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使其浓度分别为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76X </w:t>
      </w:r>
      <w:r>
        <w:rPr>
          <w:color w:val="000000"/>
          <w:spacing w:val="0"/>
          <w:w w:val="100"/>
          <w:position w:val="0"/>
          <w:shd w:val="clear" w:color="auto" w:fill="auto"/>
        </w:rPr>
        <w:t>10%</w:t>
      </w:r>
    </w:p>
    <w:p>
      <w:pPr>
        <w:pStyle w:val="Style1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7" w:val="left"/>
        </w:tabs>
        <w:bidi w:val="0"/>
        <w:spacing w:before="0" w:after="80" w:line="3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88 X 10\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1.44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X 10%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7. </w:t>
      </w:r>
      <w:r>
        <w:rPr>
          <w:color w:val="000000"/>
          <w:spacing w:val="0"/>
          <w:w w:val="100"/>
          <w:position w:val="0"/>
          <w:shd w:val="clear" w:color="auto" w:fill="auto"/>
        </w:rPr>
        <w:t>2 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>6 X 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9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16480" cy="2139950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316480" cy="213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目标模板和竞争性模板的扩增效率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Comparison of amplification efficiency of competitor and target</w:t>
      </w:r>
    </w:p>
    <w:p>
      <w:pPr>
        <w:widowControl w:val="0"/>
        <w:spacing w:after="299" w:line="1" w:lineRule="exact"/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提取土壤中的总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后进行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扩 增，结果表明土壤中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的菌体浓度与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</w:rPr>
        <w:t>电竞争性 模板之间存在线性相关（图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4）,</w:t>
      </w:r>
      <w:r>
        <w:rPr>
          <w:color w:val="000000"/>
          <w:spacing w:val="0"/>
          <w:w w:val="100"/>
          <w:position w:val="0"/>
          <w:shd w:val="clear" w:color="auto" w:fill="auto"/>
        </w:rPr>
        <w:t>其线性范围是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3.6X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g-\</w:t>
      </w:r>
      <w:r>
        <w:rPr>
          <w:color w:val="000000"/>
          <w:spacing w:val="0"/>
          <w:w w:val="100"/>
          <w:position w:val="0"/>
          <w:shd w:val="clear" w:color="auto" w:fill="auto"/>
        </w:rPr>
        <w:t>利用这一标准曲线可以 直接计算土壤中菌株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的数量，其中包括可培养 与不可培养细胞的总量.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2.5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可培养与不可培养细胞数量 的动态变化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接入菲污染的土壤中，其初始浓度为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14X </w:t>
      </w: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并在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温箱中培养，分别于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0,4, &amp; 13, 19, 28, 38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 xml:space="preserve">取样，通过稀释涂布法计数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 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方法计算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</w:rPr>
        <w:t>的数量变化（图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5）.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480"/>
        <w:jc w:val="both"/>
        <w:sectPr>
          <w:headerReference w:type="default" r:id="rId15"/>
          <w:headerReference w:type="even" r:id="rId1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398" w:left="972" w:right="950" w:bottom="34" w:header="0" w:footer="3" w:gutter="0"/>
          <w:pgNumType w:start="618"/>
          <w:cols w:num="2" w:space="32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的结果表明，在培养初期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（4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内），用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 方法测定的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菌株细胞数量都呈现增加的趋势， 只是增长幅度有所区别;然而随着培养时间的延长， 稀释涂布法所得到的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数量开始下降，到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时 只有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3X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CFU°g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明显低于接入的量;而利用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法所得到的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数量仍然呈上升趋势，到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时达到了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1.2X10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CFU°g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比接入量提高了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倍左右，比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</w:rPr>
        <w:t>方法的结果高了近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倍•该结果说 明菌株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可以在土壤中存活和生长，这对于其在 污染土壤生物修复中的应用极为有利;但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种方法 测定的细胞数存在较大的差异，可能是由于在土壤 培养过程中，受土壤环境的影响，部分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细胞逐渐 变为不可培养的状态，无法通过涂布法测定;而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 PCR</w:t>
      </w:r>
      <w:r>
        <w:rPr>
          <w:color w:val="000000"/>
          <w:spacing w:val="0"/>
          <w:w w:val="100"/>
          <w:position w:val="0"/>
          <w:shd w:val="clear" w:color="auto" w:fill="auto"/>
        </w:rPr>
        <w:t>提取的是土壤中的总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WA,</w:t>
      </w:r>
      <w:r>
        <w:rPr>
          <w:color w:val="000000"/>
          <w:spacing w:val="0"/>
          <w:w w:val="100"/>
          <w:position w:val="0"/>
          <w:shd w:val="clear" w:color="auto" w:fill="auto"/>
        </w:rPr>
        <w:t>因此反映的是土壤 中该菌株的细胞总数的变化，其中包括了可培养的 和不可培养的细胞，因此得到的结果是细胞的数量 呈上升趋势,这也表明菌株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在土壤中能够存活 和增殖，随着菌株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在土壤中培养时间的延长，大</w:t>
      </w:r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777" w:left="989" w:right="963" w:bottom="238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framePr w:w="1111" w:h="218" w:wrap="none" w:vAnchor="text" w:hAnchor="page" w:x="3917" w:y="3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细胞数的对数值</w:t>
      </w:r>
    </w:p>
    <w:p>
      <w:pPr>
        <w:pStyle w:val="Style65"/>
        <w:keepNext w:val="0"/>
        <w:keepLines w:val="0"/>
        <w:framePr w:w="178" w:h="163" w:hRule="exact" w:wrap="none" w:vAnchor="text" w:hAnchor="page" w:x="2780" w:y="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25</w:t>
      </w:r>
    </w:p>
    <w:p>
      <w:pPr>
        <w:pStyle w:val="Style65"/>
        <w:keepNext w:val="0"/>
        <w:keepLines w:val="0"/>
        <w:framePr w:w="149" w:h="168" w:hRule="exact" w:wrap="none" w:vAnchor="text" w:hAnchor="page" w:x="2636" w:y="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0.</w:t>
      </w:r>
    </w:p>
    <w:p>
      <w:pPr>
        <w:pStyle w:val="Style43"/>
        <w:keepNext w:val="0"/>
        <w:keepLines w:val="0"/>
        <w:framePr w:w="403" w:h="214" w:wrap="none" w:vAnchor="text" w:hAnchor="page" w:x="2555" w:y="30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-035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4385945</wp:posOffset>
            </wp:positionH>
            <wp:positionV relativeFrom="paragraph">
              <wp:posOffset>12700</wp:posOffset>
            </wp:positionV>
            <wp:extent cx="274320" cy="146050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74320" cy="146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4389120</wp:posOffset>
            </wp:positionH>
            <wp:positionV relativeFrom="paragraph">
              <wp:posOffset>125095</wp:posOffset>
            </wp:positionV>
            <wp:extent cx="1889760" cy="1962785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889760" cy="19627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196850" distL="0" distR="0" simplePos="0" relativeHeight="62914700" behindDoc="1" locked="0" layoutInCell="1" allowOverlap="1">
            <wp:simplePos x="0" y="0"/>
            <wp:positionH relativeFrom="page">
              <wp:posOffset>1913890</wp:posOffset>
            </wp:positionH>
            <wp:positionV relativeFrom="paragraph">
              <wp:posOffset>115570</wp:posOffset>
            </wp:positionV>
            <wp:extent cx="1840865" cy="1871345"/>
            <wp:wrapNone/>
            <wp:docPr id="34" name="Shap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box 35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840865" cy="18713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339725" distL="15240" distR="0" simplePos="0" relativeHeight="62914701" behindDoc="1" locked="0" layoutInCell="1" allowOverlap="1">
            <wp:simplePos x="0" y="0"/>
            <wp:positionH relativeFrom="page">
              <wp:posOffset>1637030</wp:posOffset>
            </wp:positionH>
            <wp:positionV relativeFrom="paragraph">
              <wp:posOffset>389890</wp:posOffset>
            </wp:positionV>
            <wp:extent cx="274320" cy="1316990"/>
            <wp:wrapNone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74320" cy="1316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777" w:left="989" w:right="963" w:bottom="238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80" w:lineRule="exact"/>
        <w:ind w:left="0" w:right="0" w:firstLine="0"/>
        <w:jc w:val="center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He4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的浓度分别为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3. 6X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zh-CN" w:eastAsia="zh-CN" w:bidi="zh-CN"/>
        </w:rPr>
        <w:t>9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7. 2X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1. 44X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2. 88X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5. 76X 10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CFU°g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_1</w:t>
        <w:br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（电泳图中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~5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泳道，泳道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为土壤空白对照）,竞争性模板为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16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fg</w:t>
        <w:br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图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不同浓度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He4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细胞与竞争性模板之间的线性关系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018" w:left="989" w:right="963" w:bottom="23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Relationship between competitor and the density of He4 cells added to soil</w:t>
      </w:r>
    </w:p>
    <w:p>
      <w:pPr>
        <w:widowControl w:val="0"/>
        <w:spacing w:line="84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872" w:left="0" w:right="0" w:bottom="24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多数菌体细胞变为不可培养状态・</w:t>
      </w:r>
    </w:p>
    <w:p>
      <w:pPr>
        <w:framePr w:w="3480" w:h="3182" w:hSpace="566" w:vSpace="1128" w:wrap="notBeside" w:vAnchor="text" w:hAnchor="text" w:x="839" w:y="1"/>
        <w:widowControl w:val="0"/>
        <w:rPr>
          <w:sz w:val="2"/>
          <w:szCs w:val="2"/>
        </w:rPr>
      </w:pPr>
      <w:r>
        <w:drawing>
          <wp:inline>
            <wp:extent cx="2212975" cy="2023745"/>
            <wp:docPr id="38" name="Picutr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212975" cy="2023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58420" distR="58420" simplePos="0" relativeHeight="125829382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2216150</wp:posOffset>
                </wp:positionV>
                <wp:extent cx="3043555" cy="52133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3555" cy="521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rFonts w:ascii="MingLiU" w:eastAsia="MingLiU" w:hAnsi="MingLiU" w:cs="MingLiU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采用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CFU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法和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QC-PCR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法测定土壤中菌株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He4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>数量的变化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Fig.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5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Changes in the population density of He4 as measured</w:t>
                            </w:r>
                          </w:p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with CFU and QC PCR in soil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4.5999999999999996pt;margin-top:174.5pt;width:239.65000000000001pt;height:41.049999999999997pt;z-index:-125829371;mso-wrap-distance-left:4.5999999999999996pt;mso-wrap-distance-right:4.5999999999999996pt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rFonts w:ascii="MingLiU" w:eastAsia="MingLiU" w:hAnsi="MingLiU" w:cs="MingLiU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采用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CFU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法和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QC-PCR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法测定土壤中菌株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He4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>数量的变化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Fig.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5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Changes in the population density of He4 as measured</w:t>
                      </w:r>
                    </w:p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with CFU and QC PCR in soil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58420" distR="3001645" simplePos="0" relativeHeight="125829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1033145</wp:posOffset>
                </wp:positionV>
                <wp:extent cx="100330" cy="40513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0330" cy="4051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躱轻寸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OH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28.199999999999999pt;margin-top:81.349999999999994pt;width:7.9000000000000004pt;height:31.899999999999999pt;z-index:-125829369;mso-wrap-distance-left:4.5999999999999996pt;mso-wrap-distance-right:236.34999999999999pt" filled="f" stroked="f">
                <v:textbox style="layout-flow:vertical-ideographic" inset="0,0,0,0">
                  <w:txbxContent>
                    <w:p>
                      <w:pPr>
                        <w:pStyle w:val="Style7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躱轻寸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OH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60" w:line="33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讨论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在石油污染土壤中，能够降解烷桂和结构较为 简单的芳香桂(如苯和荼)的微生物数量相对较多， 而多环芳桂类化合物随着芳香环数量的增加，如蔥、 菲或花等,其可降解性逐渐降低•另外，多环芳桂类 化合物由于水溶性差，且更容易吸附于土壤颗粒，因 而不易被微生物利用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</w:rPr>
        <w:t>•因此，筛选具有多环芳桂 类污染物降解功能的微生物对于石油污染土壤的生 物修复具有重要的应用意义.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本研究从石油污染土壤中分离得到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株能够降 解多环芳桂的细菌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He4</w:t>
      </w:r>
      <w:r>
        <w:rPr>
          <w:color w:val="000000"/>
          <w:spacing w:val="0"/>
          <w:w w:val="100"/>
          <w:position w:val="0"/>
          <w:shd w:val="clear" w:color="auto" w:fill="auto"/>
        </w:rPr>
        <w:t>•通过比较该菌 株的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基因，设计特异性引物以及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扩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增，建立了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的方法，用于检测土壤中不可培 养微生物的数量•结果表明，采用传统的以培养为基 础的稀释涂布法所得到的土壤中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color w:val="000000"/>
          <w:spacing w:val="0"/>
          <w:w w:val="100"/>
          <w:position w:val="0"/>
          <w:shd w:val="clear" w:color="auto" w:fill="auto"/>
        </w:rPr>
        <w:t>远远 低于通过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 PCR</w:t>
      </w:r>
      <w:r>
        <w:rPr>
          <w:color w:val="000000"/>
          <w:spacing w:val="0"/>
          <w:w w:val="100"/>
          <w:position w:val="0"/>
          <w:shd w:val="clear" w:color="auto" w:fill="auto"/>
        </w:rPr>
        <w:t>所得到的菌体数量，是由于土壤 环境的影响导致部分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菌体细胞进入不可培养状 态，使得稀释涂布培养无法测定这部分菌体数量，而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是通过提取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进行定量研究，因此更能 反映土壤中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的实际数量.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80" w:line="339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技术被日益广泛地用于土壤中微生物 的定量研究"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14]</w:t>
      </w:r>
      <w:r>
        <w:rPr>
          <w:color w:val="000000"/>
          <w:spacing w:val="0"/>
          <w:w w:val="100"/>
          <w:position w:val="0"/>
          <w:shd w:val="clear" w:color="auto" w:fill="auto"/>
        </w:rPr>
        <w:t>,这种方法也被应用于一些未培养 微生物的定量研究⑺•由于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基因序列具有 较强的保守性，通过设计不同的特异性引物,可以选 择性地监测某一特定种属的微生物在土壤中的数量 动态变化•除了以核糖体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RNA(rRNA)</w:t>
      </w:r>
      <w:r>
        <w:rPr>
          <w:color w:val="000000"/>
          <w:spacing w:val="0"/>
          <w:w w:val="100"/>
          <w:position w:val="0"/>
          <w:shd w:val="clear" w:color="auto" w:fill="auto"/>
        </w:rPr>
        <w:t>的基因序列设 计竞争性模板外，还可以按照其他功能基因的序列 为基础设计竞争性模板用以监测具有特定功能的微 生物的数量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Qiu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以铜离子依赖的硝酸还原酶 基因为基础设计了特异性引物以及竞争性模板，对 土壤中依赖铜离子的硝化细菌进行了定量研究•在 生物修复技术的使用过程中，将具有特定降解功能 的高效降解菌株加入污染土壤中对污染物进行降解 是比较有效的方法，为了对修复过程进行控制以及 提高降解效率，需要对所加入的降解菌株的活性和 数量的动态变化进行实时监测，由于微生物在土壤 中以多种方式存在，因此传统的平板稀释涂布法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(CFU)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MPN</w:t>
      </w:r>
      <w:r>
        <w:rPr>
          <w:color w:val="000000"/>
          <w:spacing w:val="0"/>
          <w:w w:val="100"/>
          <w:position w:val="0"/>
          <w:shd w:val="clear" w:color="auto" w:fill="auto"/>
        </w:rPr>
        <w:t>法都无法反映土壤中降解菌株的实 际数量•而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法则通过对土壤中降解菌株的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进行定量来计算降解菌株的数量，能够客观地 </w:t>
      </w:r>
      <w:r>
        <w:rPr>
          <w:color w:val="000000"/>
          <w:spacing w:val="0"/>
          <w:w w:val="100"/>
          <w:position w:val="0"/>
          <w:shd w:val="clear" w:color="auto" w:fill="auto"/>
        </w:rPr>
        <w:t>反映降解菌株的动态变化•因此，该方法能够实时监 测土壤中高效降解菌株的动态变化，从而调整生物 修复过程中的工艺参数，提高污染物的修复效率.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80" w:line="332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1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89" w:val="left"/>
        </w:tabs>
        <w:bidi w:val="0"/>
        <w:spacing w:before="0" w:after="0" w:line="33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本研究从石油污染土壤中分离得到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株能 够降解多环芳桂的细菌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He4.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根据其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基因序列，设计引物并构建了竞争性模 板，建立了竞争性定量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PCR(QC-PCR)</w:t>
      </w:r>
      <w:r>
        <w:rPr>
          <w:color w:val="000000"/>
          <w:spacing w:val="0"/>
          <w:w w:val="100"/>
          <w:position w:val="0"/>
          <w:shd w:val="clear" w:color="auto" w:fill="auto"/>
        </w:rPr>
        <w:t>的方法.</w:t>
      </w:r>
    </w:p>
    <w:p>
      <w:pPr>
        <w:pStyle w:val="Style1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889" w:val="left"/>
        </w:tabs>
        <w:bidi w:val="0"/>
        <w:spacing w:before="0" w:after="180" w:line="33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QC-PCR</w:t>
      </w:r>
      <w:r>
        <w:rPr>
          <w:color w:val="000000"/>
          <w:spacing w:val="0"/>
          <w:w w:val="100"/>
          <w:position w:val="0"/>
          <w:shd w:val="clear" w:color="auto" w:fill="auto"/>
        </w:rPr>
        <w:t>对土壤中菌株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的数量进 行了研究，结果表明该方法能检测到土壤中可培养 和不可培养的细胞总数，能够准确地反映土壤中菌 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He4</w:t>
      </w:r>
      <w:r>
        <w:rPr>
          <w:color w:val="000000"/>
          <w:spacing w:val="0"/>
          <w:w w:val="100"/>
          <w:position w:val="0"/>
          <w:shd w:val="clear" w:color="auto" w:fill="auto"/>
        </w:rPr>
        <w:t>的动态变化.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Dua M, Singh A, Sethunathan 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Biotechnology and bioremediation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successes and limitations [ J] . Appl. Microbiol. Biotechnol., 2002,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143 ~ 152.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[2 ] Xu H S, Roberts N, Singleton F 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Survival and viability of nonculturable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Escherichia coll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Vibrio cholerae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estuarine and marine environment[ J] . Microb. Ecol., 1982, 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313 ~323.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0" w:line="280" w:lineRule="exact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[3 ] Van Elsas J D, Rosado, A S, Wolters A C,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Quantitative detection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Sphingomonas chlorophenolica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soil via competitive polymerase chain reaction[ J] . J. Appl. Microbiol., 199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463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471.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[4 ] Kemp P F, Lee S, LaRoche J. Estimating the growth rate of slowly growing marine bacteria Iran RNA content [ J] . Appl. Environ. Microbiol., 1993,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2594 ~2601.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/>
        <w:ind w:left="560" w:right="0" w:hanging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[5 ] Wallner G, Amann R, Beisker W. Optimizing fluorescent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situ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hybridization of suspended cells with rRNA targeted oligonucleotide probes for the flow cytometric identification of microorganisms [ J]. Cytanetiy, 1993,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143.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[6] Lim E L, Tomita, A V, Thilly W G,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Canbination of canpetitive quantitative PCR and constant-denaturant capillaiy electrophoresis for high-resolution detection and enumeration of microbial cells[ J| . Appl. Environ. Microbiol., 2001,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3897 ~ 3903.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064" w:val="left"/>
          <w:tab w:pos="4370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[7 ] Barbieri E, Riccioni G, Pisano 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Competitive PCR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Quantitation of a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Cytophaga -F lexibacter^Bacteroides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Phylum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bacterium associated with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Tuber borchii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vittad nycelium [ J]. Appl. Environ. Microbiol., 2002,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68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6421 ~6424.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[8 ] Raeymaekers L. Basic Principles of Quantitative PCR[ J] . Mol. Biotech., 2000,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115 ~ 122.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[9 ] Gilliland G, Perrin S, Blanchard 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Analysis of cytokine mRNA and 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Detection and quantitation by canpetitive polymerase chain reaction [ J] . Proc. Natl. Acad. Sci., USA, 1990,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2725 ~2729.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Sneath P H A, Mair NS, Sharpe M 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Bergey s Manual of Systematic Bacteriology [ M] . Volume 2. London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Williams and Wilkins, 1989.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Laurenet M F, Philippot L, Hallet 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DNA extraction form soils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old bias for new microbial diversity analysis methods [ J]. Appl. Environ. Micorbiol., 2001, 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2354 ~2359.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Jonathan D, Van Hamme, Singh 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Recent advances in petroleum microbiology[ J] . Microbiol. Mol. Biol. Rev., 2003, 67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503 ~549.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Lee S Y, Bollinger J, Bezdicek 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Estimation of the abundance of an uncultured soil bacterial strain by a canpetitive quantitative PCR method[ J] . Appl. Environ. Microbiol., 1996,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3787 -3793.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Van Elsas J D, Duarte G F, Rosado A 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Microbiolc^ical and molecular biological methods for monitoring microbial inoculants and their effects in the soil environment[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 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J. Microbiol. Methods, 1998,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154.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3" w:val="left"/>
        </w:tabs>
        <w:bidi w:val="0"/>
        <w:spacing w:before="0" w:after="0"/>
        <w:ind w:right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872" w:left="983" w:right="946" w:bottom="248" w:header="0" w:footer="3" w:gutter="0"/>
          <w:cols w:num="2" w:space="356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Qiu X Y, Hurt R A, Wu L Y,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Detection and quantification of copper-denitrifying bacteria by quantitative competitive PCR[ J]. J. Microbiol. Methods, 2004,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 ~210.</w:t>
      </w:r>
    </w:p>
    <w:sectPr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2240" w:h="15840"/>
      <w:pgMar w:top="872" w:left="983" w:right="946" w:bottom="248" w:header="0" w:footer="3" w:gutter="0"/>
      <w:cols w:num="2" w:space="356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收稿日期: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2006-04-13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修订日期: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2006-05-26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基金项目：国家高技术研究发展计划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863)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2002AA601150)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中 国科学院百人计划项目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CBRJH-200)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作者简介:刘磊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(1977 ~),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男，博士研究生，主要研究方向为环境微生 物学.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footnoteRef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通讯联系人,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liudip @sun. im .ac. cn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6506210</wp:posOffset>
              </wp:positionH>
              <wp:positionV relativeFrom="page">
                <wp:posOffset>220980</wp:posOffset>
              </wp:positionV>
              <wp:extent cx="624840" cy="19494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484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2&amp;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Mar., 2007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12.29999999999995pt;margin-top:17.399999999999999pt;width:49.200000000000003pt;height:15.3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2&amp;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Mar., 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658495</wp:posOffset>
              </wp:positionH>
              <wp:positionV relativeFrom="page">
                <wp:posOffset>505460</wp:posOffset>
              </wp:positionV>
              <wp:extent cx="648017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801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850000000000001pt;margin-top:39.799999999999997pt;width:510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6506210</wp:posOffset>
              </wp:positionH>
              <wp:positionV relativeFrom="page">
                <wp:posOffset>220980</wp:posOffset>
              </wp:positionV>
              <wp:extent cx="624840" cy="19494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4840" cy="1949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2&amp;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</w:r>
                        </w:p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Mar., 2007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12.29999999999995pt;margin-top:17.399999999999999pt;width:49.200000000000003pt;height:15.3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2&amp;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</w:r>
                  </w:p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Mar., 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658495</wp:posOffset>
              </wp:positionH>
              <wp:positionV relativeFrom="page">
                <wp:posOffset>505460</wp:posOffset>
              </wp:positionV>
              <wp:extent cx="648017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801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850000000000001pt;margin-top:39.799999999999997pt;width:510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653415</wp:posOffset>
              </wp:positionH>
              <wp:positionV relativeFrom="page">
                <wp:posOffset>64135</wp:posOffset>
              </wp:positionV>
              <wp:extent cx="6324600" cy="12509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2460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06" w:val="right"/>
                              <w:tab w:pos="996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  <w:tab/>
                            <w:t>刘磊等：降解多环芳怪的菌株</w:t>
                          </w:r>
                          <w:r>
                            <w:rPr>
                              <w:rFonts w:ascii="MingLiU" w:eastAsia="MingLiU" w:hAnsi="MingLiU" w:cs="MingLiU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Gordonia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sp. He4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的分离鉴定及其在菲污染土壤修复过程中的动态变化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51.450000000000003pt;margin-top:5.0499999999999998pt;width:498.pt;height:9.84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06" w:val="right"/>
                        <w:tab w:pos="996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  <w:tab/>
                      <w:t>刘磊等：降解多环芳怪的菌株</w:t>
                    </w:r>
                    <w:r>
                      <w:rPr>
                        <w:rFonts w:ascii="MingLiU" w:eastAsia="MingLiU" w:hAnsi="MingLiU" w:cs="MingLiU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Gordonia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sp. He4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的分离鉴定及其在菲污染土壤修复过程中的动态变化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803275</wp:posOffset>
              </wp:positionH>
              <wp:positionV relativeFrom="page">
                <wp:posOffset>79375</wp:posOffset>
              </wp:positionV>
              <wp:extent cx="6330950" cy="10985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3095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818" w:val="right"/>
                              <w:tab w:pos="997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环 境 科 学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28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63.25pt;margin-top:6.25pt;width:498.5pt;height:8.6500000000000004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818" w:val="right"/>
                        <w:tab w:pos="997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环 境 科 学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28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659765</wp:posOffset>
              </wp:positionH>
              <wp:positionV relativeFrom="page">
                <wp:posOffset>259080</wp:posOffset>
              </wp:positionV>
              <wp:extent cx="6480175" cy="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8017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1.950000000000003pt;margin-top:20.399999999999999pt;width:510.2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MingLiU" w:eastAsia="MingLiU" w:hAnsi="MingLiU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10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7">
    <w:name w:val="正文文本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1">
    <w:name w:val="页眉或页脚 (2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4">
    <w:name w:val="正文文本 (4)_"/>
    <w:basedOn w:val="DefaultParagraphFont"/>
    <w:link w:val="Style1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8">
    <w:name w:val="正文文本_"/>
    <w:basedOn w:val="DefaultParagraphFont"/>
    <w:link w:val="Style1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0">
    <w:name w:val="正文文本 (3)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2">
    <w:name w:val="标题 #1_"/>
    <w:basedOn w:val="DefaultParagraphFont"/>
    <w:link w:val="Style2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26">
    <w:name w:val="标题 #3_"/>
    <w:basedOn w:val="DefaultParagraphFont"/>
    <w:link w:val="Style25"/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character" w:customStyle="1" w:styleId="CharStyle32">
    <w:name w:val="标题 #2_"/>
    <w:basedOn w:val="DefaultParagraphFont"/>
    <w:link w:val="Style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9">
    <w:name w:val="其他_"/>
    <w:basedOn w:val="DefaultParagraphFont"/>
    <w:link w:val="Style3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44">
    <w:name w:val="图片标题_"/>
    <w:basedOn w:val="DefaultParagraphFont"/>
    <w:link w:val="Style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66">
    <w:name w:val="正文文本 (5)_"/>
    <w:basedOn w:val="DefaultParagraphFont"/>
    <w:link w:val="Style65"/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71">
    <w:name w:val="图片标题 (2)_"/>
    <w:basedOn w:val="DefaultParagraphFont"/>
    <w:link w:val="Style7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190" w:lineRule="exact"/>
      <w:ind w:left="800" w:hanging="8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6">
    <w:name w:val="正文文本 (2)"/>
    <w:basedOn w:val="Normal"/>
    <w:link w:val="CharStyle7"/>
    <w:pPr>
      <w:widowControl w:val="0"/>
      <w:shd w:val="clear" w:color="auto" w:fill="FFFFFF"/>
      <w:spacing w:line="389" w:lineRule="auto"/>
      <w:ind w:left="540" w:hanging="5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0">
    <w:name w:val="页眉或页脚 (2)"/>
    <w:basedOn w:val="Normal"/>
    <w:link w:val="CharStyle1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line="302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7">
    <w:name w:val="正文文本"/>
    <w:basedOn w:val="Normal"/>
    <w:link w:val="CharStyle18"/>
    <w:pPr>
      <w:widowControl w:val="0"/>
      <w:shd w:val="clear" w:color="auto" w:fill="FFFFFF"/>
      <w:spacing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9">
    <w:name w:val="正文文本 (3)"/>
    <w:basedOn w:val="Normal"/>
    <w:link w:val="CharStyle20"/>
    <w:pPr>
      <w:widowControl w:val="0"/>
      <w:shd w:val="clear" w:color="auto" w:fill="FFFFFF"/>
      <w:spacing w:line="334" w:lineRule="exact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1">
    <w:name w:val="标题 #1"/>
    <w:basedOn w:val="Normal"/>
    <w:link w:val="CharStyle22"/>
    <w:pPr>
      <w:widowControl w:val="0"/>
      <w:shd w:val="clear" w:color="auto" w:fill="FFFFFF"/>
      <w:spacing w:after="300" w:line="578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25">
    <w:name w:val="标题 #3"/>
    <w:basedOn w:val="Normal"/>
    <w:link w:val="CharStyle26"/>
    <w:pPr>
      <w:widowControl w:val="0"/>
      <w:shd w:val="clear" w:color="auto" w:fill="FFFFFF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u w:val="none"/>
      <w:lang w:val="zh-CN" w:eastAsia="zh-CN" w:bidi="zh-CN"/>
    </w:rPr>
  </w:style>
  <w:style w:type="paragraph" w:customStyle="1" w:styleId="Style31">
    <w:name w:val="标题 #2"/>
    <w:basedOn w:val="Normal"/>
    <w:link w:val="CharStyle32"/>
    <w:pPr>
      <w:widowControl w:val="0"/>
      <w:shd w:val="clear" w:color="auto" w:fill="FFFFFF"/>
      <w:spacing w:line="329" w:lineRule="auto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38">
    <w:name w:val="其他"/>
    <w:basedOn w:val="Normal"/>
    <w:link w:val="CharStyle39"/>
    <w:pPr>
      <w:widowControl w:val="0"/>
      <w:shd w:val="clear" w:color="auto" w:fill="FFFFFF"/>
      <w:spacing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3">
    <w:name w:val="图片标题"/>
    <w:basedOn w:val="Normal"/>
    <w:link w:val="CharStyle44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5">
    <w:name w:val="正文文本 (5)"/>
    <w:basedOn w:val="Normal"/>
    <w:link w:val="CharStyle66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70">
    <w:name w:val="图片标题 (2)"/>
    <w:basedOn w:val="Normal"/>
    <w:link w:val="CharStyle71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Relationship Id="rId21" Type="http://schemas.openxmlformats.org/officeDocument/2006/relationships/image" Target="media/image7.jpeg"/><Relationship Id="rId22" Type="http://schemas.openxmlformats.org/officeDocument/2006/relationships/image" Target="media/image7.jpeg" TargetMode="External"/><Relationship Id="rId23" Type="http://schemas.openxmlformats.org/officeDocument/2006/relationships/image" Target="media/image8.jpeg"/><Relationship Id="rId24" Type="http://schemas.openxmlformats.org/officeDocument/2006/relationships/image" Target="media/image8.jpeg" TargetMode="External"/><Relationship Id="rId25" Type="http://schemas.openxmlformats.org/officeDocument/2006/relationships/image" Target="media/image9.jpeg"/><Relationship Id="rId26" Type="http://schemas.openxmlformats.org/officeDocument/2006/relationships/image" Target="media/image9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0_ddd81fae87204c35a531503e2bcdc36b.caj</dc:title>
  <dc:subject/>
  <dc:creator>Administrator</dc:creator>
  <cp:keywords/>
</cp:coreProperties>
</file>