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40054" w14:textId="77777777" w:rsidR="000777AD" w:rsidRDefault="00000000">
      <w:pPr>
        <w:jc w:val="center"/>
      </w:pPr>
      <w:r>
        <w:rPr>
          <w:b/>
          <w:sz w:val="28"/>
        </w:rPr>
        <w:t>TRAVEL — Trustworthy and Reliable Artificial Intelligence for VEhicuLar networks</w:t>
      </w:r>
    </w:p>
    <w:p w14:paraId="52CE8C79" w14:textId="77777777" w:rsidR="000777AD" w:rsidRDefault="000777AD"/>
    <w:p w14:paraId="58EFE1C3" w14:textId="77777777" w:rsidR="000777AD" w:rsidRDefault="00000000">
      <w:pPr>
        <w:jc w:val="center"/>
      </w:pPr>
      <w:r>
        <w:rPr>
          <w:b/>
          <w:sz w:val="24"/>
        </w:rPr>
        <w:t>Contribution draft for Deliverable D3.2 — XAI Schemes for Network Automation</w:t>
      </w:r>
    </w:p>
    <w:p w14:paraId="05B4CD96" w14:textId="77777777" w:rsidR="000777AD" w:rsidRDefault="00000000">
      <w:pPr>
        <w:jc w:val="center"/>
      </w:pPr>
      <w:r>
        <w:rPr>
          <w:sz w:val="20"/>
        </w:rPr>
        <w:t>WP3 — XAI-based E2E network automation  ·  Task T3.2 — Critical and comparative study of XAI approaches for network automation</w:t>
      </w:r>
    </w:p>
    <w:p w14:paraId="043F9B82" w14:textId="77777777" w:rsidR="000777AD" w:rsidRDefault="000777AD"/>
    <w:p w14:paraId="173D7D8E" w14:textId="77777777" w:rsidR="000777AD" w:rsidRDefault="00000000">
      <w:pPr>
        <w:jc w:val="center"/>
      </w:pPr>
      <w:r>
        <w:rPr>
          <w:i/>
          <w:color w:val="B03030"/>
          <w:sz w:val="20"/>
        </w:rPr>
        <w:t>DRAFT v0.2 — internal review version (Dana Dagher / Mouna Ben Mabrouk). Covers completed work: pipeline Steps 1 to 6, including the post-Step-5 design decisions (method-equivalence finding, threshold choice, and stated limitations — Sections 1.5.5–1.5.6). Retraining campaign (Step 7) and fidelity results (Step 8) to be added in the next revision.</w:t>
      </w:r>
    </w:p>
    <w:p w14:paraId="6BA94F6B" w14:textId="77777777" w:rsidR="000777AD" w:rsidRDefault="00000000">
      <w:pPr>
        <w:jc w:val="center"/>
      </w:pPr>
      <w:r>
        <w:rPr>
          <w:sz w:val="20"/>
        </w:rPr>
        <w:t>Date: 17 June 2026</w:t>
      </w:r>
    </w:p>
    <w:p w14:paraId="5958AFB6" w14:textId="77777777" w:rsidR="000777AD" w:rsidRDefault="00000000">
      <w:r>
        <w:br w:type="page"/>
      </w:r>
    </w:p>
    <w:p w14:paraId="3A59AC10" w14:textId="77777777" w:rsidR="000777AD" w:rsidRDefault="00000000">
      <w:pPr>
        <w:pStyle w:val="Titre1"/>
      </w:pPr>
      <w:r>
        <w:lastRenderedPageBreak/>
        <w:t>1  Critical and Comparative Study of XAI Approaches for GNN-based QoS Prediction in SDN Network Automation</w:t>
      </w:r>
    </w:p>
    <w:p w14:paraId="1D2ABE94" w14:textId="77777777" w:rsidR="000777AD" w:rsidRDefault="00000000">
      <w:pPr>
        <w:pStyle w:val="Titre2"/>
      </w:pPr>
      <w:r>
        <w:t>1.1  Introduction</w:t>
      </w:r>
    </w:p>
    <w:p w14:paraId="0BDDE24D" w14:textId="77777777" w:rsidR="000777AD" w:rsidRDefault="00000000">
      <w:r>
        <w:t>Graph Neural Networks (GNNs) are now the reference approach for data-driven network performance modeling: models such as RouteNet-Fermi predict per-flow Quality of Service (QoS) metrics (delay, jitter, loss) directly from the network topology, routing and traffic descriptors, with an accuracy that rivals packet-level simulators at a fraction of their computational cost. However, these models are black boxes: a network operator deploying a GNN inside an SDN automation loop has no visibility into which input features actually drive a prediction. Task T3.2 of the TRAVEL project addresses this gap through a critical and comparative study of explainable AI (XAI) approaches adapted to GNN-based network automation [Obj1].</w:t>
      </w:r>
    </w:p>
    <w:p w14:paraId="5A3F4FBB" w14:textId="77777777" w:rsidR="000777AD" w:rsidRDefault="00000000">
      <w:r>
        <w:t>This contribution compares two complementary feature-attribution families on RouteNet-Fermi: Integrated Gradients (IG), a gradient-based method, and KernelSHAP, a perturbation-based method grounded in cooperative game theory. The comparison is not limited to qualitative inspection of attribution maps: the central question is fidelity — do the features an XAI method designates as important actually carry the predictive signal? Following the Remove-and-Retrain (ROAR) principle, this is answered by retraining the GNN from scratch on reduced feature sets defined by each method’s ranking and measuring the resulting accuracy degradation. A random feature ranking is included as a negative control.</w:t>
      </w:r>
    </w:p>
    <w:p w14:paraId="49E295C5" w14:textId="77777777" w:rsidR="000777AD" w:rsidRDefault="00000000">
      <w:r>
        <w:t>The study follows a 11-step preregistered pipeline. This draft reports the completed Steps 1–6: environment and baseline validation against the RouteNet-Fermi reference publication, implementation and verification of both XAI methods, generation of explanations on a fixed evaluation set, construction of global feature rankings with statistical sufficiency checks, and design of the reduced-input retraining infrastructure. The retraining campaign (13 models) and the fidelity analysis are in progress and will be integrated in the next revision of this section.</w:t>
      </w:r>
    </w:p>
    <w:p w14:paraId="1498826E" w14:textId="77777777" w:rsidR="000777AD" w:rsidRDefault="00000000">
      <w:pPr>
        <w:pStyle w:val="Titre2"/>
      </w:pPr>
      <w:r>
        <w:t>1.2  Background</w:t>
      </w:r>
    </w:p>
    <w:p w14:paraId="39D083F6" w14:textId="77777777" w:rsidR="000777AD" w:rsidRDefault="00000000">
      <w:pPr>
        <w:pStyle w:val="Titre3"/>
      </w:pPr>
      <w:r>
        <w:t>1.2.1  RouteNet-Fermi</w:t>
      </w:r>
    </w:p>
    <w:p w14:paraId="0F635195" w14:textId="77777777" w:rsidR="000777AD" w:rsidRDefault="00000000">
      <w:r>
        <w:t>RouteNet-Fermi (Ferriol-Galmés et al., IEEE/ACM Transactions on Networking, 2023) is a message-passing GNN that models a network as a heterogeneous hypergraph of three entity types — flows (paths), queues and links. Each entity holds a 32-dimensional hidden state initialised by a dedicated embedding MLP from its input features; T = 8 rounds of GRU-based message passing propagate information along the routing structure (queues and links to paths, paths to queues, queues to links); a readout MLP converts per-link path states into queue-occupancy estimates, from which per-flow delay is computed as the sum of queueing delay and transmission delay. The architecture used here is the official BNN-UPC implementation (TensorFlow 2), unchanged.</w:t>
      </w:r>
    </w:p>
    <w:p w14:paraId="703D731A" w14:textId="77777777" w:rsidR="000777AD" w:rsidRDefault="00000000">
      <w:pPr>
        <w:pStyle w:val="Titre3"/>
      </w:pPr>
      <w:r>
        <w:t>1.2.2  Compared XAI methods</w:t>
      </w:r>
    </w:p>
    <w:p w14:paraId="0075B292" w14:textId="77777777" w:rsidR="000777AD" w:rsidRDefault="00000000">
      <w:r>
        <w:t xml:space="preserve">Integrated Gradients (IG) attributes a prediction to each input feature by accumulating the model’s gradients along a straight-line path from a reference (baseline) input to the actual </w:t>
      </w:r>
      <w:r>
        <w:lastRenderedPageBreak/>
        <w:t>input. It is white-box (requires gradients), exact in the limit of fine interpolation, and satisfies completeness (attributions sum to the difference between prediction and baseline prediction).</w:t>
      </w:r>
    </w:p>
    <w:p w14:paraId="3E5043E9" w14:textId="77777777" w:rsidR="000777AD" w:rsidRDefault="00000000">
      <w:r>
        <w:t>KernelSHAP estimates Shapley values — the game-theoretically fair distribution of the prediction among features — via a weighted linear regression over randomly sampled feature coalitions, replacing “absent” features with a background reference. It is black-box (model-agnostic) but sampling-based, hence approximate and computationally heavier per instance.</w:t>
      </w:r>
    </w:p>
    <w:p w14:paraId="284A1651" w14:textId="77777777" w:rsidR="000777AD" w:rsidRDefault="00000000">
      <w:r>
        <w:t>The two methods make different assumptions (local gradients vs. coalition perturbations) and have different failure modes; agreement between them is therefore informative, and disagreement diagnostic. A deterministic random ranking (seed 42) completes the comparison as a negative control: any valid fidelity metric must separate the principled methods from random.</w:t>
      </w:r>
    </w:p>
    <w:p w14:paraId="3D46EA1B" w14:textId="77777777" w:rsidR="000777AD" w:rsidRDefault="00000000">
      <w:pPr>
        <w:pStyle w:val="Titre3"/>
      </w:pPr>
      <w:r>
        <w:t>1.2.3  Fidelity evaluation by retraining (ROAR)</w:t>
      </w:r>
    </w:p>
    <w:p w14:paraId="648FEEFD" w14:textId="77777777" w:rsidR="000777AD" w:rsidRDefault="00000000">
      <w:r>
        <w:t>Evaluating attribution quality on a frozen model is methodologically fragile: masking or perturbing inputs at inference time produces out-of-distribution samples, and the measured degradation conflates feature importance with distribution shift. The Remove-and-Retrain protocol (Hooker et al., NeurIPS 2019) avoids this confound: features designated important (or unimportant) are removed from the dataset, the model is retrained from scratch on the reduced input, and the retrained test accuracy is compared with the full-input baseline. If a ranking is faithful, removing top-ranked features should degrade accuracy sharply, while removing bottom-ranked features should degrade it marginally. The protocol adopted here (confirmed with IMT partners, June 2026) implements removal as column dropping: removed features are absent from the model input, and the input layer dimension is reduced accordingly — a real architectural change per variant, not a runtime mask.</w:t>
      </w:r>
    </w:p>
    <w:p w14:paraId="00D0504F" w14:textId="77777777" w:rsidR="000777AD" w:rsidRDefault="00000000">
      <w:pPr>
        <w:pStyle w:val="Titre2"/>
      </w:pPr>
      <w:r>
        <w:t>1.3  Dataset and Feature Scope</w:t>
      </w:r>
    </w:p>
    <w:p w14:paraId="52A5857E" w14:textId="77777777" w:rsidR="000777AD" w:rsidRDefault="00000000">
      <w:pPr>
        <w:pStyle w:val="Titre3"/>
      </w:pPr>
      <w:r>
        <w:t>1.3.1  Dataset</w:t>
      </w:r>
    </w:p>
    <w:p w14:paraId="32FF25B7" w14:textId="77777777" w:rsidR="000777AD" w:rsidRDefault="00000000">
      <w:r>
        <w:t>All experiments use the public BNN-UPC dataset-v6-traffic-models corpus (the dataset of the RouteNet-Fermi paper’s traffic-models experiment), sub-experiment delay. It contains five sub-datasets by traffic model: constant_bitrate, onoff, autocorrelated (exponentials), modulated (exponentials), and all_multiplexed, in which flows of all classes coexist. Topologies: NSFNET (14 nodes) and GEANT2 (24 nodes) in training, GBN (17 nodes) in test. The study targets all_multiplexed — the hardest and most realistic sub-configuration — for all XAI work; the other four are used once, in the baseline validity check (Section 1.4.1). The all_multiplexed training split contains 15,039 simulations; the test split is disjoint and topology-shifted (GBN unseen in training). The prediction target is per-flow average delay.</w:t>
      </w:r>
    </w:p>
    <w:p w14:paraId="0156B4DA" w14:textId="77777777" w:rsidR="000777AD" w:rsidRDefault="00000000">
      <w:pPr>
        <w:pStyle w:val="Titre3"/>
      </w:pPr>
      <w:r>
        <w:t>1.3.2  Feature scope: 10 rankable scalars vs. 12 structural inputs</w:t>
      </w:r>
    </w:p>
    <w:p w14:paraId="7664BABA" w14:textId="77777777" w:rsidR="000777AD" w:rsidRDefault="00000000">
      <w:r>
        <w:t>RouteNet-Fermi consumes 22 input signals per sample. A central design decision of this study is that only 10 of them — the per-flow path scalars — are in scope for XAI ranking and removal. The remaining 12 inputs define the graph the GNN operates over (routing tensors, link capacity and scheduling policy, queue size/priority/weight, path length, traffic-model one-hot) and are kept in every experimental condition: removing them would change the problem instance itself rather than test feature importance.</w:t>
      </w:r>
    </w:p>
    <w:p w14:paraId="115C5FDE" w14:textId="77777777" w:rsidR="000777AD" w:rsidRDefault="00000000">
      <w:pPr>
        <w:spacing w:before="200"/>
      </w:pPr>
      <w:r>
        <w:rPr>
          <w:b/>
          <w:color w:val="1F3B66"/>
          <w:sz w:val="20"/>
        </w:rPr>
        <w:t>Table 1-1: Input feature scope.</w:t>
      </w:r>
    </w:p>
    <w:tbl>
      <w:tblPr>
        <w:tblStyle w:val="Grilledutableau"/>
        <w:tblW w:w="0" w:type="auto"/>
        <w:jc w:val="center"/>
        <w:tblLook w:val="04A0" w:firstRow="1" w:lastRow="0" w:firstColumn="1" w:lastColumn="0" w:noHBand="0" w:noVBand="1"/>
      </w:tblPr>
      <w:tblGrid>
        <w:gridCol w:w="1474"/>
        <w:gridCol w:w="3515"/>
        <w:gridCol w:w="2494"/>
        <w:gridCol w:w="1587"/>
      </w:tblGrid>
      <w:tr w:rsidR="000777AD" w14:paraId="535BC97F" w14:textId="77777777">
        <w:trPr>
          <w:jc w:val="center"/>
        </w:trPr>
        <w:tc>
          <w:tcPr>
            <w:tcW w:w="1474" w:type="dxa"/>
            <w:shd w:val="clear" w:color="auto" w:fill="D9E2F3"/>
          </w:tcPr>
          <w:p w14:paraId="1FD6950D" w14:textId="77777777" w:rsidR="000777AD" w:rsidRDefault="00000000">
            <w:r>
              <w:rPr>
                <w:b/>
                <w:sz w:val="19"/>
              </w:rPr>
              <w:lastRenderedPageBreak/>
              <w:t>Group</w:t>
            </w:r>
          </w:p>
        </w:tc>
        <w:tc>
          <w:tcPr>
            <w:tcW w:w="3515" w:type="dxa"/>
            <w:shd w:val="clear" w:color="auto" w:fill="D9E2F3"/>
          </w:tcPr>
          <w:p w14:paraId="0620DF8E" w14:textId="77777777" w:rsidR="000777AD" w:rsidRDefault="00000000">
            <w:r>
              <w:rPr>
                <w:b/>
                <w:sz w:val="19"/>
              </w:rPr>
              <w:t>Inputs</w:t>
            </w:r>
          </w:p>
        </w:tc>
        <w:tc>
          <w:tcPr>
            <w:tcW w:w="2494" w:type="dxa"/>
            <w:shd w:val="clear" w:color="auto" w:fill="D9E2F3"/>
          </w:tcPr>
          <w:p w14:paraId="362CF72B" w14:textId="77777777" w:rsidR="000777AD" w:rsidRDefault="00000000">
            <w:r>
              <w:rPr>
                <w:b/>
                <w:sz w:val="19"/>
              </w:rPr>
              <w:t>Role</w:t>
            </w:r>
          </w:p>
        </w:tc>
        <w:tc>
          <w:tcPr>
            <w:tcW w:w="1587" w:type="dxa"/>
            <w:shd w:val="clear" w:color="auto" w:fill="D9E2F3"/>
          </w:tcPr>
          <w:p w14:paraId="76130961" w14:textId="77777777" w:rsidR="000777AD" w:rsidRDefault="00000000">
            <w:r>
              <w:rPr>
                <w:b/>
                <w:sz w:val="19"/>
              </w:rPr>
              <w:t>XAI scope</w:t>
            </w:r>
          </w:p>
        </w:tc>
      </w:tr>
      <w:tr w:rsidR="000777AD" w14:paraId="56791F75" w14:textId="77777777">
        <w:trPr>
          <w:jc w:val="center"/>
        </w:trPr>
        <w:tc>
          <w:tcPr>
            <w:tcW w:w="1474" w:type="dxa"/>
          </w:tcPr>
          <w:p w14:paraId="034DDF56" w14:textId="77777777" w:rsidR="000777AD" w:rsidRDefault="00000000">
            <w:r>
              <w:rPr>
                <w:sz w:val="19"/>
              </w:rPr>
              <w:t>10 path scalars</w:t>
            </w:r>
          </w:p>
        </w:tc>
        <w:tc>
          <w:tcPr>
            <w:tcW w:w="3515" w:type="dxa"/>
          </w:tcPr>
          <w:p w14:paraId="5D7DA3AF" w14:textId="77777777" w:rsidR="000777AD" w:rsidRDefault="00000000">
            <w:r>
              <w:rPr>
                <w:sz w:val="19"/>
              </w:rPr>
              <w:t>traffic, packets, eq_lambda, avg_pkts_lambda, exp_max_factor, pkts_lambda_on, avg_t_off, avg_t_on, ar_a, sigma</w:t>
            </w:r>
          </w:p>
        </w:tc>
        <w:tc>
          <w:tcPr>
            <w:tcW w:w="2494" w:type="dxa"/>
          </w:tcPr>
          <w:p w14:paraId="37FD4852" w14:textId="77777777" w:rsidR="000777AD" w:rsidRDefault="00000000">
            <w:r>
              <w:rPr>
                <w:sz w:val="19"/>
              </w:rPr>
              <w:t>Per-flow traffic descriptors feeding the path embedding</w:t>
            </w:r>
          </w:p>
        </w:tc>
        <w:tc>
          <w:tcPr>
            <w:tcW w:w="1587" w:type="dxa"/>
          </w:tcPr>
          <w:p w14:paraId="0ACC30CF" w14:textId="77777777" w:rsidR="000777AD" w:rsidRDefault="00000000">
            <w:r>
              <w:rPr>
                <w:sz w:val="19"/>
              </w:rPr>
              <w:t>Ranked; droppable</w:t>
            </w:r>
          </w:p>
        </w:tc>
      </w:tr>
      <w:tr w:rsidR="000777AD" w14:paraId="0B693754" w14:textId="77777777">
        <w:trPr>
          <w:jc w:val="center"/>
        </w:trPr>
        <w:tc>
          <w:tcPr>
            <w:tcW w:w="1474" w:type="dxa"/>
          </w:tcPr>
          <w:p w14:paraId="7FB8B66C" w14:textId="77777777" w:rsidR="000777AD" w:rsidRDefault="00000000">
            <w:r>
              <w:rPr>
                <w:sz w:val="19"/>
              </w:rPr>
              <w:t>12 structural inputs</w:t>
            </w:r>
          </w:p>
        </w:tc>
        <w:tc>
          <w:tcPr>
            <w:tcW w:w="3515" w:type="dxa"/>
          </w:tcPr>
          <w:p w14:paraId="6C3B5527" w14:textId="77777777" w:rsidR="000777AD" w:rsidRDefault="00000000">
            <w:r>
              <w:rPr>
                <w:sz w:val="19"/>
              </w:rPr>
              <w:t>length, model (one-hot), capacity, policy, queue_size, priority, weight, and 5 routing/topology index tensors</w:t>
            </w:r>
          </w:p>
        </w:tc>
        <w:tc>
          <w:tcPr>
            <w:tcW w:w="2494" w:type="dxa"/>
          </w:tcPr>
          <w:p w14:paraId="3B3EA630" w14:textId="77777777" w:rsidR="000777AD" w:rsidRDefault="00000000">
            <w:r>
              <w:rPr>
                <w:sz w:val="19"/>
              </w:rPr>
              <w:t>Define the hypergraph and the physics of the simulation</w:t>
            </w:r>
          </w:p>
        </w:tc>
        <w:tc>
          <w:tcPr>
            <w:tcW w:w="1587" w:type="dxa"/>
          </w:tcPr>
          <w:p w14:paraId="6D7A645D" w14:textId="77777777" w:rsidR="000777AD" w:rsidRDefault="00000000">
            <w:r>
              <w:rPr>
                <w:sz w:val="19"/>
              </w:rPr>
              <w:t>Always present; never dropped</w:t>
            </w:r>
          </w:p>
        </w:tc>
      </w:tr>
    </w:tbl>
    <w:p w14:paraId="5E7C4896" w14:textId="77777777" w:rsidR="000777AD" w:rsidRDefault="000777AD"/>
    <w:p w14:paraId="60F98FBC" w14:textId="77777777" w:rsidR="000777AD" w:rsidRDefault="00000000">
      <w:r>
        <w:t>Two scalars, traffic and packets, have a dual role: they are rankable path-embedding inputs and they enter the structural computations (link load = Σ traffic / capacity; transmission delay uses packet size = traffic / packets). When a variant “drops” them, they are removed from the learned path representation but retained for the structural computations — the protocol tests what the model is allowed to learn from, not the physics of the simulator.</w:t>
      </w:r>
    </w:p>
    <w:p w14:paraId="610C190E" w14:textId="77777777" w:rsidR="000777AD" w:rsidRDefault="00000000">
      <w:pPr>
        <w:pStyle w:val="Titre2"/>
      </w:pPr>
      <w:r>
        <w:t>1.4  Methodology and Completed Pipeline Steps</w:t>
      </w:r>
    </w:p>
    <w:p w14:paraId="282A0E4C" w14:textId="77777777" w:rsidR="000777AD" w:rsidRDefault="00000000">
      <w:pPr>
        <w:pStyle w:val="Titre3"/>
      </w:pPr>
      <w:r>
        <w:t>1.4.1  Environment and baseline validation (Steps 1, 2.5)</w:t>
      </w:r>
    </w:p>
    <w:p w14:paraId="707335C6" w14:textId="77777777" w:rsidR="000777AD" w:rsidRDefault="00000000">
      <w:r>
        <w:t>The working environment reproduces the reference implementation: official BNN-UPC repository, TensorFlow 2.6.5, Python 3.7.9, with the pretrained checkpoints shipped by the authors. Before any XAI work, the environment and the planned evaluation budget were validated by reproducing Table V of the RouteNet-Fermi paper: the upstream pretrained checkpoint of each sub-dataset was evaluated on N = 300 deterministic test simulations (81,600 flows per sub-dataset).</w:t>
      </w:r>
    </w:p>
    <w:p w14:paraId="0EE2E7AA" w14:textId="77777777" w:rsidR="000777AD" w:rsidRDefault="00000000">
      <w:pPr>
        <w:spacing w:before="200"/>
      </w:pPr>
      <w:r>
        <w:rPr>
          <w:b/>
          <w:color w:val="1F3B66"/>
          <w:sz w:val="20"/>
        </w:rPr>
        <w:t>Table 1-2: Reproduction of RouteNet-Fermi paper Table V (delay MAPE) on N = 300 test simulations per sub-dataset.</w:t>
      </w:r>
    </w:p>
    <w:tbl>
      <w:tblPr>
        <w:tblStyle w:val="Grilledutableau"/>
        <w:tblW w:w="0" w:type="auto"/>
        <w:jc w:val="center"/>
        <w:tblLook w:val="04A0" w:firstRow="1" w:lastRow="0" w:firstColumn="1" w:lastColumn="0" w:noHBand="0" w:noVBand="1"/>
      </w:tblPr>
      <w:tblGrid>
        <w:gridCol w:w="2268"/>
        <w:gridCol w:w="2268"/>
        <w:gridCol w:w="2608"/>
        <w:gridCol w:w="1701"/>
      </w:tblGrid>
      <w:tr w:rsidR="000777AD" w14:paraId="02CB100E" w14:textId="77777777">
        <w:trPr>
          <w:jc w:val="center"/>
        </w:trPr>
        <w:tc>
          <w:tcPr>
            <w:tcW w:w="2268" w:type="dxa"/>
            <w:shd w:val="clear" w:color="auto" w:fill="D9E2F3"/>
          </w:tcPr>
          <w:p w14:paraId="31DE2C9E" w14:textId="77777777" w:rsidR="000777AD" w:rsidRDefault="00000000">
            <w:r>
              <w:rPr>
                <w:b/>
                <w:sz w:val="19"/>
              </w:rPr>
              <w:t>Sub-dataset</w:t>
            </w:r>
          </w:p>
        </w:tc>
        <w:tc>
          <w:tcPr>
            <w:tcW w:w="2268" w:type="dxa"/>
            <w:shd w:val="clear" w:color="auto" w:fill="D9E2F3"/>
          </w:tcPr>
          <w:p w14:paraId="3362644B" w14:textId="77777777" w:rsidR="000777AD" w:rsidRDefault="00000000">
            <w:r>
              <w:rPr>
                <w:b/>
                <w:sz w:val="19"/>
              </w:rPr>
              <w:t>Paper MAPE (delay)</w:t>
            </w:r>
          </w:p>
        </w:tc>
        <w:tc>
          <w:tcPr>
            <w:tcW w:w="2608" w:type="dxa"/>
            <w:shd w:val="clear" w:color="auto" w:fill="D9E2F3"/>
          </w:tcPr>
          <w:p w14:paraId="60AE623E" w14:textId="77777777" w:rsidR="000777AD" w:rsidRDefault="00000000">
            <w:r>
              <w:rPr>
                <w:b/>
                <w:sz w:val="19"/>
              </w:rPr>
              <w:t>Reproduced MAPE (N=300)</w:t>
            </w:r>
          </w:p>
        </w:tc>
        <w:tc>
          <w:tcPr>
            <w:tcW w:w="1701" w:type="dxa"/>
            <w:shd w:val="clear" w:color="auto" w:fill="D9E2F3"/>
          </w:tcPr>
          <w:p w14:paraId="1CFBCBED" w14:textId="77777777" w:rsidR="000777AD" w:rsidRDefault="00000000">
            <w:r>
              <w:rPr>
                <w:b/>
                <w:sz w:val="19"/>
              </w:rPr>
              <w:t>Delta</w:t>
            </w:r>
          </w:p>
        </w:tc>
      </w:tr>
      <w:tr w:rsidR="000777AD" w14:paraId="518207DE" w14:textId="77777777">
        <w:trPr>
          <w:jc w:val="center"/>
        </w:trPr>
        <w:tc>
          <w:tcPr>
            <w:tcW w:w="2268" w:type="dxa"/>
          </w:tcPr>
          <w:p w14:paraId="43338B1B" w14:textId="77777777" w:rsidR="000777AD" w:rsidRDefault="00000000">
            <w:r>
              <w:rPr>
                <w:sz w:val="19"/>
              </w:rPr>
              <w:t>constant_bitrate</w:t>
            </w:r>
          </w:p>
        </w:tc>
        <w:tc>
          <w:tcPr>
            <w:tcW w:w="2268" w:type="dxa"/>
          </w:tcPr>
          <w:p w14:paraId="2B6C501F" w14:textId="77777777" w:rsidR="000777AD" w:rsidRDefault="00000000">
            <w:r>
              <w:rPr>
                <w:sz w:val="19"/>
              </w:rPr>
              <w:t>4.43 %</w:t>
            </w:r>
          </w:p>
        </w:tc>
        <w:tc>
          <w:tcPr>
            <w:tcW w:w="2608" w:type="dxa"/>
          </w:tcPr>
          <w:p w14:paraId="754A8069" w14:textId="77777777" w:rsidR="000777AD" w:rsidRDefault="00000000">
            <w:r>
              <w:rPr>
                <w:sz w:val="19"/>
              </w:rPr>
              <w:t>4.47 %</w:t>
            </w:r>
          </w:p>
        </w:tc>
        <w:tc>
          <w:tcPr>
            <w:tcW w:w="1701" w:type="dxa"/>
          </w:tcPr>
          <w:p w14:paraId="462D4377" w14:textId="77777777" w:rsidR="000777AD" w:rsidRDefault="00000000">
            <w:r>
              <w:rPr>
                <w:sz w:val="19"/>
              </w:rPr>
              <w:t>+0.04 pp</w:t>
            </w:r>
          </w:p>
        </w:tc>
      </w:tr>
      <w:tr w:rsidR="000777AD" w14:paraId="4B03116C" w14:textId="77777777">
        <w:trPr>
          <w:jc w:val="center"/>
        </w:trPr>
        <w:tc>
          <w:tcPr>
            <w:tcW w:w="2268" w:type="dxa"/>
          </w:tcPr>
          <w:p w14:paraId="0474AF1C" w14:textId="77777777" w:rsidR="000777AD" w:rsidRDefault="00000000">
            <w:r>
              <w:rPr>
                <w:sz w:val="19"/>
              </w:rPr>
              <w:t>onoff</w:t>
            </w:r>
          </w:p>
        </w:tc>
        <w:tc>
          <w:tcPr>
            <w:tcW w:w="2268" w:type="dxa"/>
          </w:tcPr>
          <w:p w14:paraId="0B6E8863" w14:textId="77777777" w:rsidR="000777AD" w:rsidRDefault="00000000">
            <w:r>
              <w:rPr>
                <w:sz w:val="19"/>
              </w:rPr>
              <w:t>2.90 %</w:t>
            </w:r>
          </w:p>
        </w:tc>
        <w:tc>
          <w:tcPr>
            <w:tcW w:w="2608" w:type="dxa"/>
          </w:tcPr>
          <w:p w14:paraId="2A72EED2" w14:textId="77777777" w:rsidR="000777AD" w:rsidRDefault="00000000">
            <w:r>
              <w:rPr>
                <w:sz w:val="19"/>
              </w:rPr>
              <w:t>2.83 %</w:t>
            </w:r>
          </w:p>
        </w:tc>
        <w:tc>
          <w:tcPr>
            <w:tcW w:w="1701" w:type="dxa"/>
          </w:tcPr>
          <w:p w14:paraId="1640B240" w14:textId="77777777" w:rsidR="000777AD" w:rsidRDefault="00000000">
            <w:r>
              <w:rPr>
                <w:sz w:val="19"/>
              </w:rPr>
              <w:t>−0.07 pp</w:t>
            </w:r>
          </w:p>
        </w:tc>
      </w:tr>
      <w:tr w:rsidR="000777AD" w14:paraId="5C3B3684" w14:textId="77777777">
        <w:trPr>
          <w:jc w:val="center"/>
        </w:trPr>
        <w:tc>
          <w:tcPr>
            <w:tcW w:w="2268" w:type="dxa"/>
          </w:tcPr>
          <w:p w14:paraId="4FC043B6" w14:textId="77777777" w:rsidR="000777AD" w:rsidRDefault="00000000">
            <w:r>
              <w:rPr>
                <w:sz w:val="19"/>
              </w:rPr>
              <w:t>autocorrelated</w:t>
            </w:r>
          </w:p>
        </w:tc>
        <w:tc>
          <w:tcPr>
            <w:tcW w:w="2268" w:type="dxa"/>
          </w:tcPr>
          <w:p w14:paraId="1DF2710A" w14:textId="77777777" w:rsidR="000777AD" w:rsidRDefault="00000000">
            <w:r>
              <w:rPr>
                <w:sz w:val="19"/>
              </w:rPr>
              <w:t>2.62 %</w:t>
            </w:r>
          </w:p>
        </w:tc>
        <w:tc>
          <w:tcPr>
            <w:tcW w:w="2608" w:type="dxa"/>
          </w:tcPr>
          <w:p w14:paraId="78E750E4" w14:textId="77777777" w:rsidR="000777AD" w:rsidRDefault="00000000">
            <w:r>
              <w:rPr>
                <w:sz w:val="19"/>
              </w:rPr>
              <w:t>2.51 %</w:t>
            </w:r>
          </w:p>
        </w:tc>
        <w:tc>
          <w:tcPr>
            <w:tcW w:w="1701" w:type="dxa"/>
          </w:tcPr>
          <w:p w14:paraId="5D1726E0" w14:textId="77777777" w:rsidR="000777AD" w:rsidRDefault="00000000">
            <w:r>
              <w:rPr>
                <w:sz w:val="19"/>
              </w:rPr>
              <w:t>−0.11 pp</w:t>
            </w:r>
          </w:p>
        </w:tc>
      </w:tr>
      <w:tr w:rsidR="000777AD" w14:paraId="6A34E84A" w14:textId="77777777">
        <w:trPr>
          <w:jc w:val="center"/>
        </w:trPr>
        <w:tc>
          <w:tcPr>
            <w:tcW w:w="2268" w:type="dxa"/>
          </w:tcPr>
          <w:p w14:paraId="66A7494E" w14:textId="77777777" w:rsidR="000777AD" w:rsidRDefault="00000000">
            <w:r>
              <w:rPr>
                <w:sz w:val="19"/>
              </w:rPr>
              <w:t>modulated</w:t>
            </w:r>
          </w:p>
        </w:tc>
        <w:tc>
          <w:tcPr>
            <w:tcW w:w="2268" w:type="dxa"/>
          </w:tcPr>
          <w:p w14:paraId="3AB42FFF" w14:textId="77777777" w:rsidR="000777AD" w:rsidRDefault="00000000">
            <w:r>
              <w:rPr>
                <w:sz w:val="19"/>
              </w:rPr>
              <w:t>5.21 %</w:t>
            </w:r>
          </w:p>
        </w:tc>
        <w:tc>
          <w:tcPr>
            <w:tcW w:w="2608" w:type="dxa"/>
          </w:tcPr>
          <w:p w14:paraId="2DA20A60" w14:textId="77777777" w:rsidR="000777AD" w:rsidRDefault="00000000">
            <w:r>
              <w:rPr>
                <w:sz w:val="19"/>
              </w:rPr>
              <w:t>5.23 %</w:t>
            </w:r>
          </w:p>
        </w:tc>
        <w:tc>
          <w:tcPr>
            <w:tcW w:w="1701" w:type="dxa"/>
          </w:tcPr>
          <w:p w14:paraId="3C74DC51" w14:textId="77777777" w:rsidR="000777AD" w:rsidRDefault="00000000">
            <w:r>
              <w:rPr>
                <w:sz w:val="19"/>
              </w:rPr>
              <w:t>+0.02 pp</w:t>
            </w:r>
          </w:p>
        </w:tc>
      </w:tr>
      <w:tr w:rsidR="000777AD" w14:paraId="2EAC732D" w14:textId="77777777">
        <w:trPr>
          <w:jc w:val="center"/>
        </w:trPr>
        <w:tc>
          <w:tcPr>
            <w:tcW w:w="2268" w:type="dxa"/>
          </w:tcPr>
          <w:p w14:paraId="0AC0490F" w14:textId="77777777" w:rsidR="000777AD" w:rsidRDefault="00000000">
            <w:r>
              <w:rPr>
                <w:sz w:val="19"/>
              </w:rPr>
              <w:t>all_multiplexed</w:t>
            </w:r>
          </w:p>
        </w:tc>
        <w:tc>
          <w:tcPr>
            <w:tcW w:w="2268" w:type="dxa"/>
          </w:tcPr>
          <w:p w14:paraId="0DBF86B0" w14:textId="77777777" w:rsidR="000777AD" w:rsidRDefault="00000000">
            <w:r>
              <w:rPr>
                <w:sz w:val="19"/>
              </w:rPr>
              <w:t>4.71 %</w:t>
            </w:r>
          </w:p>
        </w:tc>
        <w:tc>
          <w:tcPr>
            <w:tcW w:w="2608" w:type="dxa"/>
          </w:tcPr>
          <w:p w14:paraId="079ED74C" w14:textId="77777777" w:rsidR="000777AD" w:rsidRDefault="00000000">
            <w:r>
              <w:rPr>
                <w:sz w:val="19"/>
              </w:rPr>
              <w:t>4.62 %</w:t>
            </w:r>
          </w:p>
        </w:tc>
        <w:tc>
          <w:tcPr>
            <w:tcW w:w="1701" w:type="dxa"/>
          </w:tcPr>
          <w:p w14:paraId="73B62B6A" w14:textId="77777777" w:rsidR="000777AD" w:rsidRDefault="00000000">
            <w:r>
              <w:rPr>
                <w:sz w:val="19"/>
              </w:rPr>
              <w:t>−0.09 pp</w:t>
            </w:r>
          </w:p>
        </w:tc>
      </w:tr>
    </w:tbl>
    <w:p w14:paraId="28CB4DF4" w14:textId="77777777" w:rsidR="000777AD" w:rsidRDefault="000777AD"/>
    <w:p w14:paraId="1A7A63DB" w14:textId="77777777" w:rsidR="000777AD" w:rsidRDefault="00000000">
      <w:r>
        <w:t>All five sub-datasets match the published numbers within 0.11 percentage points. This validates (i) the correctness of the environment, and (ii) N = 300 simulations as a representative evaluation budget, which was then locked as the explanation-set size for both XAI methods.</w:t>
      </w:r>
    </w:p>
    <w:p w14:paraId="645596B5" w14:textId="77777777" w:rsidR="000777AD" w:rsidRDefault="00000000">
      <w:pPr>
        <w:pStyle w:val="Titre3"/>
      </w:pPr>
      <w:r>
        <w:t>1.4.2  XAI implementation and verification (Step 3)</w:t>
      </w:r>
    </w:p>
    <w:p w14:paraId="428388E7" w14:textId="77777777" w:rsidR="000777AD" w:rsidRDefault="00000000">
      <w:r>
        <w:t xml:space="preserve">Both methods were implemented against the unmodified pretrained model, with the explanation target defined as the predicted delay of one reference flow (flow index 0) per simulation, attributed over its 10 path scalars while the rest of the graph (all other flows, </w:t>
      </w:r>
      <w:r>
        <w:lastRenderedPageBreak/>
        <w:t>queues, links, topology) is held fixed. Key implementation choices, locked before any result was inspected:</w:t>
      </w:r>
    </w:p>
    <w:p w14:paraId="4B27D604" w14:textId="77777777" w:rsidR="000777AD" w:rsidRDefault="00000000">
      <w:pPr>
        <w:pStyle w:val="Listepuces"/>
      </w:pPr>
      <w:r>
        <w:rPr>
          <w:b/>
        </w:rPr>
        <w:t xml:space="preserve">Reference point: </w:t>
      </w:r>
      <w:r>
        <w:t>the per-feature median over 500 training simulations (≈136,000 flows) serves as the IG baseline and the KernelSHAP background. A training-set statistic avoids test leakage; the median is robust to the heavy-tailed traffic distributions.</w:t>
      </w:r>
    </w:p>
    <w:p w14:paraId="524A37F6" w14:textId="77777777" w:rsidR="000777AD" w:rsidRDefault="00000000">
      <w:pPr>
        <w:pStyle w:val="Listepuces"/>
      </w:pPr>
      <w:r>
        <w:rPr>
          <w:b/>
        </w:rPr>
        <w:t xml:space="preserve">IG: </w:t>
      </w:r>
      <w:r>
        <w:t>50-step linear interpolation, trapezoidal accumulation of gradients of the flow-0 delay output w.r.t. its 10 path scalars.</w:t>
      </w:r>
    </w:p>
    <w:p w14:paraId="0451B069" w14:textId="77777777" w:rsidR="000777AD" w:rsidRDefault="00000000">
      <w:pPr>
        <w:pStyle w:val="Listepuces"/>
      </w:pPr>
      <w:r>
        <w:rPr>
          <w:b/>
        </w:rPr>
        <w:t xml:space="preserve">KernelSHAP: </w:t>
      </w:r>
      <w:r>
        <w:t>256 coalition perturbations per simulation (shap.KernelExplainer, single-reference background).</w:t>
      </w:r>
    </w:p>
    <w:p w14:paraId="4CE97007" w14:textId="77777777" w:rsidR="000777AD" w:rsidRDefault="00000000">
      <w:pPr>
        <w:pStyle w:val="Listepuces"/>
      </w:pPr>
      <w:r>
        <w:rPr>
          <w:b/>
        </w:rPr>
        <w:t xml:space="preserve">Random control: </w:t>
      </w:r>
      <w:r>
        <w:t>a deterministic permutation of the 10 features (seed 42), generated once.</w:t>
      </w:r>
    </w:p>
    <w:p w14:paraId="327BAC1D" w14:textId="77777777" w:rsidR="000777AD" w:rsidRDefault="00000000">
      <w:pPr>
        <w:pStyle w:val="Listepuces"/>
      </w:pPr>
      <w:r>
        <w:rPr>
          <w:b/>
        </w:rPr>
        <w:t xml:space="preserve">Unit tests: </w:t>
      </w:r>
      <w:r>
        <w:t>both implementations pass synthetic sanity checks (known-answer attribution on controlled inputs) and real-data smoke tests before production use.</w:t>
      </w:r>
    </w:p>
    <w:p w14:paraId="4D8699C5" w14:textId="77777777" w:rsidR="000777AD" w:rsidRDefault="00000000">
      <w:pPr>
        <w:pStyle w:val="Titre3"/>
      </w:pPr>
      <w:r>
        <w:t>1.4.3  Preregistration (Step 3.5)</w:t>
      </w:r>
    </w:p>
    <w:p w14:paraId="3FC5EE1D" w14:textId="77777777" w:rsidR="000777AD" w:rsidRDefault="00000000">
      <w:r>
        <w:t>Before generating any explanation, theoretical expectations were written down and committed: which features should rank high under queueing-theoretic reasoning (traffic and packets as load drivers; sigma for modulated-traffic flows), the expected behaviour of the random control, and the decision thresholds for the statistical checks of Step 5. This preregistration discipline protects the comparative analysis from post-hoc rationalisation.</w:t>
      </w:r>
    </w:p>
    <w:p w14:paraId="274C9651" w14:textId="77777777" w:rsidR="000777AD" w:rsidRDefault="00000000">
      <w:pPr>
        <w:pStyle w:val="Titre3"/>
      </w:pPr>
      <w:r>
        <w:t>1.4.4  Explanation generation (Step 4)</w:t>
      </w:r>
    </w:p>
    <w:p w14:paraId="402F7BB7" w14:textId="77777777" w:rsidR="000777AD" w:rsidRDefault="00000000">
      <w:r>
        <w:t>Both methods were run on the same locked set of 300 all_multiplexed test simulations (deterministic order, indices committed to the repository). Each run produces one 10-dimensional attribution vector per simulation. Raw sequential wall-clock (44 min IG, 10 min KernelSHAP) is not a fair cost comparison: the two methods ran back-to-back, so KernelSHAP inherited the TensorFlow graph already JIT-compiled by the IG run and only IG paid the one-time compilation. The complexity comparison is therefore based on model evaluations per explanation and on equally-warmed timing, reported in Section 1.5.5. Three audits were performed on the raw attributions:</w:t>
      </w:r>
    </w:p>
    <w:p w14:paraId="78A9F099" w14:textId="77777777" w:rsidR="000777AD" w:rsidRDefault="00000000">
      <w:pPr>
        <w:pStyle w:val="Listepuces"/>
      </w:pPr>
      <w:r>
        <w:rPr>
          <w:b/>
        </w:rPr>
        <w:t xml:space="preserve">Sign structure: </w:t>
      </w:r>
      <w:r>
        <w:t>traffic and packets attributions split ≈50/50 positive/negative across simulations — expected for signed IG around a median reference (flows above the median push delay up, below pull it down); magnitudes remain consistently high. Global aggregation therefore uses mean absolute attribution.</w:t>
      </w:r>
    </w:p>
    <w:p w14:paraId="2A80049C" w14:textId="77777777" w:rsidR="000777AD" w:rsidRDefault="00000000">
      <w:pPr>
        <w:pStyle w:val="Listepuces"/>
      </w:pPr>
      <w:r>
        <w:rPr>
          <w:b/>
        </w:rPr>
        <w:t xml:space="preserve">Outlier sensitivity: </w:t>
      </w:r>
      <w:r>
        <w:t>removing the five largest sigma attributions changes its global score by &lt;8 % and does not change its rank — the sigma finding is not outlier-driven.</w:t>
      </w:r>
    </w:p>
    <w:p w14:paraId="0C3DA539" w14:textId="77777777" w:rsidR="000777AD" w:rsidRDefault="00000000">
      <w:pPr>
        <w:pStyle w:val="Listepuces"/>
      </w:pPr>
      <w:r>
        <w:rPr>
          <w:b/>
        </w:rPr>
        <w:t xml:space="preserve">Parameter audit: </w:t>
      </w:r>
      <w:r>
        <w:t>interpolation steps (50) and perturbation count (256) verified by source inspection and per-run logs.</w:t>
      </w:r>
    </w:p>
    <w:p w14:paraId="33F8394D" w14:textId="77777777" w:rsidR="000777AD" w:rsidRDefault="00000000">
      <w:r>
        <w:t>In addition, both methods were re-run with an alternative reference (the training-set mean instead of the median) on all 300 simulations, providing a reference-sensitivity (stability) measurement reported in Section 1.5.3.</w:t>
      </w:r>
    </w:p>
    <w:p w14:paraId="54BAFE49" w14:textId="77777777" w:rsidR="000777AD" w:rsidRDefault="00000000">
      <w:pPr>
        <w:pStyle w:val="Titre3"/>
      </w:pPr>
      <w:r>
        <w:t>1.4.5  Global ranking construction (Step 5)</w:t>
      </w:r>
    </w:p>
    <w:p w14:paraId="24BA2305" w14:textId="77777777" w:rsidR="000777AD" w:rsidRDefault="00000000">
      <w:r>
        <w:t xml:space="preserve">Per-method global rankings are obtained by averaging absolute attributions over the 300 simulations and sorting. Statistical sufficiency of the explanation budget was tested by a half-split check: rankings computed independently on simulations 0–149 and 150–299 are </w:t>
      </w:r>
      <w:r>
        <w:lastRenderedPageBreak/>
        <w:t>compared by Spearman rank correlation, with ρ ≥ 0.7 preregistered as the acceptance threshold.</w:t>
      </w:r>
    </w:p>
    <w:p w14:paraId="13DE2AE5" w14:textId="77777777" w:rsidR="000777AD" w:rsidRDefault="00000000">
      <w:pPr>
        <w:pStyle w:val="Titre3"/>
      </w:pPr>
      <w:r>
        <w:t>1.4.6  Reduced-input variant design (Step 6)</w:t>
      </w:r>
    </w:p>
    <w:p w14:paraId="4D204FE2" w14:textId="77777777" w:rsidR="000777AD" w:rsidRDefault="00000000">
      <w:r>
        <w:t>For each method M ∈ {IG, KernelSHAP} and each threshold k ∈ {30, 50, 70}, the 10 scalars are partitioned according to M’s ranking into a relevant_k variant (keep the top-k% features: top-3 / top-5 / top-7) and an irrelevant_k variant (keep the complementary bottom-70/50/30%: 7 / 5 / 3 features). The thresholds are aligned to the attribution structure found in Step 5, where both methods place the same three features above a ~19–20× importance cliff: k = 30 isolates exactly this top-3 set. With the full-input baseline, and accounting for the fact that IG and KernelSHAP produce identical kept-feature sets at every cell (their rankings differ only by adjacent swaps that never cross a cut boundary), this yields 13 unique training configurations: one baseline, six principled variants (shared by IG and KernelSHAP), and six random-control variants. Implementation: the data loader accepts a dropped-feature list and removes those columns at load time; the model’s path-embedding input layer is dimensioned to the kept-feature count (n_kept + 7 for the always-present traffic-model one-hot). All other layers are identical to the reference architecture. Each configuration is a committed JSON file recording the kept/dropped sets and the resulting input dimension.</w:t>
      </w:r>
    </w:p>
    <w:p w14:paraId="6BA56FE2" w14:textId="77777777" w:rsidR="000777AD" w:rsidRDefault="00000000">
      <w:r>
        <w:t>A smoke test executed all 13 configurations end-to-end on real test data and verified, for each: correct reduced input dimension, successful data loading, absence of dropped features and presence of kept features in the loaded batches, and a complete forward pass. Result: 13/13 pass.</w:t>
      </w:r>
    </w:p>
    <w:p w14:paraId="44C228B0" w14:textId="77777777" w:rsidR="000777AD" w:rsidRDefault="00000000">
      <w:pPr>
        <w:pStyle w:val="Titre2"/>
      </w:pPr>
      <w:r>
        <w:t>1.5  Results of the Completed Phases</w:t>
      </w:r>
    </w:p>
    <w:p w14:paraId="679FBDE1" w14:textId="77777777" w:rsidR="000777AD" w:rsidRDefault="00000000">
      <w:pPr>
        <w:pStyle w:val="Titre3"/>
      </w:pPr>
      <w:r>
        <w:t>1.5.1  Global feature rankings</w:t>
      </w:r>
    </w:p>
    <w:p w14:paraId="764447B0" w14:textId="77777777" w:rsidR="000777AD" w:rsidRDefault="00000000">
      <w:pPr>
        <w:spacing w:before="200"/>
      </w:pPr>
      <w:r>
        <w:rPr>
          <w:b/>
          <w:color w:val="1F3B66"/>
          <w:sz w:val="20"/>
        </w:rPr>
        <w:t>Table 1-3: Global feature rankings (mean absolute attribution over 300 simulations, median reference).</w:t>
      </w:r>
    </w:p>
    <w:tbl>
      <w:tblPr>
        <w:tblStyle w:val="Grilledutableau"/>
        <w:tblW w:w="0" w:type="auto"/>
        <w:jc w:val="center"/>
        <w:tblLook w:val="04A0" w:firstRow="1" w:lastRow="0" w:firstColumn="1" w:lastColumn="0" w:noHBand="0" w:noVBand="1"/>
      </w:tblPr>
      <w:tblGrid>
        <w:gridCol w:w="794"/>
        <w:gridCol w:w="2154"/>
        <w:gridCol w:w="1701"/>
        <w:gridCol w:w="2381"/>
        <w:gridCol w:w="1814"/>
      </w:tblGrid>
      <w:tr w:rsidR="000777AD" w14:paraId="30CC12F8" w14:textId="77777777">
        <w:trPr>
          <w:jc w:val="center"/>
        </w:trPr>
        <w:tc>
          <w:tcPr>
            <w:tcW w:w="794" w:type="dxa"/>
            <w:shd w:val="clear" w:color="auto" w:fill="D9E2F3"/>
          </w:tcPr>
          <w:p w14:paraId="347F1ACE" w14:textId="77777777" w:rsidR="000777AD" w:rsidRDefault="00000000">
            <w:r>
              <w:rPr>
                <w:b/>
                <w:sz w:val="19"/>
              </w:rPr>
              <w:t>Rank</w:t>
            </w:r>
          </w:p>
        </w:tc>
        <w:tc>
          <w:tcPr>
            <w:tcW w:w="2154" w:type="dxa"/>
            <w:shd w:val="clear" w:color="auto" w:fill="D9E2F3"/>
          </w:tcPr>
          <w:p w14:paraId="0B343205" w14:textId="77777777" w:rsidR="000777AD" w:rsidRDefault="00000000">
            <w:r>
              <w:rPr>
                <w:b/>
                <w:sz w:val="19"/>
              </w:rPr>
              <w:t>IG — feature</w:t>
            </w:r>
          </w:p>
        </w:tc>
        <w:tc>
          <w:tcPr>
            <w:tcW w:w="1701" w:type="dxa"/>
            <w:shd w:val="clear" w:color="auto" w:fill="D9E2F3"/>
          </w:tcPr>
          <w:p w14:paraId="6C6FB3D8" w14:textId="77777777" w:rsidR="000777AD" w:rsidRDefault="00000000">
            <w:r>
              <w:rPr>
                <w:b/>
                <w:sz w:val="19"/>
              </w:rPr>
              <w:t>IG — mean |attr.|</w:t>
            </w:r>
          </w:p>
        </w:tc>
        <w:tc>
          <w:tcPr>
            <w:tcW w:w="2381" w:type="dxa"/>
            <w:shd w:val="clear" w:color="auto" w:fill="D9E2F3"/>
          </w:tcPr>
          <w:p w14:paraId="145350FE" w14:textId="77777777" w:rsidR="000777AD" w:rsidRDefault="00000000">
            <w:r>
              <w:rPr>
                <w:b/>
                <w:sz w:val="19"/>
              </w:rPr>
              <w:t>KernelSHAP — feature</w:t>
            </w:r>
          </w:p>
        </w:tc>
        <w:tc>
          <w:tcPr>
            <w:tcW w:w="1814" w:type="dxa"/>
            <w:shd w:val="clear" w:color="auto" w:fill="D9E2F3"/>
          </w:tcPr>
          <w:p w14:paraId="5B56ECEC" w14:textId="77777777" w:rsidR="000777AD" w:rsidRDefault="00000000">
            <w:r>
              <w:rPr>
                <w:b/>
                <w:sz w:val="19"/>
              </w:rPr>
              <w:t>SHAP — mean |attr.|</w:t>
            </w:r>
          </w:p>
        </w:tc>
      </w:tr>
      <w:tr w:rsidR="000777AD" w14:paraId="47FAC252" w14:textId="77777777">
        <w:trPr>
          <w:jc w:val="center"/>
        </w:trPr>
        <w:tc>
          <w:tcPr>
            <w:tcW w:w="794" w:type="dxa"/>
          </w:tcPr>
          <w:p w14:paraId="200089E4" w14:textId="77777777" w:rsidR="000777AD" w:rsidRDefault="00000000">
            <w:r>
              <w:rPr>
                <w:sz w:val="19"/>
              </w:rPr>
              <w:t>1</w:t>
            </w:r>
          </w:p>
        </w:tc>
        <w:tc>
          <w:tcPr>
            <w:tcW w:w="2154" w:type="dxa"/>
          </w:tcPr>
          <w:p w14:paraId="4FB6A27B" w14:textId="77777777" w:rsidR="000777AD" w:rsidRDefault="00000000">
            <w:r>
              <w:rPr>
                <w:sz w:val="19"/>
              </w:rPr>
              <w:t>sigma</w:t>
            </w:r>
          </w:p>
        </w:tc>
        <w:tc>
          <w:tcPr>
            <w:tcW w:w="1701" w:type="dxa"/>
          </w:tcPr>
          <w:p w14:paraId="2C841A6F" w14:textId="77777777" w:rsidR="000777AD" w:rsidRDefault="00000000">
            <w:r>
              <w:rPr>
                <w:sz w:val="19"/>
              </w:rPr>
              <w:t>0.182</w:t>
            </w:r>
          </w:p>
        </w:tc>
        <w:tc>
          <w:tcPr>
            <w:tcW w:w="2381" w:type="dxa"/>
          </w:tcPr>
          <w:p w14:paraId="62F6CE51" w14:textId="77777777" w:rsidR="000777AD" w:rsidRDefault="00000000">
            <w:r>
              <w:rPr>
                <w:sz w:val="19"/>
              </w:rPr>
              <w:t>traffic</w:t>
            </w:r>
          </w:p>
        </w:tc>
        <w:tc>
          <w:tcPr>
            <w:tcW w:w="1814" w:type="dxa"/>
          </w:tcPr>
          <w:p w14:paraId="3155E9E5" w14:textId="77777777" w:rsidR="000777AD" w:rsidRDefault="00000000">
            <w:r>
              <w:rPr>
                <w:sz w:val="19"/>
              </w:rPr>
              <w:t>0.181</w:t>
            </w:r>
          </w:p>
        </w:tc>
      </w:tr>
      <w:tr w:rsidR="000777AD" w14:paraId="7B431D2A" w14:textId="77777777">
        <w:trPr>
          <w:jc w:val="center"/>
        </w:trPr>
        <w:tc>
          <w:tcPr>
            <w:tcW w:w="794" w:type="dxa"/>
          </w:tcPr>
          <w:p w14:paraId="79FD8C3E" w14:textId="77777777" w:rsidR="000777AD" w:rsidRDefault="00000000">
            <w:r>
              <w:rPr>
                <w:sz w:val="19"/>
              </w:rPr>
              <w:t>2</w:t>
            </w:r>
          </w:p>
        </w:tc>
        <w:tc>
          <w:tcPr>
            <w:tcW w:w="2154" w:type="dxa"/>
          </w:tcPr>
          <w:p w14:paraId="0EFA192B" w14:textId="77777777" w:rsidR="000777AD" w:rsidRDefault="00000000">
            <w:r>
              <w:rPr>
                <w:sz w:val="19"/>
              </w:rPr>
              <w:t>traffic</w:t>
            </w:r>
          </w:p>
        </w:tc>
        <w:tc>
          <w:tcPr>
            <w:tcW w:w="1701" w:type="dxa"/>
          </w:tcPr>
          <w:p w14:paraId="2BA436CD" w14:textId="77777777" w:rsidR="000777AD" w:rsidRDefault="00000000">
            <w:r>
              <w:rPr>
                <w:sz w:val="19"/>
              </w:rPr>
              <w:t>0.160</w:t>
            </w:r>
          </w:p>
        </w:tc>
        <w:tc>
          <w:tcPr>
            <w:tcW w:w="2381" w:type="dxa"/>
          </w:tcPr>
          <w:p w14:paraId="55D72871" w14:textId="77777777" w:rsidR="000777AD" w:rsidRDefault="00000000">
            <w:r>
              <w:rPr>
                <w:sz w:val="19"/>
              </w:rPr>
              <w:t>sigma</w:t>
            </w:r>
          </w:p>
        </w:tc>
        <w:tc>
          <w:tcPr>
            <w:tcW w:w="1814" w:type="dxa"/>
          </w:tcPr>
          <w:p w14:paraId="3A376C50" w14:textId="77777777" w:rsidR="000777AD" w:rsidRDefault="00000000">
            <w:r>
              <w:rPr>
                <w:sz w:val="19"/>
              </w:rPr>
              <w:t>0.177</w:t>
            </w:r>
          </w:p>
        </w:tc>
      </w:tr>
      <w:tr w:rsidR="000777AD" w14:paraId="7F7A3D55" w14:textId="77777777">
        <w:trPr>
          <w:jc w:val="center"/>
        </w:trPr>
        <w:tc>
          <w:tcPr>
            <w:tcW w:w="794" w:type="dxa"/>
          </w:tcPr>
          <w:p w14:paraId="58C2C7DF" w14:textId="77777777" w:rsidR="000777AD" w:rsidRDefault="00000000">
            <w:r>
              <w:rPr>
                <w:sz w:val="19"/>
              </w:rPr>
              <w:t>3</w:t>
            </w:r>
          </w:p>
        </w:tc>
        <w:tc>
          <w:tcPr>
            <w:tcW w:w="2154" w:type="dxa"/>
          </w:tcPr>
          <w:p w14:paraId="437A9A57" w14:textId="77777777" w:rsidR="000777AD" w:rsidRDefault="00000000">
            <w:r>
              <w:rPr>
                <w:sz w:val="19"/>
              </w:rPr>
              <w:t>packets</w:t>
            </w:r>
          </w:p>
        </w:tc>
        <w:tc>
          <w:tcPr>
            <w:tcW w:w="1701" w:type="dxa"/>
          </w:tcPr>
          <w:p w14:paraId="517FDDC3" w14:textId="77777777" w:rsidR="000777AD" w:rsidRDefault="00000000">
            <w:r>
              <w:rPr>
                <w:sz w:val="19"/>
              </w:rPr>
              <w:t>0.131</w:t>
            </w:r>
          </w:p>
        </w:tc>
        <w:tc>
          <w:tcPr>
            <w:tcW w:w="2381" w:type="dxa"/>
          </w:tcPr>
          <w:p w14:paraId="316B59BB" w14:textId="77777777" w:rsidR="000777AD" w:rsidRDefault="00000000">
            <w:r>
              <w:rPr>
                <w:sz w:val="19"/>
              </w:rPr>
              <w:t>packets</w:t>
            </w:r>
          </w:p>
        </w:tc>
        <w:tc>
          <w:tcPr>
            <w:tcW w:w="1814" w:type="dxa"/>
          </w:tcPr>
          <w:p w14:paraId="7E5E373E" w14:textId="77777777" w:rsidR="000777AD" w:rsidRDefault="00000000">
            <w:r>
              <w:rPr>
                <w:sz w:val="19"/>
              </w:rPr>
              <w:t>0.154</w:t>
            </w:r>
          </w:p>
        </w:tc>
      </w:tr>
      <w:tr w:rsidR="000777AD" w14:paraId="5F000062" w14:textId="77777777">
        <w:trPr>
          <w:jc w:val="center"/>
        </w:trPr>
        <w:tc>
          <w:tcPr>
            <w:tcW w:w="794" w:type="dxa"/>
          </w:tcPr>
          <w:p w14:paraId="0F8FD0CE" w14:textId="77777777" w:rsidR="000777AD" w:rsidRDefault="00000000">
            <w:r>
              <w:rPr>
                <w:sz w:val="19"/>
              </w:rPr>
              <w:t>4</w:t>
            </w:r>
          </w:p>
        </w:tc>
        <w:tc>
          <w:tcPr>
            <w:tcW w:w="2154" w:type="dxa"/>
          </w:tcPr>
          <w:p w14:paraId="1B4A2A1B" w14:textId="77777777" w:rsidR="000777AD" w:rsidRDefault="00000000">
            <w:r>
              <w:rPr>
                <w:sz w:val="19"/>
              </w:rPr>
              <w:t>pkts_lambda_on</w:t>
            </w:r>
          </w:p>
        </w:tc>
        <w:tc>
          <w:tcPr>
            <w:tcW w:w="1701" w:type="dxa"/>
          </w:tcPr>
          <w:p w14:paraId="073E1B4A" w14:textId="77777777" w:rsidR="000777AD" w:rsidRDefault="00000000">
            <w:r>
              <w:rPr>
                <w:sz w:val="19"/>
              </w:rPr>
              <w:t>0.0070</w:t>
            </w:r>
          </w:p>
        </w:tc>
        <w:tc>
          <w:tcPr>
            <w:tcW w:w="2381" w:type="dxa"/>
          </w:tcPr>
          <w:p w14:paraId="74A99250" w14:textId="77777777" w:rsidR="000777AD" w:rsidRDefault="00000000">
            <w:r>
              <w:rPr>
                <w:sz w:val="19"/>
              </w:rPr>
              <w:t>eq_lambda</w:t>
            </w:r>
          </w:p>
        </w:tc>
        <w:tc>
          <w:tcPr>
            <w:tcW w:w="1814" w:type="dxa"/>
          </w:tcPr>
          <w:p w14:paraId="285EFC41" w14:textId="77777777" w:rsidR="000777AD" w:rsidRDefault="00000000">
            <w:r>
              <w:rPr>
                <w:sz w:val="19"/>
              </w:rPr>
              <w:t>0.0079</w:t>
            </w:r>
          </w:p>
        </w:tc>
      </w:tr>
      <w:tr w:rsidR="000777AD" w14:paraId="68FC5628" w14:textId="77777777">
        <w:trPr>
          <w:jc w:val="center"/>
        </w:trPr>
        <w:tc>
          <w:tcPr>
            <w:tcW w:w="794" w:type="dxa"/>
          </w:tcPr>
          <w:p w14:paraId="1E1BA757" w14:textId="77777777" w:rsidR="000777AD" w:rsidRDefault="00000000">
            <w:r>
              <w:rPr>
                <w:sz w:val="19"/>
              </w:rPr>
              <w:t>5</w:t>
            </w:r>
          </w:p>
        </w:tc>
        <w:tc>
          <w:tcPr>
            <w:tcW w:w="2154" w:type="dxa"/>
          </w:tcPr>
          <w:p w14:paraId="25EF7220" w14:textId="77777777" w:rsidR="000777AD" w:rsidRDefault="00000000">
            <w:r>
              <w:rPr>
                <w:sz w:val="19"/>
              </w:rPr>
              <w:t>eq_lambda</w:t>
            </w:r>
          </w:p>
        </w:tc>
        <w:tc>
          <w:tcPr>
            <w:tcW w:w="1701" w:type="dxa"/>
          </w:tcPr>
          <w:p w14:paraId="6DF9EDF8" w14:textId="77777777" w:rsidR="000777AD" w:rsidRDefault="00000000">
            <w:r>
              <w:rPr>
                <w:sz w:val="19"/>
              </w:rPr>
              <w:t>0.0065</w:t>
            </w:r>
          </w:p>
        </w:tc>
        <w:tc>
          <w:tcPr>
            <w:tcW w:w="2381" w:type="dxa"/>
          </w:tcPr>
          <w:p w14:paraId="282B33B6" w14:textId="77777777" w:rsidR="000777AD" w:rsidRDefault="00000000">
            <w:r>
              <w:rPr>
                <w:sz w:val="19"/>
              </w:rPr>
              <w:t>pkts_lambda_on</w:t>
            </w:r>
          </w:p>
        </w:tc>
        <w:tc>
          <w:tcPr>
            <w:tcW w:w="1814" w:type="dxa"/>
          </w:tcPr>
          <w:p w14:paraId="1C6BA742" w14:textId="77777777" w:rsidR="000777AD" w:rsidRDefault="00000000">
            <w:r>
              <w:rPr>
                <w:sz w:val="19"/>
              </w:rPr>
              <w:t>0.0071</w:t>
            </w:r>
          </w:p>
        </w:tc>
      </w:tr>
      <w:tr w:rsidR="000777AD" w14:paraId="4B092E32" w14:textId="77777777">
        <w:trPr>
          <w:jc w:val="center"/>
        </w:trPr>
        <w:tc>
          <w:tcPr>
            <w:tcW w:w="794" w:type="dxa"/>
          </w:tcPr>
          <w:p w14:paraId="33822BCD" w14:textId="77777777" w:rsidR="000777AD" w:rsidRDefault="00000000">
            <w:r>
              <w:rPr>
                <w:sz w:val="19"/>
              </w:rPr>
              <w:t>6</w:t>
            </w:r>
          </w:p>
        </w:tc>
        <w:tc>
          <w:tcPr>
            <w:tcW w:w="2154" w:type="dxa"/>
          </w:tcPr>
          <w:p w14:paraId="23D72733" w14:textId="77777777" w:rsidR="000777AD" w:rsidRDefault="00000000">
            <w:r>
              <w:rPr>
                <w:sz w:val="19"/>
              </w:rPr>
              <w:t>avg_t_off</w:t>
            </w:r>
          </w:p>
        </w:tc>
        <w:tc>
          <w:tcPr>
            <w:tcW w:w="1701" w:type="dxa"/>
          </w:tcPr>
          <w:p w14:paraId="10078D32" w14:textId="77777777" w:rsidR="000777AD" w:rsidRDefault="00000000">
            <w:r>
              <w:rPr>
                <w:sz w:val="19"/>
              </w:rPr>
              <w:t>0.0064</w:t>
            </w:r>
          </w:p>
        </w:tc>
        <w:tc>
          <w:tcPr>
            <w:tcW w:w="2381" w:type="dxa"/>
          </w:tcPr>
          <w:p w14:paraId="0CC07D73" w14:textId="77777777" w:rsidR="000777AD" w:rsidRDefault="00000000">
            <w:r>
              <w:rPr>
                <w:sz w:val="19"/>
              </w:rPr>
              <w:t>ar_a</w:t>
            </w:r>
          </w:p>
        </w:tc>
        <w:tc>
          <w:tcPr>
            <w:tcW w:w="1814" w:type="dxa"/>
          </w:tcPr>
          <w:p w14:paraId="4F9966CA" w14:textId="77777777" w:rsidR="000777AD" w:rsidRDefault="00000000">
            <w:r>
              <w:rPr>
                <w:sz w:val="19"/>
              </w:rPr>
              <w:t>0.0056</w:t>
            </w:r>
          </w:p>
        </w:tc>
      </w:tr>
      <w:tr w:rsidR="000777AD" w14:paraId="0D67EEB7" w14:textId="77777777">
        <w:trPr>
          <w:jc w:val="center"/>
        </w:trPr>
        <w:tc>
          <w:tcPr>
            <w:tcW w:w="794" w:type="dxa"/>
          </w:tcPr>
          <w:p w14:paraId="3A3E13B3" w14:textId="77777777" w:rsidR="000777AD" w:rsidRDefault="00000000">
            <w:r>
              <w:rPr>
                <w:sz w:val="19"/>
              </w:rPr>
              <w:t>7</w:t>
            </w:r>
          </w:p>
        </w:tc>
        <w:tc>
          <w:tcPr>
            <w:tcW w:w="2154" w:type="dxa"/>
          </w:tcPr>
          <w:p w14:paraId="7A868434" w14:textId="77777777" w:rsidR="000777AD" w:rsidRDefault="00000000">
            <w:r>
              <w:rPr>
                <w:sz w:val="19"/>
              </w:rPr>
              <w:t>ar_a</w:t>
            </w:r>
          </w:p>
        </w:tc>
        <w:tc>
          <w:tcPr>
            <w:tcW w:w="1701" w:type="dxa"/>
          </w:tcPr>
          <w:p w14:paraId="158AB85A" w14:textId="77777777" w:rsidR="000777AD" w:rsidRDefault="00000000">
            <w:r>
              <w:rPr>
                <w:sz w:val="19"/>
              </w:rPr>
              <w:t>0.0058</w:t>
            </w:r>
          </w:p>
        </w:tc>
        <w:tc>
          <w:tcPr>
            <w:tcW w:w="2381" w:type="dxa"/>
          </w:tcPr>
          <w:p w14:paraId="05CF191C" w14:textId="77777777" w:rsidR="000777AD" w:rsidRDefault="00000000">
            <w:r>
              <w:rPr>
                <w:sz w:val="19"/>
              </w:rPr>
              <w:t>avg_t_off</w:t>
            </w:r>
          </w:p>
        </w:tc>
        <w:tc>
          <w:tcPr>
            <w:tcW w:w="1814" w:type="dxa"/>
          </w:tcPr>
          <w:p w14:paraId="7502F46D" w14:textId="77777777" w:rsidR="000777AD" w:rsidRDefault="00000000">
            <w:r>
              <w:rPr>
                <w:sz w:val="19"/>
              </w:rPr>
              <w:t>0.0054</w:t>
            </w:r>
          </w:p>
        </w:tc>
      </w:tr>
      <w:tr w:rsidR="000777AD" w14:paraId="39D92963" w14:textId="77777777">
        <w:trPr>
          <w:jc w:val="center"/>
        </w:trPr>
        <w:tc>
          <w:tcPr>
            <w:tcW w:w="794" w:type="dxa"/>
          </w:tcPr>
          <w:p w14:paraId="673D925C" w14:textId="77777777" w:rsidR="000777AD" w:rsidRDefault="00000000">
            <w:r>
              <w:rPr>
                <w:sz w:val="19"/>
              </w:rPr>
              <w:t>8</w:t>
            </w:r>
          </w:p>
        </w:tc>
        <w:tc>
          <w:tcPr>
            <w:tcW w:w="2154" w:type="dxa"/>
          </w:tcPr>
          <w:p w14:paraId="4024AFE2" w14:textId="77777777" w:rsidR="000777AD" w:rsidRDefault="00000000">
            <w:r>
              <w:rPr>
                <w:sz w:val="19"/>
              </w:rPr>
              <w:t>exp_max_factor</w:t>
            </w:r>
          </w:p>
        </w:tc>
        <w:tc>
          <w:tcPr>
            <w:tcW w:w="1701" w:type="dxa"/>
          </w:tcPr>
          <w:p w14:paraId="5A7C507C" w14:textId="77777777" w:rsidR="000777AD" w:rsidRDefault="00000000">
            <w:r>
              <w:rPr>
                <w:sz w:val="19"/>
              </w:rPr>
              <w:t>0.0052</w:t>
            </w:r>
          </w:p>
        </w:tc>
        <w:tc>
          <w:tcPr>
            <w:tcW w:w="2381" w:type="dxa"/>
          </w:tcPr>
          <w:p w14:paraId="6E2887A6" w14:textId="77777777" w:rsidR="000777AD" w:rsidRDefault="00000000">
            <w:r>
              <w:rPr>
                <w:sz w:val="19"/>
              </w:rPr>
              <w:t>exp_max_factor</w:t>
            </w:r>
          </w:p>
        </w:tc>
        <w:tc>
          <w:tcPr>
            <w:tcW w:w="1814" w:type="dxa"/>
          </w:tcPr>
          <w:p w14:paraId="23E8ED02" w14:textId="77777777" w:rsidR="000777AD" w:rsidRDefault="00000000">
            <w:r>
              <w:rPr>
                <w:sz w:val="19"/>
              </w:rPr>
              <w:t>0.0047</w:t>
            </w:r>
          </w:p>
        </w:tc>
      </w:tr>
      <w:tr w:rsidR="000777AD" w14:paraId="1806DFD7" w14:textId="77777777">
        <w:trPr>
          <w:jc w:val="center"/>
        </w:trPr>
        <w:tc>
          <w:tcPr>
            <w:tcW w:w="794" w:type="dxa"/>
          </w:tcPr>
          <w:p w14:paraId="5B1595A0" w14:textId="77777777" w:rsidR="000777AD" w:rsidRDefault="00000000">
            <w:r>
              <w:rPr>
                <w:sz w:val="19"/>
              </w:rPr>
              <w:t>9</w:t>
            </w:r>
          </w:p>
        </w:tc>
        <w:tc>
          <w:tcPr>
            <w:tcW w:w="2154" w:type="dxa"/>
          </w:tcPr>
          <w:p w14:paraId="661A1315" w14:textId="77777777" w:rsidR="000777AD" w:rsidRDefault="00000000">
            <w:r>
              <w:rPr>
                <w:sz w:val="19"/>
              </w:rPr>
              <w:t>avg_t_on</w:t>
            </w:r>
          </w:p>
        </w:tc>
        <w:tc>
          <w:tcPr>
            <w:tcW w:w="1701" w:type="dxa"/>
          </w:tcPr>
          <w:p w14:paraId="115B056B" w14:textId="77777777" w:rsidR="000777AD" w:rsidRDefault="00000000">
            <w:r>
              <w:rPr>
                <w:sz w:val="19"/>
              </w:rPr>
              <w:t>0.0036</w:t>
            </w:r>
          </w:p>
        </w:tc>
        <w:tc>
          <w:tcPr>
            <w:tcW w:w="2381" w:type="dxa"/>
          </w:tcPr>
          <w:p w14:paraId="6BEB85DA" w14:textId="77777777" w:rsidR="000777AD" w:rsidRDefault="00000000">
            <w:r>
              <w:rPr>
                <w:sz w:val="19"/>
              </w:rPr>
              <w:t>avg_t_on</w:t>
            </w:r>
          </w:p>
        </w:tc>
        <w:tc>
          <w:tcPr>
            <w:tcW w:w="1814" w:type="dxa"/>
          </w:tcPr>
          <w:p w14:paraId="457AEDF0" w14:textId="77777777" w:rsidR="000777AD" w:rsidRDefault="00000000">
            <w:r>
              <w:rPr>
                <w:sz w:val="19"/>
              </w:rPr>
              <w:t>0.0043</w:t>
            </w:r>
          </w:p>
        </w:tc>
      </w:tr>
      <w:tr w:rsidR="000777AD" w14:paraId="69427E12" w14:textId="77777777">
        <w:trPr>
          <w:jc w:val="center"/>
        </w:trPr>
        <w:tc>
          <w:tcPr>
            <w:tcW w:w="794" w:type="dxa"/>
          </w:tcPr>
          <w:p w14:paraId="5AC5F1CD" w14:textId="77777777" w:rsidR="000777AD" w:rsidRDefault="00000000">
            <w:r>
              <w:rPr>
                <w:sz w:val="19"/>
              </w:rPr>
              <w:t>10</w:t>
            </w:r>
          </w:p>
        </w:tc>
        <w:tc>
          <w:tcPr>
            <w:tcW w:w="2154" w:type="dxa"/>
          </w:tcPr>
          <w:p w14:paraId="76DA363D" w14:textId="77777777" w:rsidR="000777AD" w:rsidRDefault="00000000">
            <w:r>
              <w:rPr>
                <w:sz w:val="19"/>
              </w:rPr>
              <w:t>avg_pkts_lambda</w:t>
            </w:r>
          </w:p>
        </w:tc>
        <w:tc>
          <w:tcPr>
            <w:tcW w:w="1701" w:type="dxa"/>
          </w:tcPr>
          <w:p w14:paraId="2C5FAA2A" w14:textId="77777777" w:rsidR="000777AD" w:rsidRDefault="00000000">
            <w:r>
              <w:rPr>
                <w:sz w:val="19"/>
              </w:rPr>
              <w:t>0.0018</w:t>
            </w:r>
          </w:p>
        </w:tc>
        <w:tc>
          <w:tcPr>
            <w:tcW w:w="2381" w:type="dxa"/>
          </w:tcPr>
          <w:p w14:paraId="6D0FC53A" w14:textId="77777777" w:rsidR="000777AD" w:rsidRDefault="00000000">
            <w:r>
              <w:rPr>
                <w:sz w:val="19"/>
              </w:rPr>
              <w:t>avg_pkts_lambda</w:t>
            </w:r>
          </w:p>
        </w:tc>
        <w:tc>
          <w:tcPr>
            <w:tcW w:w="1814" w:type="dxa"/>
          </w:tcPr>
          <w:p w14:paraId="110E3636" w14:textId="77777777" w:rsidR="000777AD" w:rsidRDefault="00000000">
            <w:r>
              <w:rPr>
                <w:sz w:val="19"/>
              </w:rPr>
              <w:t>0.0017</w:t>
            </w:r>
          </w:p>
        </w:tc>
      </w:tr>
    </w:tbl>
    <w:p w14:paraId="36EB6B2E" w14:textId="77777777" w:rsidR="000777AD" w:rsidRDefault="000777AD"/>
    <w:p w14:paraId="007B9A1C" w14:textId="77777777" w:rsidR="000777AD" w:rsidRDefault="00000000">
      <w:r>
        <w:t xml:space="preserve">The headline structural finding is a cliff between ranks 3 and 4: the top-3 features (sigma, traffic, packets) carry ≈93 % of the total attribution mass (IG 92.9 %, KernelSHAP 93.3 %), </w:t>
      </w:r>
      <w:r>
        <w:lastRenderedPageBreak/>
        <w:t>with a ≈20× magnitude drop to the rank-4 feature for both methods. The bottom-7 features form a flat near-noise tail. Physically, this is coherent: traffic and packets determine link load and packet size — the primary delay drivers in queueing terms — while sigma, the modulation amplitude of modulated-traffic flows, governs delay variance for that traffic class and is structurally zero for all others, making it highly informative when present.</w:t>
      </w:r>
    </w:p>
    <w:p w14:paraId="20D3C1D9" w14:textId="77777777" w:rsidR="000777AD" w:rsidRDefault="00000000">
      <w:pPr>
        <w:pStyle w:val="Titre3"/>
      </w:pPr>
      <w:r>
        <w:t>1.5.2  Cross-method agreement and sample sufficiency</w:t>
      </w:r>
    </w:p>
    <w:p w14:paraId="76C0529C" w14:textId="77777777" w:rsidR="000777AD" w:rsidRDefault="00000000">
      <w:pPr>
        <w:spacing w:before="200"/>
      </w:pPr>
      <w:r>
        <w:rPr>
          <w:b/>
          <w:color w:val="1F3B66"/>
          <w:sz w:val="20"/>
        </w:rPr>
        <w:t>Table 1-4: Agreement and sufficiency checks.</w:t>
      </w:r>
    </w:p>
    <w:tbl>
      <w:tblPr>
        <w:tblStyle w:val="Grilledutableau"/>
        <w:tblW w:w="0" w:type="auto"/>
        <w:jc w:val="center"/>
        <w:tblLook w:val="04A0" w:firstRow="1" w:lastRow="0" w:firstColumn="1" w:lastColumn="0" w:noHBand="0" w:noVBand="1"/>
      </w:tblPr>
      <w:tblGrid>
        <w:gridCol w:w="3402"/>
        <w:gridCol w:w="1361"/>
        <w:gridCol w:w="1361"/>
        <w:gridCol w:w="2948"/>
      </w:tblGrid>
      <w:tr w:rsidR="000777AD" w14:paraId="2378D5C1" w14:textId="77777777">
        <w:trPr>
          <w:jc w:val="center"/>
        </w:trPr>
        <w:tc>
          <w:tcPr>
            <w:tcW w:w="3402" w:type="dxa"/>
            <w:shd w:val="clear" w:color="auto" w:fill="D9E2F3"/>
          </w:tcPr>
          <w:p w14:paraId="4B2E1987" w14:textId="77777777" w:rsidR="000777AD" w:rsidRDefault="00000000">
            <w:r>
              <w:rPr>
                <w:b/>
                <w:sz w:val="19"/>
              </w:rPr>
              <w:t>Comparison</w:t>
            </w:r>
          </w:p>
        </w:tc>
        <w:tc>
          <w:tcPr>
            <w:tcW w:w="1361" w:type="dxa"/>
            <w:shd w:val="clear" w:color="auto" w:fill="D9E2F3"/>
          </w:tcPr>
          <w:p w14:paraId="42963306" w14:textId="77777777" w:rsidR="000777AD" w:rsidRDefault="00000000">
            <w:r>
              <w:rPr>
                <w:b/>
                <w:sz w:val="19"/>
              </w:rPr>
              <w:t>Spearman ρ</w:t>
            </w:r>
          </w:p>
        </w:tc>
        <w:tc>
          <w:tcPr>
            <w:tcW w:w="1361" w:type="dxa"/>
            <w:shd w:val="clear" w:color="auto" w:fill="D9E2F3"/>
          </w:tcPr>
          <w:p w14:paraId="17304500" w14:textId="77777777" w:rsidR="000777AD" w:rsidRDefault="00000000">
            <w:r>
              <w:rPr>
                <w:b/>
                <w:sz w:val="19"/>
              </w:rPr>
              <w:t>p-value</w:t>
            </w:r>
          </w:p>
        </w:tc>
        <w:tc>
          <w:tcPr>
            <w:tcW w:w="2948" w:type="dxa"/>
            <w:shd w:val="clear" w:color="auto" w:fill="D9E2F3"/>
          </w:tcPr>
          <w:p w14:paraId="31D3BFFB" w14:textId="77777777" w:rsidR="000777AD" w:rsidRDefault="00000000">
            <w:r>
              <w:rPr>
                <w:b/>
                <w:sz w:val="19"/>
              </w:rPr>
              <w:t>Interpretation</w:t>
            </w:r>
          </w:p>
        </w:tc>
      </w:tr>
      <w:tr w:rsidR="000777AD" w14:paraId="0BA94EE5" w14:textId="77777777">
        <w:trPr>
          <w:jc w:val="center"/>
        </w:trPr>
        <w:tc>
          <w:tcPr>
            <w:tcW w:w="3402" w:type="dxa"/>
          </w:tcPr>
          <w:p w14:paraId="6DAD1138" w14:textId="77777777" w:rsidR="000777AD" w:rsidRDefault="00000000">
            <w:r>
              <w:rPr>
                <w:sz w:val="19"/>
              </w:rPr>
              <w:t>IG vs. KernelSHAP (full rankings)</w:t>
            </w:r>
          </w:p>
        </w:tc>
        <w:tc>
          <w:tcPr>
            <w:tcW w:w="1361" w:type="dxa"/>
          </w:tcPr>
          <w:p w14:paraId="237A95D2" w14:textId="77777777" w:rsidR="000777AD" w:rsidRDefault="00000000">
            <w:r>
              <w:rPr>
                <w:sz w:val="19"/>
              </w:rPr>
              <w:t>0.964</w:t>
            </w:r>
          </w:p>
        </w:tc>
        <w:tc>
          <w:tcPr>
            <w:tcW w:w="1361" w:type="dxa"/>
          </w:tcPr>
          <w:p w14:paraId="30D25229" w14:textId="77777777" w:rsidR="000777AD" w:rsidRDefault="00000000">
            <w:r>
              <w:rPr>
                <w:sz w:val="19"/>
              </w:rPr>
              <w:t>&lt; 10⁻⁵</w:t>
            </w:r>
          </w:p>
        </w:tc>
        <w:tc>
          <w:tcPr>
            <w:tcW w:w="2948" w:type="dxa"/>
          </w:tcPr>
          <w:p w14:paraId="0FA6C391" w14:textId="77777777" w:rsidR="000777AD" w:rsidRDefault="00000000">
            <w:r>
              <w:rPr>
                <w:sz w:val="19"/>
              </w:rPr>
              <w:t>Two unrelated XAI families converge</w:t>
            </w:r>
          </w:p>
        </w:tc>
      </w:tr>
      <w:tr w:rsidR="000777AD" w14:paraId="119001D7" w14:textId="77777777">
        <w:trPr>
          <w:jc w:val="center"/>
        </w:trPr>
        <w:tc>
          <w:tcPr>
            <w:tcW w:w="3402" w:type="dxa"/>
          </w:tcPr>
          <w:p w14:paraId="79446A06" w14:textId="77777777" w:rsidR="000777AD" w:rsidRDefault="00000000">
            <w:r>
              <w:rPr>
                <w:sz w:val="19"/>
              </w:rPr>
              <w:t>IG half-split (sims 0–149 vs. 150–299)</w:t>
            </w:r>
          </w:p>
        </w:tc>
        <w:tc>
          <w:tcPr>
            <w:tcW w:w="1361" w:type="dxa"/>
          </w:tcPr>
          <w:p w14:paraId="50A46948" w14:textId="77777777" w:rsidR="000777AD" w:rsidRDefault="00000000">
            <w:r>
              <w:rPr>
                <w:sz w:val="19"/>
              </w:rPr>
              <w:t>0.879</w:t>
            </w:r>
          </w:p>
        </w:tc>
        <w:tc>
          <w:tcPr>
            <w:tcW w:w="1361" w:type="dxa"/>
          </w:tcPr>
          <w:p w14:paraId="4E67C7CC" w14:textId="77777777" w:rsidR="000777AD" w:rsidRDefault="00000000">
            <w:r>
              <w:rPr>
                <w:sz w:val="19"/>
              </w:rPr>
              <w:t>8.1×10⁻⁴</w:t>
            </w:r>
          </w:p>
        </w:tc>
        <w:tc>
          <w:tcPr>
            <w:tcW w:w="2948" w:type="dxa"/>
          </w:tcPr>
          <w:p w14:paraId="7E68B260" w14:textId="77777777" w:rsidR="000777AD" w:rsidRDefault="00000000">
            <w:r>
              <w:rPr>
                <w:sz w:val="19"/>
              </w:rPr>
              <w:t>N = 300 sufficient (≥ 0.7 threshold)</w:t>
            </w:r>
          </w:p>
        </w:tc>
      </w:tr>
      <w:tr w:rsidR="000777AD" w14:paraId="7BA07AFF" w14:textId="77777777">
        <w:trPr>
          <w:jc w:val="center"/>
        </w:trPr>
        <w:tc>
          <w:tcPr>
            <w:tcW w:w="3402" w:type="dxa"/>
          </w:tcPr>
          <w:p w14:paraId="5CA35D69" w14:textId="77777777" w:rsidR="000777AD" w:rsidRDefault="00000000">
            <w:r>
              <w:rPr>
                <w:sz w:val="19"/>
              </w:rPr>
              <w:t>KernelSHAP half-split</w:t>
            </w:r>
          </w:p>
        </w:tc>
        <w:tc>
          <w:tcPr>
            <w:tcW w:w="1361" w:type="dxa"/>
          </w:tcPr>
          <w:p w14:paraId="024369DA" w14:textId="77777777" w:rsidR="000777AD" w:rsidRDefault="00000000">
            <w:r>
              <w:rPr>
                <w:sz w:val="19"/>
              </w:rPr>
              <w:t>0.952</w:t>
            </w:r>
          </w:p>
        </w:tc>
        <w:tc>
          <w:tcPr>
            <w:tcW w:w="1361" w:type="dxa"/>
          </w:tcPr>
          <w:p w14:paraId="6F408877" w14:textId="77777777" w:rsidR="000777AD" w:rsidRDefault="00000000">
            <w:r>
              <w:rPr>
                <w:sz w:val="19"/>
              </w:rPr>
              <w:t>2.3×10⁻⁵</w:t>
            </w:r>
          </w:p>
        </w:tc>
        <w:tc>
          <w:tcPr>
            <w:tcW w:w="2948" w:type="dxa"/>
          </w:tcPr>
          <w:p w14:paraId="19C026E2" w14:textId="77777777" w:rsidR="000777AD" w:rsidRDefault="00000000">
            <w:r>
              <w:rPr>
                <w:sz w:val="19"/>
              </w:rPr>
              <w:t>N = 300 sufficient (≥ 0.7 threshold)</w:t>
            </w:r>
          </w:p>
        </w:tc>
      </w:tr>
    </w:tbl>
    <w:p w14:paraId="569B931A" w14:textId="77777777" w:rsidR="000777AD" w:rsidRDefault="000777AD"/>
    <w:p w14:paraId="29674010" w14:textId="77777777" w:rsidR="000777AD" w:rsidRDefault="00000000">
      <w:r>
        <w:t>Both methods return the same top-3 set, with sigma and traffic swapping ranks 1–2 (score gap within noise). The cross-method correlation of 0.964 between a gradient-based and a perturbation-based method is strong mutual validation of both implementations. Both half-split correlations clear the preregistered 0.7 threshold, and the top-3 set is identical in every half — the evaluation budget is sufficient for the rankings that drive the retraining matrix.</w:t>
      </w:r>
    </w:p>
    <w:p w14:paraId="791163B3" w14:textId="77777777" w:rsidR="000777AD" w:rsidRDefault="00000000">
      <w:pPr>
        <w:pStyle w:val="Titre3"/>
      </w:pPr>
      <w:r>
        <w:t>1.5.3  Reference-sensitivity (stability) check</w:t>
      </w:r>
    </w:p>
    <w:p w14:paraId="2B2ACB94" w14:textId="77777777" w:rsidR="000777AD" w:rsidRDefault="00000000">
      <w:pPr>
        <w:spacing w:before="200"/>
      </w:pPr>
      <w:r>
        <w:rPr>
          <w:b/>
          <w:color w:val="1F3B66"/>
          <w:sz w:val="20"/>
        </w:rPr>
        <w:t>Table 1-5: Ranking stability under change of reference point.</w:t>
      </w:r>
    </w:p>
    <w:tbl>
      <w:tblPr>
        <w:tblStyle w:val="Grilledutableau"/>
        <w:tblW w:w="0" w:type="auto"/>
        <w:jc w:val="center"/>
        <w:tblLook w:val="04A0" w:firstRow="1" w:lastRow="0" w:firstColumn="1" w:lastColumn="0" w:noHBand="0" w:noVBand="1"/>
      </w:tblPr>
      <w:tblGrid>
        <w:gridCol w:w="2835"/>
        <w:gridCol w:w="3175"/>
        <w:gridCol w:w="1474"/>
      </w:tblGrid>
      <w:tr w:rsidR="000777AD" w14:paraId="7D1C9AB5" w14:textId="77777777">
        <w:trPr>
          <w:jc w:val="center"/>
        </w:trPr>
        <w:tc>
          <w:tcPr>
            <w:tcW w:w="2835" w:type="dxa"/>
            <w:shd w:val="clear" w:color="auto" w:fill="D9E2F3"/>
          </w:tcPr>
          <w:p w14:paraId="23D0C8DB" w14:textId="77777777" w:rsidR="000777AD" w:rsidRDefault="00000000">
            <w:r>
              <w:rPr>
                <w:b/>
                <w:sz w:val="19"/>
              </w:rPr>
              <w:t>Method</w:t>
            </w:r>
          </w:p>
        </w:tc>
        <w:tc>
          <w:tcPr>
            <w:tcW w:w="3175" w:type="dxa"/>
            <w:shd w:val="clear" w:color="auto" w:fill="D9E2F3"/>
          </w:tcPr>
          <w:p w14:paraId="1BB6361A" w14:textId="77777777" w:rsidR="000777AD" w:rsidRDefault="00000000">
            <w:r>
              <w:rPr>
                <w:b/>
                <w:sz w:val="19"/>
              </w:rPr>
              <w:t>ρ (median vs. mean reference)</w:t>
            </w:r>
          </w:p>
        </w:tc>
        <w:tc>
          <w:tcPr>
            <w:tcW w:w="1474" w:type="dxa"/>
            <w:shd w:val="clear" w:color="auto" w:fill="D9E2F3"/>
          </w:tcPr>
          <w:p w14:paraId="3846544B" w14:textId="77777777" w:rsidR="000777AD" w:rsidRDefault="00000000">
            <w:r>
              <w:rPr>
                <w:b/>
                <w:sz w:val="19"/>
              </w:rPr>
              <w:t>p-value</w:t>
            </w:r>
          </w:p>
        </w:tc>
      </w:tr>
      <w:tr w:rsidR="000777AD" w14:paraId="11F6FAB5" w14:textId="77777777">
        <w:trPr>
          <w:jc w:val="center"/>
        </w:trPr>
        <w:tc>
          <w:tcPr>
            <w:tcW w:w="2835" w:type="dxa"/>
          </w:tcPr>
          <w:p w14:paraId="4D680D4F" w14:textId="77777777" w:rsidR="000777AD" w:rsidRDefault="00000000">
            <w:r>
              <w:rPr>
                <w:sz w:val="19"/>
              </w:rPr>
              <w:t>Integrated Gradients</w:t>
            </w:r>
          </w:p>
        </w:tc>
        <w:tc>
          <w:tcPr>
            <w:tcW w:w="3175" w:type="dxa"/>
          </w:tcPr>
          <w:p w14:paraId="2BD37DC5" w14:textId="77777777" w:rsidR="000777AD" w:rsidRDefault="00000000">
            <w:r>
              <w:rPr>
                <w:sz w:val="19"/>
              </w:rPr>
              <w:t>0.612</w:t>
            </w:r>
          </w:p>
        </w:tc>
        <w:tc>
          <w:tcPr>
            <w:tcW w:w="1474" w:type="dxa"/>
          </w:tcPr>
          <w:p w14:paraId="6B8CC1E2" w14:textId="77777777" w:rsidR="000777AD" w:rsidRDefault="00000000">
            <w:r>
              <w:rPr>
                <w:sz w:val="19"/>
              </w:rPr>
              <w:t>0.060</w:t>
            </w:r>
          </w:p>
        </w:tc>
      </w:tr>
      <w:tr w:rsidR="000777AD" w14:paraId="591970A1" w14:textId="77777777">
        <w:trPr>
          <w:jc w:val="center"/>
        </w:trPr>
        <w:tc>
          <w:tcPr>
            <w:tcW w:w="2835" w:type="dxa"/>
          </w:tcPr>
          <w:p w14:paraId="4AFCB21E" w14:textId="77777777" w:rsidR="000777AD" w:rsidRDefault="00000000">
            <w:r>
              <w:rPr>
                <w:sz w:val="19"/>
              </w:rPr>
              <w:t>KernelSHAP</w:t>
            </w:r>
          </w:p>
        </w:tc>
        <w:tc>
          <w:tcPr>
            <w:tcW w:w="3175" w:type="dxa"/>
          </w:tcPr>
          <w:p w14:paraId="5B4A03DC" w14:textId="77777777" w:rsidR="000777AD" w:rsidRDefault="00000000">
            <w:r>
              <w:rPr>
                <w:sz w:val="19"/>
              </w:rPr>
              <w:t>0.636</w:t>
            </w:r>
          </w:p>
        </w:tc>
        <w:tc>
          <w:tcPr>
            <w:tcW w:w="1474" w:type="dxa"/>
          </w:tcPr>
          <w:p w14:paraId="4182FC64" w14:textId="77777777" w:rsidR="000777AD" w:rsidRDefault="00000000">
            <w:r>
              <w:rPr>
                <w:sz w:val="19"/>
              </w:rPr>
              <w:t>0.048</w:t>
            </w:r>
          </w:p>
        </w:tc>
      </w:tr>
    </w:tbl>
    <w:p w14:paraId="4002A455" w14:textId="77777777" w:rsidR="000777AD" w:rsidRDefault="000777AD"/>
    <w:p w14:paraId="40673489" w14:textId="77777777" w:rsidR="000777AD" w:rsidRDefault="00000000">
      <w:r>
        <w:t>Replacing the median reference by the mean leaves the top-3 unchanged for both methods; the moderate overall correlations are driven entirely by rank shuffling inside the near-zero noise tail (ranks 4–10), where ordering is not meaningful. The practical conclusion is twofold: (i) the feature sets that define the retraining variants are robust to the reference choice; (ii) attribution magnitudes in the tail should not be over-interpreted — a critical observation that the fidelity experiment is designed to quantify.</w:t>
      </w:r>
    </w:p>
    <w:p w14:paraId="52573593" w14:textId="77777777" w:rsidR="000777AD" w:rsidRDefault="00000000">
      <w:pPr>
        <w:pStyle w:val="Titre3"/>
      </w:pPr>
      <w:r>
        <w:t>1.5.4  Random control</w:t>
      </w:r>
    </w:p>
    <w:p w14:paraId="76AF1F04" w14:textId="77777777" w:rsidR="000777AD" w:rsidRDefault="00000000">
      <w:r>
        <w:t>The seed-42 random ranking places the three signal-carrying features at ranks 7, 9 and 10 — close to the inverse of the principled rankings. It therefore provides a well-separated negative control: if the retraining experiment is sound, variants built from the random ranking must produce fidelity curves clearly distinguishable from the IG and KernelSHAP curves.</w:t>
      </w:r>
    </w:p>
    <w:p w14:paraId="3745DBC2" w14:textId="77777777" w:rsidR="000777AD" w:rsidRDefault="00000000">
      <w:pPr>
        <w:pStyle w:val="Titre3"/>
      </w:pPr>
      <w:r>
        <w:t>1.5.5  Method equivalence and its consequences for the study design</w:t>
      </w:r>
    </w:p>
    <w:p w14:paraId="0E0C6C55" w14:textId="77777777" w:rsidR="000777AD" w:rsidRDefault="00000000">
      <w:r>
        <w:t xml:space="preserve">A structural consequence of the cross-method agreement was identified before launching the retraining campaign and reshapes the study. The IG and KernelSHAP rankings differ only by </w:t>
      </w:r>
      <w:r>
        <w:lastRenderedPageBreak/>
        <w:t>three adjacent transpositions (ranks 1–2, 4–5 and 6–7); none of the partition cut points (after the 3rd, 5th and 7th feature) falls between a transposed pair. Consequently, at every (k, partition) cell the two methods select the identical set of kept features — verified by an automated set-equality check over all six cells. Because the model concatenates path scalars in a fixed canonical order, identical feature sets yield identical retrained models. Three consequences follow:</w:t>
      </w:r>
    </w:p>
    <w:p w14:paraId="0DA4BDF7" w14:textId="77777777" w:rsidR="000777AD" w:rsidRDefault="00000000">
      <w:pPr>
        <w:pStyle w:val="Listepuces"/>
      </w:pPr>
      <w:r>
        <w:rPr>
          <w:b/>
        </w:rPr>
        <w:t xml:space="preserve">Unique-model count: </w:t>
      </w:r>
      <w:r>
        <w:t>the matrix contains 7 unique principled models (one baseline plus six variants), not twelve. Training the KernelSHAP variants separately would reproduce the IG-derived models bit-for-bit, so they are not retrained; the six principled models represent both methods. With the six random-control variants this gives 13 unique trainings.</w:t>
      </w:r>
    </w:p>
    <w:p w14:paraId="04187258" w14:textId="77777777" w:rsidR="000777AD" w:rsidRDefault="00000000">
      <w:pPr>
        <w:pStyle w:val="Listepuces"/>
      </w:pPr>
      <w:r>
        <w:rPr>
          <w:b/>
        </w:rPr>
        <w:t xml:space="preserve">Comparison axis: </w:t>
      </w:r>
      <w:r>
        <w:t>IG and KernelSHAP cannot be separated on fidelity (identical models give identical curves). They are compared instead on ranking stability (half-split ρ = 0.88 for IG vs. 0.95 for KernelSHAP — SHAP marginally more stable) and computational complexity (Table 1-6): IG issues ≈5× fewer model evaluations per explanation (50 vs. 256) and is faster per simulation on equally-warmed runs, but requires gradient access; KernelSHAP is model-agnostic but more costly and approximate. Since both rankings are equally faithful, the more complex method is not preferable for this model where gradients are available — the recommendation is Integrated Gradients, with KernelSHAP reserved for black-box settings.</w:t>
      </w:r>
    </w:p>
    <w:p w14:paraId="38E743A1" w14:textId="77777777" w:rsidR="000777AD" w:rsidRDefault="00000000">
      <w:pPr>
        <w:pStyle w:val="Listepuces"/>
      </w:pPr>
      <w:r>
        <w:rPr>
          <w:b/>
        </w:rPr>
        <w:t xml:space="preserve">Random control becomes central: </w:t>
      </w:r>
      <w:r>
        <w:t>with the two principled methods equivalent, the fidelity question reduces to principled-vs-random. The six random-control retrainings are therefore promoted from optional to core; they carry the faithfulness result.</w:t>
      </w:r>
    </w:p>
    <w:p w14:paraId="1B1A5108" w14:textId="77777777" w:rsidR="000777AD" w:rsidRDefault="00000000">
      <w:pPr>
        <w:spacing w:before="200"/>
      </w:pPr>
      <w:r>
        <w:rPr>
          <w:b/>
          <w:color w:val="1F3B66"/>
          <w:sz w:val="20"/>
        </w:rPr>
        <w:t>Table 1-6: Computational complexity of the two XAI methods. The raw sequential wall-clock (44 vs 10 min) is excluded as it reflects a JIT-compilation artefact (KernelSHAP ran on the graph IG had already compiled); the equally-warmed per-simulation times reverse that apparent ordering, consistent with the model-evaluation counts.</w:t>
      </w:r>
    </w:p>
    <w:tbl>
      <w:tblPr>
        <w:tblStyle w:val="Grilledutableau"/>
        <w:tblW w:w="0" w:type="auto"/>
        <w:jc w:val="center"/>
        <w:tblLook w:val="04A0" w:firstRow="1" w:lastRow="0" w:firstColumn="1" w:lastColumn="0" w:noHBand="0" w:noVBand="1"/>
      </w:tblPr>
      <w:tblGrid>
        <w:gridCol w:w="3175"/>
        <w:gridCol w:w="3061"/>
        <w:gridCol w:w="2835"/>
      </w:tblGrid>
      <w:tr w:rsidR="000777AD" w14:paraId="718622CC" w14:textId="77777777">
        <w:trPr>
          <w:jc w:val="center"/>
        </w:trPr>
        <w:tc>
          <w:tcPr>
            <w:tcW w:w="3175" w:type="dxa"/>
            <w:shd w:val="clear" w:color="auto" w:fill="D9E2F3"/>
          </w:tcPr>
          <w:p w14:paraId="5BA355B4" w14:textId="77777777" w:rsidR="000777AD" w:rsidRDefault="00000000">
            <w:r>
              <w:rPr>
                <w:b/>
                <w:sz w:val="19"/>
              </w:rPr>
              <w:t>Aspect</w:t>
            </w:r>
          </w:p>
        </w:tc>
        <w:tc>
          <w:tcPr>
            <w:tcW w:w="3061" w:type="dxa"/>
            <w:shd w:val="clear" w:color="auto" w:fill="D9E2F3"/>
          </w:tcPr>
          <w:p w14:paraId="241BC444" w14:textId="77777777" w:rsidR="000777AD" w:rsidRDefault="00000000">
            <w:r>
              <w:rPr>
                <w:b/>
                <w:sz w:val="19"/>
              </w:rPr>
              <w:t>Integrated Gradients</w:t>
            </w:r>
          </w:p>
        </w:tc>
        <w:tc>
          <w:tcPr>
            <w:tcW w:w="2835" w:type="dxa"/>
            <w:shd w:val="clear" w:color="auto" w:fill="D9E2F3"/>
          </w:tcPr>
          <w:p w14:paraId="5845316E" w14:textId="77777777" w:rsidR="000777AD" w:rsidRDefault="00000000">
            <w:r>
              <w:rPr>
                <w:b/>
                <w:sz w:val="19"/>
              </w:rPr>
              <w:t>KernelSHAP</w:t>
            </w:r>
          </w:p>
        </w:tc>
      </w:tr>
      <w:tr w:rsidR="000777AD" w14:paraId="1B8406FF" w14:textId="77777777">
        <w:trPr>
          <w:jc w:val="center"/>
        </w:trPr>
        <w:tc>
          <w:tcPr>
            <w:tcW w:w="3175" w:type="dxa"/>
          </w:tcPr>
          <w:p w14:paraId="41F1E425" w14:textId="77777777" w:rsidR="000777AD" w:rsidRDefault="00000000">
            <w:r>
              <w:rPr>
                <w:sz w:val="19"/>
              </w:rPr>
              <w:t>Model evaluations / explanation</w:t>
            </w:r>
          </w:p>
        </w:tc>
        <w:tc>
          <w:tcPr>
            <w:tcW w:w="3061" w:type="dxa"/>
          </w:tcPr>
          <w:p w14:paraId="77CA38FA" w14:textId="77777777" w:rsidR="000777AD" w:rsidRDefault="00000000">
            <w:r>
              <w:rPr>
                <w:sz w:val="19"/>
              </w:rPr>
              <w:t>50 (interpolation steps)</w:t>
            </w:r>
          </w:p>
        </w:tc>
        <w:tc>
          <w:tcPr>
            <w:tcW w:w="2835" w:type="dxa"/>
          </w:tcPr>
          <w:p w14:paraId="23F8D159" w14:textId="77777777" w:rsidR="000777AD" w:rsidRDefault="00000000">
            <w:r>
              <w:rPr>
                <w:sz w:val="19"/>
              </w:rPr>
              <w:t>256 (coalition samples)</w:t>
            </w:r>
          </w:p>
        </w:tc>
      </w:tr>
      <w:tr w:rsidR="000777AD" w14:paraId="7073CE65" w14:textId="77777777">
        <w:trPr>
          <w:jc w:val="center"/>
        </w:trPr>
        <w:tc>
          <w:tcPr>
            <w:tcW w:w="3175" w:type="dxa"/>
          </w:tcPr>
          <w:p w14:paraId="330D18F0" w14:textId="77777777" w:rsidR="000777AD" w:rsidRDefault="00000000">
            <w:r>
              <w:rPr>
                <w:sz w:val="19"/>
              </w:rPr>
              <w:t>Access required</w:t>
            </w:r>
          </w:p>
        </w:tc>
        <w:tc>
          <w:tcPr>
            <w:tcW w:w="3061" w:type="dxa"/>
          </w:tcPr>
          <w:p w14:paraId="188280CA" w14:textId="77777777" w:rsidR="000777AD" w:rsidRDefault="00000000">
            <w:r>
              <w:rPr>
                <w:sz w:val="19"/>
              </w:rPr>
              <w:t>gradients (white-box)</w:t>
            </w:r>
          </w:p>
        </w:tc>
        <w:tc>
          <w:tcPr>
            <w:tcW w:w="2835" w:type="dxa"/>
          </w:tcPr>
          <w:p w14:paraId="61937170" w14:textId="77777777" w:rsidR="000777AD" w:rsidRDefault="00000000">
            <w:r>
              <w:rPr>
                <w:sz w:val="19"/>
              </w:rPr>
              <w:t>predictions only (black-box)</w:t>
            </w:r>
          </w:p>
        </w:tc>
      </w:tr>
      <w:tr w:rsidR="000777AD" w14:paraId="5E2D5CB8" w14:textId="77777777">
        <w:trPr>
          <w:jc w:val="center"/>
        </w:trPr>
        <w:tc>
          <w:tcPr>
            <w:tcW w:w="3175" w:type="dxa"/>
          </w:tcPr>
          <w:p w14:paraId="25C1EA6F" w14:textId="77777777" w:rsidR="000777AD" w:rsidRDefault="00000000">
            <w:r>
              <w:rPr>
                <w:sz w:val="19"/>
              </w:rPr>
              <w:t>Estimator</w:t>
            </w:r>
          </w:p>
        </w:tc>
        <w:tc>
          <w:tcPr>
            <w:tcW w:w="3061" w:type="dxa"/>
          </w:tcPr>
          <w:p w14:paraId="1B4B73FA" w14:textId="77777777" w:rsidR="000777AD" w:rsidRDefault="00000000">
            <w:r>
              <w:rPr>
                <w:sz w:val="19"/>
              </w:rPr>
              <w:t>deterministic (exact in the limit)</w:t>
            </w:r>
          </w:p>
        </w:tc>
        <w:tc>
          <w:tcPr>
            <w:tcW w:w="2835" w:type="dxa"/>
          </w:tcPr>
          <w:p w14:paraId="38ACF485" w14:textId="77777777" w:rsidR="000777AD" w:rsidRDefault="00000000">
            <w:r>
              <w:rPr>
                <w:sz w:val="19"/>
              </w:rPr>
              <w:t>sampling-based (approximate)</w:t>
            </w:r>
          </w:p>
        </w:tc>
      </w:tr>
      <w:tr w:rsidR="000777AD" w14:paraId="4D806557" w14:textId="77777777">
        <w:trPr>
          <w:jc w:val="center"/>
        </w:trPr>
        <w:tc>
          <w:tcPr>
            <w:tcW w:w="3175" w:type="dxa"/>
          </w:tcPr>
          <w:p w14:paraId="0D4AE6D9" w14:textId="77777777" w:rsidR="000777AD" w:rsidRDefault="00000000">
            <w:r>
              <w:rPr>
                <w:sz w:val="19"/>
              </w:rPr>
              <w:t>Warm time / simulation</w:t>
            </w:r>
          </w:p>
        </w:tc>
        <w:tc>
          <w:tcPr>
            <w:tcW w:w="3061" w:type="dxa"/>
          </w:tcPr>
          <w:p w14:paraId="0D86CACF" w14:textId="77777777" w:rsidR="000777AD" w:rsidRDefault="00000000">
            <w:r>
              <w:rPr>
                <w:sz w:val="19"/>
              </w:rPr>
              <w:t>≈6.9 s</w:t>
            </w:r>
          </w:p>
        </w:tc>
        <w:tc>
          <w:tcPr>
            <w:tcW w:w="2835" w:type="dxa"/>
          </w:tcPr>
          <w:p w14:paraId="071F0E9E" w14:textId="77777777" w:rsidR="000777AD" w:rsidRDefault="00000000">
            <w:r>
              <w:rPr>
                <w:sz w:val="19"/>
              </w:rPr>
              <w:t>≈7.9 s</w:t>
            </w:r>
          </w:p>
        </w:tc>
      </w:tr>
    </w:tbl>
    <w:p w14:paraId="51BC9F4F" w14:textId="77777777" w:rsidR="000777AD" w:rsidRDefault="000777AD"/>
    <w:p w14:paraId="4C387855" w14:textId="77777777" w:rsidR="000777AD" w:rsidRDefault="00000000">
      <w:r>
        <w:t>This convergence of two methods from opposite families (gradient-based vs. perturbation-based) is reported as a positive finding — convergent validity: it indicates the ranking reflects the model rather than an artifact of a single method, which is notable given that disagreement between explanation methods is a well-documented concern in the XAI literature.</w:t>
      </w:r>
    </w:p>
    <w:p w14:paraId="2D6D3E87" w14:textId="77777777" w:rsidR="000777AD" w:rsidRDefault="00000000">
      <w:pPr>
        <w:pStyle w:val="Titre3"/>
      </w:pPr>
      <w:r>
        <w:t>1.5.6  Limitations of the completed phases</w:t>
      </w:r>
    </w:p>
    <w:p w14:paraId="53049F3A" w14:textId="77777777" w:rsidR="000777AD" w:rsidRDefault="00000000">
      <w:r>
        <w:t>Four limitations are stated openly; each is a property to interpret around, not a defect in the pipeline.</w:t>
      </w:r>
    </w:p>
    <w:p w14:paraId="735D5A45" w14:textId="77777777" w:rsidR="000777AD" w:rsidRDefault="00000000">
      <w:pPr>
        <w:pStyle w:val="Listepuces"/>
      </w:pPr>
      <w:r>
        <w:rPr>
          <w:b/>
        </w:rPr>
        <w:t xml:space="preserve">Structurally retained features: </w:t>
      </w:r>
      <w:r>
        <w:t xml:space="preserve">traffic and packets cannot be fully removed (they feed the load and packet-size computations), so any fidelity gap that relies on removing them </w:t>
      </w:r>
      <w:r>
        <w:lastRenderedPageBreak/>
        <w:t>is a lower bound; the retraining test most cleanly validates the eight fully-removable scalars plus sigma. This structural floor is identical across every variant — principled, random and baseline alike — so the principled-vs-random contrast remains valid; at worst it compresses the dynamic range, which would itself be informative (the model would be shown to rely mainly on the queueing physics, the learned path features adding a secondary correction).</w:t>
      </w:r>
    </w:p>
    <w:p w14:paraId="5F5CFFFA" w14:textId="77777777" w:rsidR="000777AD" w:rsidRDefault="00000000">
      <w:pPr>
        <w:pStyle w:val="Listepuces"/>
      </w:pPr>
      <w:r>
        <w:rPr>
          <w:b/>
        </w:rPr>
        <w:t xml:space="preserve">Conditional importance of sigma: </w:t>
      </w:r>
      <w:r>
        <w:t>sigma is zero for the ≈79 % of flows that are not modulated, so its high mean-absolute attribution is driven by the ≈21 % modulated flows. Its rank-1 (IG) / rank-2 (KernelSHAP) position should therefore be read as strong importance conditional on modulated traffic, not universal dominance — by frequency of being the single top-attributed feature, traffic leads in ≈71 % of simulations.</w:t>
      </w:r>
    </w:p>
    <w:p w14:paraId="0DD4FDDA" w14:textId="77777777" w:rsidR="000777AD" w:rsidRDefault="00000000">
      <w:pPr>
        <w:pStyle w:val="Listepuces"/>
      </w:pPr>
      <w:r>
        <w:rPr>
          <w:b/>
        </w:rPr>
        <w:t xml:space="preserve">Noise-tail volatility: </w:t>
      </w:r>
      <w:r>
        <w:t>ranks 4–10 are near-zero and reorder when the reference point changes; tail attribution magnitudes are therefore not interpreted. The study rests solely on the top-3 set {traffic, sigma, packets}, which is identical across all four rankings (both methods × both reference points) — only its internal order shuffles — so the moderate overall stability (ρ ≈ 0.61–0.64) does not affect any conclusion.</w:t>
      </w:r>
    </w:p>
    <w:p w14:paraId="3F1B5A7A" w14:textId="77777777" w:rsidR="000777AD" w:rsidRDefault="00000000">
      <w:pPr>
        <w:pStyle w:val="Listepuces"/>
      </w:pPr>
      <w:r>
        <w:rPr>
          <w:b/>
        </w:rPr>
        <w:t xml:space="preserve">Data-informed thresholds: </w:t>
      </w:r>
      <w:r>
        <w:t>the thresholds {30, 50, 70} are aligned to the observed attribution cliff, but are derived from attribution magnitudes — a property of the explanations — independently of the retraining accuracy they evaluate, so the design does not condition on its own outcome.</w:t>
      </w:r>
    </w:p>
    <w:p w14:paraId="176AE2B3" w14:textId="77777777" w:rsidR="000777AD" w:rsidRDefault="00000000">
      <w:pPr>
        <w:pStyle w:val="Titre2"/>
      </w:pPr>
      <w:r>
        <w:t>1.6  Work in Progress: Retraining Campaign and Fidelity Analysis</w:t>
      </w:r>
    </w:p>
    <w:p w14:paraId="7A87A179" w14:textId="77777777" w:rsidR="000777AD" w:rsidRDefault="00000000">
      <w:r>
        <w:t>The 13 unique training configurations of Section 1.4.6 are scheduled on the project’s reference compute (a company-provided GCP GPU instance). All runs use the exact training protocol of the reference paper — 150 epochs × 2,000 samples, Adam (lr = 0.001), MAPE loss, hidden state 32, T = 8 message-passing iterations, seed 42, identical data splits — so that the only varying factor across the matrix is the input feature set. Evaluation is on the full all_multiplexed test split.</w:t>
      </w:r>
    </w:p>
    <w:p w14:paraId="404AA4DB" w14:textId="77777777" w:rsidR="000777AD" w:rsidRDefault="00000000">
      <w:pPr>
        <w:spacing w:before="200"/>
      </w:pPr>
      <w:r>
        <w:rPr>
          <w:b/>
          <w:color w:val="1F3B66"/>
          <w:sz w:val="20"/>
        </w:rPr>
        <w:t>Table 1-7: Retraining matrix (Step 7).</w:t>
      </w:r>
    </w:p>
    <w:tbl>
      <w:tblPr>
        <w:tblStyle w:val="Grilledutableau"/>
        <w:tblW w:w="0" w:type="auto"/>
        <w:jc w:val="center"/>
        <w:tblLook w:val="04A0" w:firstRow="1" w:lastRow="0" w:firstColumn="1" w:lastColumn="0" w:noHBand="0" w:noVBand="1"/>
      </w:tblPr>
      <w:tblGrid>
        <w:gridCol w:w="907"/>
        <w:gridCol w:w="5329"/>
        <w:gridCol w:w="2835"/>
      </w:tblGrid>
      <w:tr w:rsidR="000777AD" w14:paraId="6FF5FE6A" w14:textId="77777777">
        <w:trPr>
          <w:jc w:val="center"/>
        </w:trPr>
        <w:tc>
          <w:tcPr>
            <w:tcW w:w="907" w:type="dxa"/>
            <w:shd w:val="clear" w:color="auto" w:fill="D9E2F3"/>
          </w:tcPr>
          <w:p w14:paraId="0AA32FD1" w14:textId="77777777" w:rsidR="000777AD" w:rsidRDefault="00000000">
            <w:r>
              <w:rPr>
                <w:b/>
                <w:sz w:val="19"/>
              </w:rPr>
              <w:t>#</w:t>
            </w:r>
          </w:p>
        </w:tc>
        <w:tc>
          <w:tcPr>
            <w:tcW w:w="5329" w:type="dxa"/>
            <w:shd w:val="clear" w:color="auto" w:fill="D9E2F3"/>
          </w:tcPr>
          <w:p w14:paraId="316E18A1" w14:textId="77777777" w:rsidR="000777AD" w:rsidRDefault="00000000">
            <w:r>
              <w:rPr>
                <w:b/>
                <w:sz w:val="19"/>
              </w:rPr>
              <w:t>Configuration</w:t>
            </w:r>
          </w:p>
        </w:tc>
        <w:tc>
          <w:tcPr>
            <w:tcW w:w="2835" w:type="dxa"/>
            <w:shd w:val="clear" w:color="auto" w:fill="D9E2F3"/>
          </w:tcPr>
          <w:p w14:paraId="67B398B3" w14:textId="77777777" w:rsidR="000777AD" w:rsidRDefault="00000000">
            <w:r>
              <w:rPr>
                <w:b/>
                <w:sz w:val="19"/>
              </w:rPr>
              <w:t>Kept path scalars</w:t>
            </w:r>
          </w:p>
        </w:tc>
      </w:tr>
      <w:tr w:rsidR="000777AD" w14:paraId="146EC4A9" w14:textId="77777777">
        <w:trPr>
          <w:jc w:val="center"/>
        </w:trPr>
        <w:tc>
          <w:tcPr>
            <w:tcW w:w="907" w:type="dxa"/>
          </w:tcPr>
          <w:p w14:paraId="4B2E1E38" w14:textId="77777777" w:rsidR="000777AD" w:rsidRDefault="00000000">
            <w:r>
              <w:rPr>
                <w:sz w:val="19"/>
              </w:rPr>
              <w:t>1</w:t>
            </w:r>
          </w:p>
        </w:tc>
        <w:tc>
          <w:tcPr>
            <w:tcW w:w="5329" w:type="dxa"/>
          </w:tcPr>
          <w:p w14:paraId="434A31F8" w14:textId="77777777" w:rsidR="000777AD" w:rsidRDefault="00000000">
            <w:r>
              <w:rPr>
                <w:sz w:val="19"/>
              </w:rPr>
              <w:t>Baseline (full input)</w:t>
            </w:r>
          </w:p>
        </w:tc>
        <w:tc>
          <w:tcPr>
            <w:tcW w:w="2835" w:type="dxa"/>
          </w:tcPr>
          <w:p w14:paraId="106BD8F4" w14:textId="77777777" w:rsidR="000777AD" w:rsidRDefault="00000000">
            <w:r>
              <w:rPr>
                <w:sz w:val="19"/>
              </w:rPr>
              <w:t>10</w:t>
            </w:r>
          </w:p>
        </w:tc>
      </w:tr>
      <w:tr w:rsidR="000777AD" w14:paraId="32CEBD21" w14:textId="77777777">
        <w:trPr>
          <w:jc w:val="center"/>
        </w:trPr>
        <w:tc>
          <w:tcPr>
            <w:tcW w:w="907" w:type="dxa"/>
          </w:tcPr>
          <w:p w14:paraId="787B4DD3" w14:textId="77777777" w:rsidR="000777AD" w:rsidRDefault="00000000">
            <w:r>
              <w:rPr>
                <w:sz w:val="19"/>
              </w:rPr>
              <w:t>2–7</w:t>
            </w:r>
          </w:p>
        </w:tc>
        <w:tc>
          <w:tcPr>
            <w:tcW w:w="5329" w:type="dxa"/>
          </w:tcPr>
          <w:p w14:paraId="2D658DF7" w14:textId="77777777" w:rsidR="000777AD" w:rsidRDefault="00000000">
            <w:r>
              <w:rPr>
                <w:sz w:val="19"/>
              </w:rPr>
              <w:t>Principled (IG ≡ KernelSHAP) · k ∈ {30, 50, 70} · {relevant, irrelevant}</w:t>
            </w:r>
          </w:p>
        </w:tc>
        <w:tc>
          <w:tcPr>
            <w:tcW w:w="2835" w:type="dxa"/>
          </w:tcPr>
          <w:p w14:paraId="2C040F61" w14:textId="77777777" w:rsidR="000777AD" w:rsidRDefault="00000000">
            <w:r>
              <w:rPr>
                <w:sz w:val="19"/>
              </w:rPr>
              <w:t>3/7, 5/5, 7/3</w:t>
            </w:r>
          </w:p>
        </w:tc>
      </w:tr>
      <w:tr w:rsidR="000777AD" w14:paraId="609AFB26" w14:textId="77777777">
        <w:trPr>
          <w:jc w:val="center"/>
        </w:trPr>
        <w:tc>
          <w:tcPr>
            <w:tcW w:w="907" w:type="dxa"/>
          </w:tcPr>
          <w:p w14:paraId="403A5A01" w14:textId="77777777" w:rsidR="000777AD" w:rsidRDefault="00000000">
            <w:r>
              <w:rPr>
                <w:sz w:val="19"/>
              </w:rPr>
              <w:t>8–13</w:t>
            </w:r>
          </w:p>
        </w:tc>
        <w:tc>
          <w:tcPr>
            <w:tcW w:w="5329" w:type="dxa"/>
          </w:tcPr>
          <w:p w14:paraId="199BA8FD" w14:textId="77777777" w:rsidR="000777AD" w:rsidRDefault="00000000">
            <w:r>
              <w:rPr>
                <w:sz w:val="19"/>
              </w:rPr>
              <w:t>Random control · k ∈ {30, 50, 70} · {relevant, irrelevant}</w:t>
            </w:r>
          </w:p>
        </w:tc>
        <w:tc>
          <w:tcPr>
            <w:tcW w:w="2835" w:type="dxa"/>
          </w:tcPr>
          <w:p w14:paraId="03AEB679" w14:textId="77777777" w:rsidR="000777AD" w:rsidRDefault="00000000">
            <w:r>
              <w:rPr>
                <w:sz w:val="19"/>
              </w:rPr>
              <w:t>3/7, 5/5, 7/3</w:t>
            </w:r>
          </w:p>
        </w:tc>
      </w:tr>
    </w:tbl>
    <w:p w14:paraId="34A1CDAD" w14:textId="77777777" w:rsidR="000777AD" w:rsidRDefault="000777AD"/>
    <w:p w14:paraId="3E5C3CC4" w14:textId="77777777" w:rsidR="000777AD" w:rsidRDefault="00000000">
      <w:r>
        <w:t>As established in Section 1.5.5, the two principled methods yield identical retrained models, so the campaign trains 13 unique configurations (one baseline, six principled, six random) and the IG-vs-KernelSHAP comparison is settled on stability and cost rather than fidelity.</w:t>
      </w:r>
    </w:p>
    <w:p w14:paraId="7393F9A6" w14:textId="77777777" w:rsidR="000777AD" w:rsidRDefault="00000000">
      <w:r>
        <w:t>The fidelity analysis (Step 8) compares the principled ranking against the random control: at each threshold, the test MAPE of relevant_k vs. irrelevant_k variants is measured against the retrained baseline. A faithful ranking shows relevant_k approaching baseline accuracy while irrelevant_k degrades, with the principled gap clearly exceeding the random-control gap (subject to the structural lower-bound caveat of Section 1.5.6). Subsequent steps add a plausibility assessment against queueing theory (Step 10a) and a written analysis of the methodology’s transferability to V2X scenarios in support of WP4 (Step 10b).</w:t>
      </w:r>
    </w:p>
    <w:p w14:paraId="0EDD5C54" w14:textId="77777777" w:rsidR="000777AD" w:rsidRDefault="00000000">
      <w:pPr>
        <w:pStyle w:val="Titre2"/>
      </w:pPr>
      <w:r>
        <w:lastRenderedPageBreak/>
        <w:t>1.7  Conclusion (Interim)</w:t>
      </w:r>
    </w:p>
    <w:p w14:paraId="5D2BC247" w14:textId="77777777" w:rsidR="000777AD" w:rsidRDefault="00000000">
      <w:r>
        <w:t>The completed phases establish a validated and fully reproducible foundation for the comparative XAI study mandated by T3.2: the reference GNN environment matches the published accuracy to within 0.11 pp; two XAI methods from distinct families are implemented, audited and applied to a fixed 300-simulation evaluation set; their global feature rankings agree strongly (ρ = 0.964) and are statistically stable, both across sample halves and under reference-point changes for the features that matter; and the retraining infrastructure that will deliver the fidelity verdict — 13 configurations, column-dropping with true input-dimension reduction, verified end-to-end — is in place. The key intermediate finding is that both methods concentrate ≈93 % of attribution mass on 3 of the 10 rankable features (sigma, traffic, packets), a strong and physically plausible claim that the retraining campaign will now put to the test.</w:t>
      </w:r>
    </w:p>
    <w:p w14:paraId="72C90DBC" w14:textId="77777777" w:rsidR="000777AD" w:rsidRDefault="00000000">
      <w:pPr>
        <w:pStyle w:val="Titre2"/>
      </w:pPr>
      <w:r>
        <w:t>1.8  References</w:t>
      </w:r>
    </w:p>
    <w:p w14:paraId="2620CD60" w14:textId="77777777" w:rsidR="000777AD" w:rsidRDefault="00000000">
      <w:pPr>
        <w:spacing w:after="80"/>
      </w:pPr>
      <w:r>
        <w:rPr>
          <w:b/>
        </w:rPr>
        <w:t xml:space="preserve">[1] </w:t>
      </w:r>
      <w:r>
        <w:t>M. Ferriol-Galmés, J. Paillisse, J. Suárez-Varela, K. Rusek, S. Xiao, X. Shi, X. Cheng, P. Barlet-Ros, A. Cabellos-Aparicio, “RouteNet-Fermi: Network Modeling with Graph Neural Networks”, IEEE/ACM Transactions on Networking, 2023. DOI 10.1109/TNET.2023.3269983.</w:t>
      </w:r>
    </w:p>
    <w:p w14:paraId="53739AE4" w14:textId="77777777" w:rsidR="000777AD" w:rsidRDefault="00000000">
      <w:pPr>
        <w:spacing w:after="80"/>
      </w:pPr>
      <w:r>
        <w:rPr>
          <w:b/>
        </w:rPr>
        <w:t xml:space="preserve">[2] </w:t>
      </w:r>
      <w:r>
        <w:t>M. Sundararajan, A. Taly, Q. Yan, “Axiomatic Attribution for Deep Networks”, ICML 2017.</w:t>
      </w:r>
    </w:p>
    <w:p w14:paraId="1509ED74" w14:textId="77777777" w:rsidR="000777AD" w:rsidRDefault="00000000">
      <w:pPr>
        <w:spacing w:after="80"/>
      </w:pPr>
      <w:r>
        <w:rPr>
          <w:b/>
        </w:rPr>
        <w:t xml:space="preserve">[3] </w:t>
      </w:r>
      <w:r>
        <w:t>S. Lundberg, S.-I. Lee, “A Unified Approach to Interpreting Model Predictions”, NeurIPS 2017.</w:t>
      </w:r>
    </w:p>
    <w:p w14:paraId="38E73FB3" w14:textId="77777777" w:rsidR="000777AD" w:rsidRDefault="00000000">
      <w:pPr>
        <w:spacing w:after="80"/>
      </w:pPr>
      <w:r>
        <w:rPr>
          <w:b/>
        </w:rPr>
        <w:t xml:space="preserve">[4] </w:t>
      </w:r>
      <w:r>
        <w:t>S. Hooker, D. Erhan, P.-J. Kindermans, B. Kim, “A Benchmark for Interpretability Methods in Deep Neural Networks”, NeurIPS 2019.</w:t>
      </w:r>
    </w:p>
    <w:p w14:paraId="1A839796" w14:textId="77777777" w:rsidR="000777AD" w:rsidRDefault="00000000">
      <w:pPr>
        <w:spacing w:after="80"/>
      </w:pPr>
      <w:r>
        <w:rPr>
          <w:b/>
        </w:rPr>
        <w:t xml:space="preserve">[5] </w:t>
      </w:r>
      <w:r>
        <w:t>BNN-UPC, dataset-v6-traffic-models and RouteNet-Fermi reference implementation, https://github.com/BNN-UPC/RouteNet-Fermi.</w:t>
      </w:r>
    </w:p>
    <w:sectPr w:rsidR="000777AD"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3577292">
    <w:abstractNumId w:val="8"/>
  </w:num>
  <w:num w:numId="2" w16cid:durableId="868295095">
    <w:abstractNumId w:val="6"/>
  </w:num>
  <w:num w:numId="3" w16cid:durableId="1399865669">
    <w:abstractNumId w:val="5"/>
  </w:num>
  <w:num w:numId="4" w16cid:durableId="1002126520">
    <w:abstractNumId w:val="4"/>
  </w:num>
  <w:num w:numId="5" w16cid:durableId="1332879646">
    <w:abstractNumId w:val="7"/>
  </w:num>
  <w:num w:numId="6" w16cid:durableId="163325470">
    <w:abstractNumId w:val="3"/>
  </w:num>
  <w:num w:numId="7" w16cid:durableId="90668547">
    <w:abstractNumId w:val="2"/>
  </w:num>
  <w:num w:numId="8" w16cid:durableId="943730132">
    <w:abstractNumId w:val="1"/>
  </w:num>
  <w:num w:numId="9" w16cid:durableId="1276451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7AD"/>
    <w:rsid w:val="000A4AA9"/>
    <w:rsid w:val="0015074B"/>
    <w:rsid w:val="0029639D"/>
    <w:rsid w:val="00326F90"/>
    <w:rsid w:val="0034435E"/>
    <w:rsid w:val="009940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5BBF3"/>
  <w14:defaultImageDpi w14:val="300"/>
  <w15:docId w15:val="{8945C64A-C5DC-4B98-962E-F3849AA18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3B66"/>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3B66"/>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3B66"/>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4003</Words>
  <Characters>22017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DAGHER, Dana</cp:lastModifiedBy>
  <cp:revision>3</cp:revision>
  <dcterms:created xsi:type="dcterms:W3CDTF">2013-12-23T23:15:00Z</dcterms:created>
  <dcterms:modified xsi:type="dcterms:W3CDTF">2026-06-17T10:09:00Z</dcterms:modified>
  <cp:category/>
</cp:coreProperties>
</file>