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Expiry Tracker Feasibility Study</w:t>
      </w:r>
    </w:p>
    <w:p>
      <w:r>
        <w:t>Effat University | Software Engineering | CS3151 | Section 1</w:t>
      </w:r>
    </w:p>
    <w:p>
      <w:r>
        <w:t>Instructor: Dr. Passent Elkafrawy</w:t>
      </w:r>
    </w:p>
    <w:p>
      <w:r>
        <w:t>Team: Dana Eshmawi, Zainab Tantawi, Wajd Almadani</w:t>
      </w:r>
    </w:p>
    <w:p>
      <w:r>
        <w:t>Date: 10 October 2026</w:t>
      </w:r>
    </w:p>
    <w:p>
      <w:pPr>
        <w:pStyle w:val="Heading1"/>
      </w:pPr>
      <w:r>
        <w:t>1 Executive Summary</w:t>
      </w:r>
    </w:p>
    <w:p>
      <w:r>
        <w:t>Product Expiry Tracker is a proposed Arabic and English app that stores product expiry dates and reminds users before products expire. It brings food, medicine, supplements, makeup, skincare, hair products, and household items into one organized system.</w:t>
      </w:r>
    </w:p>
    <w:p>
      <w:r>
        <w:t>We recommend developing a small student prototype. The required functions are practical with standard app development tools, and the existing market study suggests a need for better expiry tracking. Commercial success is still uncertain because willingness to pay, user retention, and running costs have not yet been tested.</w:t>
      </w:r>
    </w:p>
    <w:p>
      <w:r>
        <w:t>The proposed plan is an eight-week prototype developed by the three team members. An illustrative cash budget of SAR 1,000 is suggested, assuming existing laptops and phones, student development work, and no public app-store launch during the prototype stage.</w:t>
      </w:r>
    </w:p>
    <w:p>
      <w:pPr>
        <w:pStyle w:val="Heading1"/>
      </w:pPr>
      <w:r>
        <w:t>2 Description of Products and Services</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pPr>
              <w:spacing w:after="40"/>
            </w:pPr>
            <w:r>
              <w:rPr>
                <w:sz w:val="20"/>
              </w:rPr>
              <w:t>Function</w:t>
            </w:r>
          </w:p>
        </w:tc>
        <w:tc>
          <w:tcPr>
            <w:tcW w:type="dxa" w:w="4968"/>
          </w:tcPr>
          <w:p>
            <w:pPr>
              <w:spacing w:after="40"/>
            </w:pPr>
            <w:r>
              <w:rPr>
                <w:sz w:val="20"/>
              </w:rPr>
              <w:t>User benefit</w:t>
            </w:r>
          </w:p>
        </w:tc>
      </w:tr>
      <w:tr>
        <w:trPr>
          <w:cantSplit/>
        </w:trPr>
        <w:tc>
          <w:tcPr>
            <w:tcW w:type="dxa" w:w="4968"/>
          </w:tcPr>
          <w:p>
            <w:pPr>
              <w:spacing w:after="40"/>
            </w:pPr>
            <w:r>
              <w:rPr>
                <w:sz w:val="20"/>
              </w:rPr>
              <w:t>Add, edit, and delete products</w:t>
            </w:r>
          </w:p>
        </w:tc>
        <w:tc>
          <w:tcPr>
            <w:tcW w:type="dxa" w:w="4968"/>
          </w:tcPr>
          <w:p>
            <w:pPr>
              <w:spacing w:after="40"/>
            </w:pPr>
            <w:r>
              <w:rPr>
                <w:sz w:val="20"/>
              </w:rPr>
              <w:t>Keep product names, categories, and expiry dates accurate.</w:t>
            </w:r>
          </w:p>
        </w:tc>
      </w:tr>
      <w:tr>
        <w:trPr>
          <w:cantSplit/>
        </w:trPr>
        <w:tc>
          <w:tcPr>
            <w:tcW w:type="dxa" w:w="4968"/>
          </w:tcPr>
          <w:p>
            <w:pPr>
              <w:spacing w:after="40"/>
            </w:pPr>
            <w:r>
              <w:rPr>
                <w:sz w:val="20"/>
              </w:rPr>
              <w:t>Organize and search products</w:t>
            </w:r>
          </w:p>
        </w:tc>
        <w:tc>
          <w:tcPr>
            <w:tcW w:type="dxa" w:w="4968"/>
          </w:tcPr>
          <w:p>
            <w:pPr>
              <w:spacing w:after="40"/>
            </w:pPr>
            <w:r>
              <w:rPr>
                <w:sz w:val="20"/>
              </w:rPr>
              <w:t>Find products across household and personal-care categories.</w:t>
            </w:r>
          </w:p>
        </w:tc>
      </w:tr>
      <w:tr>
        <w:trPr>
          <w:cantSplit/>
        </w:trPr>
        <w:tc>
          <w:tcPr>
            <w:tcW w:type="dxa" w:w="4968"/>
          </w:tcPr>
          <w:p>
            <w:pPr>
              <w:spacing w:after="40"/>
            </w:pPr>
            <w:r>
              <w:rPr>
                <w:sz w:val="20"/>
              </w:rPr>
              <w:t>View upcoming and expired items</w:t>
            </w:r>
          </w:p>
        </w:tc>
        <w:tc>
          <w:tcPr>
            <w:tcW w:type="dxa" w:w="4968"/>
          </w:tcPr>
          <w:p>
            <w:pPr>
              <w:spacing w:after="40"/>
            </w:pPr>
            <w:r>
              <w:rPr>
                <w:sz w:val="20"/>
              </w:rPr>
              <w:t>Prioritize products with the nearest expiry dates.</w:t>
            </w:r>
          </w:p>
        </w:tc>
      </w:tr>
      <w:tr>
        <w:trPr>
          <w:cantSplit/>
        </w:trPr>
        <w:tc>
          <w:tcPr>
            <w:tcW w:type="dxa" w:w="4968"/>
          </w:tcPr>
          <w:p>
            <w:pPr>
              <w:spacing w:after="40"/>
            </w:pPr>
            <w:r>
              <w:rPr>
                <w:sz w:val="20"/>
              </w:rPr>
              <w:t>Receive expiry reminders</w:t>
            </w:r>
          </w:p>
        </w:tc>
        <w:tc>
          <w:tcPr>
            <w:tcW w:type="dxa" w:w="4968"/>
          </w:tcPr>
          <w:p>
            <w:pPr>
              <w:spacing w:after="40"/>
            </w:pPr>
            <w:r>
              <w:rPr>
                <w:sz w:val="20"/>
              </w:rPr>
              <w:t>Remember expiry dates without creating separate calendar events.</w:t>
            </w:r>
          </w:p>
        </w:tc>
      </w:tr>
      <w:tr>
        <w:trPr>
          <w:cantSplit/>
        </w:trPr>
        <w:tc>
          <w:tcPr>
            <w:tcW w:type="dxa" w:w="4968"/>
          </w:tcPr>
          <w:p>
            <w:pPr>
              <w:spacing w:after="40"/>
            </w:pPr>
            <w:r>
              <w:rPr>
                <w:sz w:val="20"/>
              </w:rPr>
              <w:t>Choose Arabic or English</w:t>
            </w:r>
          </w:p>
        </w:tc>
        <w:tc>
          <w:tcPr>
            <w:tcW w:type="dxa" w:w="4968"/>
          </w:tcPr>
          <w:p>
            <w:pPr>
              <w:spacing w:after="40"/>
            </w:pPr>
            <w:r>
              <w:rPr>
                <w:sz w:val="20"/>
              </w:rPr>
              <w:t>Use the interface in the preferred language.</w:t>
            </w:r>
          </w:p>
        </w:tc>
      </w:tr>
    </w:tbl>
    <w:p>
      <w:r>
        <w:t>The first version will use manually entered expiry dates. Barcode scanning, retail integrations, advertisements, and paid subscriptions are future options. Dates will come from the user; the app will not independently determine whether a product is safe to use.</w:t>
      </w:r>
    </w:p>
    <w:p>
      <w:r>
        <w:br w:type="page"/>
      </w:r>
    </w:p>
    <w:p>
      <w:pPr>
        <w:pStyle w:val="Heading1"/>
      </w:pPr>
      <w:r>
        <w:t>3 Technology Considerations</w:t>
      </w:r>
    </w:p>
    <w:p>
      <w:r>
        <w:t>A proposed implementation is a mobile app using Flutter with a local SQLite database and scheduled local notifications. This is a suggested technical approach, subject to the team’s skills and course requirements. Cloud synchronization can be considered after the basic app works.</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pPr>
              <w:spacing w:after="40"/>
            </w:pPr>
            <w:r>
              <w:rPr>
                <w:sz w:val="20"/>
              </w:rPr>
              <w:t>Area</w:t>
            </w:r>
          </w:p>
        </w:tc>
        <w:tc>
          <w:tcPr>
            <w:tcW w:type="dxa" w:w="4968"/>
          </w:tcPr>
          <w:p>
            <w:pPr>
              <w:spacing w:after="40"/>
            </w:pPr>
            <w:r>
              <w:rPr>
                <w:sz w:val="20"/>
              </w:rPr>
              <w:t>Implementation and feasibility check</w:t>
            </w:r>
          </w:p>
        </w:tc>
      </w:tr>
      <w:tr>
        <w:trPr>
          <w:cantSplit/>
        </w:trPr>
        <w:tc>
          <w:tcPr>
            <w:tcW w:type="dxa" w:w="4968"/>
          </w:tcPr>
          <w:p>
            <w:pPr>
              <w:spacing w:after="40"/>
            </w:pPr>
            <w:r>
              <w:rPr>
                <w:sz w:val="20"/>
              </w:rPr>
              <w:t>Product records</w:t>
            </w:r>
          </w:p>
        </w:tc>
        <w:tc>
          <w:tcPr>
            <w:tcW w:type="dxa" w:w="4968"/>
          </w:tcPr>
          <w:p>
            <w:pPr>
              <w:spacing w:after="40"/>
            </w:pPr>
            <w:r>
              <w:rPr>
                <w:sz w:val="20"/>
              </w:rPr>
              <w:t>Store product ID, name, category, expiry date, and reminder setting. Validate required fields and dates.</w:t>
            </w:r>
          </w:p>
        </w:tc>
      </w:tr>
      <w:tr>
        <w:trPr>
          <w:cantSplit/>
        </w:trPr>
        <w:tc>
          <w:tcPr>
            <w:tcW w:type="dxa" w:w="4968"/>
          </w:tcPr>
          <w:p>
            <w:pPr>
              <w:spacing w:after="40"/>
            </w:pPr>
            <w:r>
              <w:rPr>
                <w:sz w:val="20"/>
              </w:rPr>
              <w:t>Expiry logic</w:t>
            </w:r>
          </w:p>
        </w:tc>
        <w:tc>
          <w:tcPr>
            <w:tcW w:type="dxa" w:w="4968"/>
          </w:tcPr>
          <w:p>
            <w:pPr>
              <w:spacing w:after="40"/>
            </w:pPr>
            <w:r>
              <w:rPr>
                <w:sz w:val="20"/>
              </w:rPr>
              <w:t>Calculate remaining days and sort by nearest expiry. Test today, past dates, month changes, and leap years.</w:t>
            </w:r>
          </w:p>
        </w:tc>
      </w:tr>
      <w:tr>
        <w:trPr>
          <w:cantSplit/>
        </w:trPr>
        <w:tc>
          <w:tcPr>
            <w:tcW w:type="dxa" w:w="4968"/>
          </w:tcPr>
          <w:p>
            <w:pPr>
              <w:spacing w:after="40"/>
            </w:pPr>
            <w:r>
              <w:rPr>
                <w:sz w:val="20"/>
              </w:rPr>
              <w:t>Notifications</w:t>
            </w:r>
          </w:p>
        </w:tc>
        <w:tc>
          <w:tcPr>
            <w:tcW w:type="dxa" w:w="4968"/>
          </w:tcPr>
          <w:p>
            <w:pPr>
              <w:spacing w:after="40"/>
            </w:pPr>
            <w:r>
              <w:rPr>
                <w:sz w:val="20"/>
              </w:rPr>
              <w:t>Request notification permission, schedule reminders, and update or cancel reminders when a product changes.</w:t>
            </w:r>
          </w:p>
        </w:tc>
      </w:tr>
      <w:tr>
        <w:trPr>
          <w:cantSplit/>
        </w:trPr>
        <w:tc>
          <w:tcPr>
            <w:tcW w:type="dxa" w:w="4968"/>
          </w:tcPr>
          <w:p>
            <w:pPr>
              <w:spacing w:after="40"/>
            </w:pPr>
            <w:r>
              <w:rPr>
                <w:sz w:val="20"/>
              </w:rPr>
              <w:t>Bilingual interface</w:t>
            </w:r>
          </w:p>
        </w:tc>
        <w:tc>
          <w:tcPr>
            <w:tcW w:type="dxa" w:w="4968"/>
          </w:tcPr>
          <w:p>
            <w:pPr>
              <w:spacing w:after="40"/>
            </w:pPr>
            <w:r>
              <w:rPr>
                <w:sz w:val="20"/>
              </w:rPr>
              <w:t>Translate all core screens and support right-to-left layout for Arabic.</w:t>
            </w:r>
          </w:p>
        </w:tc>
      </w:tr>
      <w:tr>
        <w:trPr>
          <w:cantSplit/>
        </w:trPr>
        <w:tc>
          <w:tcPr>
            <w:tcW w:type="dxa" w:w="4968"/>
          </w:tcPr>
          <w:p>
            <w:pPr>
              <w:spacing w:after="40"/>
            </w:pPr>
            <w:r>
              <w:rPr>
                <w:sz w:val="20"/>
              </w:rPr>
              <w:t>Storage</w:t>
            </w:r>
          </w:p>
        </w:tc>
        <w:tc>
          <w:tcPr>
            <w:tcW w:type="dxa" w:w="4968"/>
          </w:tcPr>
          <w:p>
            <w:pPr>
              <w:spacing w:after="40"/>
            </w:pPr>
            <w:r>
              <w:rPr>
                <w:sz w:val="20"/>
              </w:rPr>
              <w:t>Verify records remain after closing and reopening the app. Clearly explain that local data may be lost if the app is removed.</w:t>
            </w:r>
          </w:p>
        </w:tc>
      </w:tr>
      <w:tr>
        <w:trPr>
          <w:cantSplit/>
        </w:trPr>
        <w:tc>
          <w:tcPr>
            <w:tcW w:type="dxa" w:w="4968"/>
          </w:tcPr>
          <w:p>
            <w:pPr>
              <w:spacing w:after="40"/>
            </w:pPr>
            <w:r>
              <w:rPr>
                <w:sz w:val="20"/>
              </w:rPr>
              <w:t>Testing</w:t>
            </w:r>
          </w:p>
        </w:tc>
        <w:tc>
          <w:tcPr>
            <w:tcW w:type="dxa" w:w="4968"/>
          </w:tcPr>
          <w:p>
            <w:pPr>
              <w:spacing w:after="40"/>
            </w:pPr>
            <w:r>
              <w:rPr>
                <w:sz w:val="20"/>
              </w:rPr>
              <w:t>Test on available phones, including disabled permissions and app restarts.</w:t>
            </w:r>
          </w:p>
        </w:tc>
      </w:tr>
    </w:tbl>
    <w:p>
      <w:r>
        <w:t>The main technical risks are unfamiliar notification tools, differences between phone operating systems, and incorrect user-entered dates. Begin with one supported platform, build a working reminder early, and test the full add-save-display-remind flow before expanding.</w:t>
      </w:r>
    </w:p>
    <w:p>
      <w:pPr>
        <w:pStyle w:val="Heading1"/>
      </w:pPr>
      <w:r>
        <w:t>4 Product and Service Marketplace</w:t>
      </w:r>
    </w:p>
    <w:p>
      <w:r>
        <w:t>The initial target market is users in Saudi Arabia, especially university students, families, beauty-product users, and people managing medicine, supplements, or household products. The personas describe a student, a household shopper, and a makeup and skincare enthusiast.</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pPr>
              <w:spacing w:after="40"/>
            </w:pPr>
            <w:r>
              <w:rPr>
                <w:sz w:val="20"/>
              </w:rPr>
              <w:t>Existing survey finding</w:t>
            </w:r>
          </w:p>
        </w:tc>
        <w:tc>
          <w:tcPr>
            <w:tcW w:type="dxa" w:w="4968"/>
          </w:tcPr>
          <w:p>
            <w:pPr>
              <w:spacing w:after="40"/>
            </w:pPr>
            <w:r>
              <w:rPr>
                <w:sz w:val="20"/>
              </w:rPr>
              <w:t>Implication</w:t>
            </w:r>
          </w:p>
        </w:tc>
      </w:tr>
      <w:tr>
        <w:trPr>
          <w:cantSplit/>
        </w:trPr>
        <w:tc>
          <w:tcPr>
            <w:tcW w:type="dxa" w:w="4968"/>
          </w:tcPr>
          <w:p>
            <w:pPr>
              <w:spacing w:after="40"/>
            </w:pPr>
            <w:r>
              <w:rPr>
                <w:sz w:val="20"/>
              </w:rPr>
              <w:t>66.7% forget expiry dates very often</w:t>
            </w:r>
          </w:p>
        </w:tc>
        <w:tc>
          <w:tcPr>
            <w:tcW w:type="dxa" w:w="4968"/>
          </w:tcPr>
          <w:p>
            <w:pPr>
              <w:spacing w:after="40"/>
            </w:pPr>
            <w:r>
              <w:rPr>
                <w:sz w:val="20"/>
              </w:rPr>
              <w:t>Prioritize reminders and simple product entry.</w:t>
            </w:r>
          </w:p>
        </w:tc>
      </w:tr>
      <w:tr>
        <w:trPr>
          <w:cantSplit/>
        </w:trPr>
        <w:tc>
          <w:tcPr>
            <w:tcW w:type="dxa" w:w="4968"/>
          </w:tcPr>
          <w:p>
            <w:pPr>
              <w:spacing w:after="40"/>
            </w:pPr>
            <w:r>
              <w:rPr>
                <w:sz w:val="20"/>
              </w:rPr>
              <w:t>83.3% have found an expired product</w:t>
            </w:r>
          </w:p>
        </w:tc>
        <w:tc>
          <w:tcPr>
            <w:tcW w:type="dxa" w:w="4968"/>
          </w:tcPr>
          <w:p>
            <w:pPr>
              <w:spacing w:after="40"/>
            </w:pPr>
            <w:r>
              <w:rPr>
                <w:sz w:val="20"/>
              </w:rPr>
              <w:t>Show upcoming expiry dates clearly.</w:t>
            </w:r>
          </w:p>
        </w:tc>
      </w:tr>
      <w:tr>
        <w:trPr>
          <w:cantSplit/>
        </w:trPr>
        <w:tc>
          <w:tcPr>
            <w:tcW w:type="dxa" w:w="4968"/>
          </w:tcPr>
          <w:p>
            <w:pPr>
              <w:spacing w:after="40"/>
            </w:pPr>
            <w:r>
              <w:rPr>
                <w:sz w:val="20"/>
              </w:rPr>
              <w:t>66.7% check packaging; 33.3% do not track dates</w:t>
            </w:r>
          </w:p>
        </w:tc>
        <w:tc>
          <w:tcPr>
            <w:tcW w:type="dxa" w:w="4968"/>
          </w:tcPr>
          <w:p>
            <w:pPr>
              <w:spacing w:after="40"/>
            </w:pPr>
            <w:r>
              <w:rPr>
                <w:sz w:val="20"/>
              </w:rPr>
              <w:t>Reduce the effort needed to organize expiry information.</w:t>
            </w:r>
          </w:p>
        </w:tc>
      </w:tr>
      <w:tr>
        <w:trPr>
          <w:cantSplit/>
        </w:trPr>
        <w:tc>
          <w:tcPr>
            <w:tcW w:type="dxa" w:w="4968"/>
          </w:tcPr>
          <w:p>
            <w:pPr>
              <w:spacing w:after="40"/>
            </w:pPr>
            <w:r>
              <w:rPr>
                <w:sz w:val="20"/>
              </w:rPr>
              <w:t>Makeup and medicine each 66.7%; food and hair products each 50%</w:t>
            </w:r>
          </w:p>
        </w:tc>
        <w:tc>
          <w:tcPr>
            <w:tcW w:type="dxa" w:w="4968"/>
          </w:tcPr>
          <w:p>
            <w:pPr>
              <w:spacing w:after="40"/>
            </w:pPr>
            <w:r>
              <w:rPr>
                <w:sz w:val="20"/>
              </w:rPr>
              <w:t>Support several categories in the first version.</w:t>
            </w:r>
          </w:p>
        </w:tc>
      </w:tr>
    </w:tbl>
    <w:p>
      <w:r>
        <w:t>These percentages are reported in the team’s market study. The respondent count and sampling method are not stated there, so the results indicate a problem among surveyed users rather than proving demand across the whole market.</w:t>
      </w:r>
    </w:p>
    <w:p>
      <w:r>
        <w:t>The existing study identifies NoWaste, Best Before, Google Calendar, and Apple Reminders as alternatives. Our proposed distinction is a dedicated bilingual product list with categories and expiry status. Users still enter dates manually. A later commercial decision should verify competitor capabilities and test whether users prefer our workflow.</w:t>
      </w:r>
    </w:p>
    <w:p>
      <w:r>
        <w:br w:type="page"/>
      </w:r>
    </w:p>
    <w:p>
      <w:pPr>
        <w:pStyle w:val="Heading1"/>
      </w:pPr>
      <w:r>
        <w:t>5 Marketing Strategy</w:t>
      </w:r>
    </w:p>
    <w:p>
      <w:r>
        <w:t>Start with a small pilot among students, family members, and beauty-product users. Demonstrate adding a product and receiving a reminder through a short Arabic and English walkthrough. Collect feedback before spending on promotion.</w:t>
      </w:r>
    </w:p>
    <w:p>
      <w:r>
        <w:t>Possible later channels include social media, word of mouth, a project website, and app stores. Retailers and manufacturers are potential partners from the business canvas; no partnership is currently confirmed.</w:t>
      </w:r>
    </w:p>
    <w:p>
      <w:r>
        <w:t>Proposed pilot targets are 10 to 15 testers, at least 80% completing product entry without help, and feedback on reminder usefulness and whether they would continue using the app. These are evaluation targets, not achieved results. Ask about willingness to pay before introducing premium features.</w:t>
      </w:r>
    </w:p>
    <w:p>
      <w:pPr>
        <w:pStyle w:val="Heading1"/>
      </w:pPr>
      <w:r>
        <w:t>6 Organization and Staffing</w:t>
      </w:r>
    </w:p>
    <w:p>
      <w:r>
        <w:t>The three students can develop the prototype without hiring staff. The assignments below are proposed and can be exchanged according to skills. All members review requirements, integrate their work, and test the finished app.</w:t>
      </w:r>
    </w:p>
    <w:tbl>
      <w:tblPr>
        <w:tblStyle w:val="LightShading-Accent1"/>
        <w:tblW w:type="auto" w:w="0"/>
        <w:tblLook w:firstColumn="1" w:firstRow="1" w:lastColumn="0" w:lastRow="0" w:noHBand="0" w:noVBand="1" w:val="04A0"/>
      </w:tblPr>
      <w:tblGrid>
        <w:gridCol w:w="3312"/>
        <w:gridCol w:w="3312"/>
        <w:gridCol w:w="3312"/>
      </w:tblGrid>
      <w:tr>
        <w:trPr>
          <w:cantSplit/>
        </w:trPr>
        <w:tc>
          <w:tcPr>
            <w:tcW w:type="dxa" w:w="3312"/>
          </w:tcPr>
          <w:p>
            <w:pPr>
              <w:spacing w:after="40"/>
            </w:pPr>
            <w:r>
              <w:rPr>
                <w:sz w:val="20"/>
              </w:rPr>
              <w:t>Team member</w:t>
            </w:r>
          </w:p>
        </w:tc>
        <w:tc>
          <w:tcPr>
            <w:tcW w:type="dxa" w:w="3312"/>
          </w:tcPr>
          <w:p>
            <w:pPr>
              <w:spacing w:after="40"/>
            </w:pPr>
            <w:r>
              <w:rPr>
                <w:sz w:val="20"/>
              </w:rPr>
              <w:t>Proposed responsibility</w:t>
            </w:r>
          </w:p>
        </w:tc>
        <w:tc>
          <w:tcPr>
            <w:tcW w:type="dxa" w:w="3312"/>
          </w:tcPr>
          <w:p>
            <w:pPr>
              <w:spacing w:after="40"/>
            </w:pPr>
            <w:r>
              <w:rPr>
                <w:sz w:val="20"/>
              </w:rPr>
              <w:t>Deliverable</w:t>
            </w:r>
          </w:p>
        </w:tc>
      </w:tr>
      <w:tr>
        <w:trPr>
          <w:cantSplit/>
        </w:trPr>
        <w:tc>
          <w:tcPr>
            <w:tcW w:type="dxa" w:w="3312"/>
          </w:tcPr>
          <w:p>
            <w:pPr>
              <w:spacing w:after="40"/>
            </w:pPr>
            <w:r>
              <w:rPr>
                <w:sz w:val="20"/>
              </w:rPr>
              <w:t>Dana Eshmawi</w:t>
            </w:r>
          </w:p>
        </w:tc>
        <w:tc>
          <w:tcPr>
            <w:tcW w:type="dxa" w:w="3312"/>
          </w:tcPr>
          <w:p>
            <w:pPr>
              <w:spacing w:after="40"/>
            </w:pPr>
            <w:r>
              <w:rPr>
                <w:sz w:val="20"/>
              </w:rPr>
              <w:t>Screens, navigation, and bilingual design</w:t>
            </w:r>
          </w:p>
        </w:tc>
        <w:tc>
          <w:tcPr>
            <w:tcW w:type="dxa" w:w="3312"/>
          </w:tcPr>
          <w:p>
            <w:pPr>
              <w:spacing w:after="40"/>
            </w:pPr>
            <w:r>
              <w:rPr>
                <w:sz w:val="20"/>
              </w:rPr>
              <w:t>Home, product list, add/edit form, language settings.</w:t>
            </w:r>
          </w:p>
        </w:tc>
      </w:tr>
      <w:tr>
        <w:trPr>
          <w:cantSplit/>
        </w:trPr>
        <w:tc>
          <w:tcPr>
            <w:tcW w:type="dxa" w:w="3312"/>
          </w:tcPr>
          <w:p>
            <w:pPr>
              <w:spacing w:after="40"/>
            </w:pPr>
            <w:r>
              <w:rPr>
                <w:sz w:val="20"/>
              </w:rPr>
              <w:t>Zainab Tantawi</w:t>
            </w:r>
          </w:p>
        </w:tc>
        <w:tc>
          <w:tcPr>
            <w:tcW w:type="dxa" w:w="3312"/>
          </w:tcPr>
          <w:p>
            <w:pPr>
              <w:spacing w:after="40"/>
            </w:pPr>
            <w:r>
              <w:rPr>
                <w:sz w:val="20"/>
              </w:rPr>
              <w:t>Product storage and data operations</w:t>
            </w:r>
          </w:p>
        </w:tc>
        <w:tc>
          <w:tcPr>
            <w:tcW w:type="dxa" w:w="3312"/>
          </w:tcPr>
          <w:p>
            <w:pPr>
              <w:spacing w:after="40"/>
            </w:pPr>
            <w:r>
              <w:rPr>
                <w:sz w:val="20"/>
              </w:rPr>
              <w:t>Validated records; add, edit, delete, search, and persistent storage.</w:t>
            </w:r>
          </w:p>
        </w:tc>
      </w:tr>
      <w:tr>
        <w:trPr>
          <w:cantSplit/>
        </w:trPr>
        <w:tc>
          <w:tcPr>
            <w:tcW w:type="dxa" w:w="3312"/>
          </w:tcPr>
          <w:p>
            <w:pPr>
              <w:spacing w:after="40"/>
            </w:pPr>
            <w:r>
              <w:rPr>
                <w:sz w:val="20"/>
              </w:rPr>
              <w:t>Wajd Almadani</w:t>
            </w:r>
          </w:p>
        </w:tc>
        <w:tc>
          <w:tcPr>
            <w:tcW w:type="dxa" w:w="3312"/>
          </w:tcPr>
          <w:p>
            <w:pPr>
              <w:spacing w:after="40"/>
            </w:pPr>
            <w:r>
              <w:rPr>
                <w:sz w:val="20"/>
              </w:rPr>
              <w:t>Expiry calculations and reminders</w:t>
            </w:r>
          </w:p>
        </w:tc>
        <w:tc>
          <w:tcPr>
            <w:tcW w:type="dxa" w:w="3312"/>
          </w:tcPr>
          <w:p>
            <w:pPr>
              <w:spacing w:after="40"/>
            </w:pPr>
            <w:r>
              <w:rPr>
                <w:sz w:val="20"/>
              </w:rPr>
              <w:t>Upcoming/expired status, notification scheduling, and reminder tests.</w:t>
            </w:r>
          </w:p>
        </w:tc>
      </w:tr>
    </w:tbl>
    <w:p>
      <w:r>
        <w:t>Use one shared GitHub repository. Agree on data fields and screen behavior first, assign small tasks, review changes, and hold a weekly integration check. A later public service would need ongoing development, support, and maintenance responsibilities.</w:t>
      </w:r>
    </w:p>
    <w:p>
      <w:pPr>
        <w:pStyle w:val="Heading1"/>
      </w:pPr>
      <w:r>
        <w:t>7 Schedule</w:t>
      </w:r>
    </w:p>
    <w:p>
      <w:r>
        <w:t>The eight-week schedule starts when the team begins implementation. It is a planning estimate; the actual course deadline must be checked before adopting it.</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pPr>
              <w:spacing w:after="40"/>
            </w:pPr>
            <w:r>
              <w:rPr>
                <w:sz w:val="20"/>
              </w:rPr>
              <w:t>Week</w:t>
            </w:r>
          </w:p>
        </w:tc>
        <w:tc>
          <w:tcPr>
            <w:tcW w:type="dxa" w:w="4968"/>
          </w:tcPr>
          <w:p>
            <w:pPr>
              <w:spacing w:after="40"/>
            </w:pPr>
            <w:r>
              <w:rPr>
                <w:sz w:val="20"/>
              </w:rPr>
              <w:t>Milestone</w:t>
            </w:r>
          </w:p>
        </w:tc>
      </w:tr>
      <w:tr>
        <w:trPr>
          <w:cantSplit/>
        </w:trPr>
        <w:tc>
          <w:tcPr>
            <w:tcW w:type="dxa" w:w="4968"/>
          </w:tcPr>
          <w:p>
            <w:pPr>
              <w:spacing w:after="40"/>
            </w:pPr>
            <w:r>
              <w:rPr>
                <w:sz w:val="20"/>
              </w:rPr>
              <w:t>1</w:t>
            </w:r>
          </w:p>
        </w:tc>
        <w:tc>
          <w:tcPr>
            <w:tcW w:type="dxa" w:w="4968"/>
          </w:tcPr>
          <w:p>
            <w:pPr>
              <w:spacing w:after="40"/>
            </w:pPr>
            <w:r>
              <w:rPr>
                <w:sz w:val="20"/>
              </w:rPr>
              <w:t>Confirm requirements, platform, data fields, repository, and roles.</w:t>
            </w:r>
          </w:p>
        </w:tc>
      </w:tr>
      <w:tr>
        <w:trPr>
          <w:cantSplit/>
        </w:trPr>
        <w:tc>
          <w:tcPr>
            <w:tcW w:type="dxa" w:w="4968"/>
          </w:tcPr>
          <w:p>
            <w:pPr>
              <w:spacing w:after="40"/>
            </w:pPr>
            <w:r>
              <w:rPr>
                <w:sz w:val="20"/>
              </w:rPr>
              <w:t>2</w:t>
            </w:r>
          </w:p>
        </w:tc>
        <w:tc>
          <w:tcPr>
            <w:tcW w:type="dxa" w:w="4968"/>
          </w:tcPr>
          <w:p>
            <w:pPr>
              <w:spacing w:after="40"/>
            </w:pPr>
            <w:r>
              <w:rPr>
                <w:sz w:val="20"/>
              </w:rPr>
              <w:t>Design screens, bilingual layout, and database structure; test a reminder.</w:t>
            </w:r>
          </w:p>
        </w:tc>
      </w:tr>
      <w:tr>
        <w:trPr>
          <w:cantSplit/>
        </w:trPr>
        <w:tc>
          <w:tcPr>
            <w:tcW w:type="dxa" w:w="4968"/>
          </w:tcPr>
          <w:p>
            <w:pPr>
              <w:spacing w:after="40"/>
            </w:pPr>
            <w:r>
              <w:rPr>
                <w:sz w:val="20"/>
              </w:rPr>
              <w:t>3–4</w:t>
            </w:r>
          </w:p>
        </w:tc>
        <w:tc>
          <w:tcPr>
            <w:tcW w:type="dxa" w:w="4968"/>
          </w:tcPr>
          <w:p>
            <w:pPr>
              <w:spacing w:after="40"/>
            </w:pPr>
            <w:r>
              <w:rPr>
                <w:sz w:val="20"/>
              </w:rPr>
              <w:t>Implement product entry, editing, deletion, storage, categories, and search.</w:t>
            </w:r>
          </w:p>
        </w:tc>
      </w:tr>
      <w:tr>
        <w:trPr>
          <w:cantSplit/>
        </w:trPr>
        <w:tc>
          <w:tcPr>
            <w:tcW w:type="dxa" w:w="4968"/>
          </w:tcPr>
          <w:p>
            <w:pPr>
              <w:spacing w:after="40"/>
            </w:pPr>
            <w:r>
              <w:rPr>
                <w:sz w:val="20"/>
              </w:rPr>
              <w:t>5</w:t>
            </w:r>
          </w:p>
        </w:tc>
        <w:tc>
          <w:tcPr>
            <w:tcW w:type="dxa" w:w="4968"/>
          </w:tcPr>
          <w:p>
            <w:pPr>
              <w:spacing w:after="40"/>
            </w:pPr>
            <w:r>
              <w:rPr>
                <w:sz w:val="20"/>
              </w:rPr>
              <w:t>Integrate expiry status, upcoming list, and scheduled notifications.</w:t>
            </w:r>
          </w:p>
        </w:tc>
      </w:tr>
      <w:tr>
        <w:trPr>
          <w:cantSplit/>
        </w:trPr>
        <w:tc>
          <w:tcPr>
            <w:tcW w:type="dxa" w:w="4968"/>
          </w:tcPr>
          <w:p>
            <w:pPr>
              <w:spacing w:after="40"/>
            </w:pPr>
            <w:r>
              <w:rPr>
                <w:sz w:val="20"/>
              </w:rPr>
              <w:t>6</w:t>
            </w:r>
          </w:p>
        </w:tc>
        <w:tc>
          <w:tcPr>
            <w:tcW w:type="dxa" w:w="4968"/>
          </w:tcPr>
          <w:p>
            <w:pPr>
              <w:spacing w:after="40"/>
            </w:pPr>
            <w:r>
              <w:rPr>
                <w:sz w:val="20"/>
              </w:rPr>
              <w:t>Test the complete app and correct integration and language issues.</w:t>
            </w:r>
          </w:p>
        </w:tc>
      </w:tr>
      <w:tr>
        <w:trPr>
          <w:cantSplit/>
        </w:trPr>
        <w:tc>
          <w:tcPr>
            <w:tcW w:type="dxa" w:w="4968"/>
          </w:tcPr>
          <w:p>
            <w:pPr>
              <w:spacing w:after="40"/>
            </w:pPr>
            <w:r>
              <w:rPr>
                <w:sz w:val="20"/>
              </w:rPr>
              <w:t>7</w:t>
            </w:r>
          </w:p>
        </w:tc>
        <w:tc>
          <w:tcPr>
            <w:tcW w:type="dxa" w:w="4968"/>
          </w:tcPr>
          <w:p>
            <w:pPr>
              <w:spacing w:after="40"/>
            </w:pPr>
            <w:r>
              <w:rPr>
                <w:sz w:val="20"/>
              </w:rPr>
              <w:t>Run a small pilot and improve usability.</w:t>
            </w:r>
          </w:p>
        </w:tc>
      </w:tr>
      <w:tr>
        <w:trPr>
          <w:cantSplit/>
        </w:trPr>
        <w:tc>
          <w:tcPr>
            <w:tcW w:type="dxa" w:w="4968"/>
          </w:tcPr>
          <w:p>
            <w:pPr>
              <w:spacing w:after="40"/>
            </w:pPr>
            <w:r>
              <w:rPr>
                <w:sz w:val="20"/>
              </w:rPr>
              <w:t>8</w:t>
            </w:r>
          </w:p>
        </w:tc>
        <w:tc>
          <w:tcPr>
            <w:tcW w:type="dxa" w:w="4968"/>
          </w:tcPr>
          <w:p>
            <w:pPr>
              <w:spacing w:after="40"/>
            </w:pPr>
            <w:r>
              <w:rPr>
                <w:sz w:val="20"/>
              </w:rPr>
              <w:t>Complete final tests, report, demonstration, and presentation.</w:t>
            </w:r>
          </w:p>
        </w:tc>
      </w:tr>
    </w:tbl>
    <w:p>
      <w:r>
        <w:br w:type="page"/>
      </w:r>
    </w:p>
    <w:p>
      <w:pPr>
        <w:pStyle w:val="Heading1"/>
      </w:pPr>
      <w:r>
        <w:t>8 Financial Projections</w:t>
      </w:r>
    </w:p>
    <w:p>
      <w:r>
        <w:t>The following figures are illustrative planning estimates in Saudi riyals, not supplier quotations or confirmed spending. They assume student work is unpaid, devices already exist, and the prototype has no public release or revenue. Development time has an opportunity cost even though it is excluded from this cash budget.</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pPr>
              <w:spacing w:after="40"/>
            </w:pPr>
            <w:r>
              <w:rPr>
                <w:sz w:val="20"/>
              </w:rPr>
              <w:t>Prototype cash allowance</w:t>
            </w:r>
          </w:p>
        </w:tc>
        <w:tc>
          <w:tcPr>
            <w:tcW w:type="dxa" w:w="4968"/>
          </w:tcPr>
          <w:p>
            <w:pPr>
              <w:spacing w:after="40"/>
            </w:pPr>
            <w:r>
              <w:rPr>
                <w:sz w:val="20"/>
              </w:rPr>
              <w:t>SAR</w:t>
            </w:r>
          </w:p>
        </w:tc>
      </w:tr>
      <w:tr>
        <w:trPr>
          <w:cantSplit/>
        </w:trPr>
        <w:tc>
          <w:tcPr>
            <w:tcW w:type="dxa" w:w="4968"/>
          </w:tcPr>
          <w:p>
            <w:pPr>
              <w:spacing w:after="40"/>
            </w:pPr>
            <w:r>
              <w:rPr>
                <w:sz w:val="20"/>
              </w:rPr>
              <w:t>Development tools and local database</w:t>
            </w:r>
          </w:p>
        </w:tc>
        <w:tc>
          <w:tcPr>
            <w:tcW w:type="dxa" w:w="4968"/>
          </w:tcPr>
          <w:p>
            <w:pPr>
              <w:spacing w:after="40"/>
            </w:pPr>
            <w:r>
              <w:rPr>
                <w:sz w:val="20"/>
              </w:rPr>
              <w:t>0</w:t>
            </w:r>
          </w:p>
        </w:tc>
      </w:tr>
      <w:tr>
        <w:trPr>
          <w:cantSplit/>
        </w:trPr>
        <w:tc>
          <w:tcPr>
            <w:tcW w:type="dxa" w:w="4968"/>
          </w:tcPr>
          <w:p>
            <w:pPr>
              <w:spacing w:after="40"/>
            </w:pPr>
            <w:r>
              <w:rPr>
                <w:sz w:val="20"/>
              </w:rPr>
              <w:t>Testing and connectivity allowance</w:t>
            </w:r>
          </w:p>
        </w:tc>
        <w:tc>
          <w:tcPr>
            <w:tcW w:type="dxa" w:w="4968"/>
          </w:tcPr>
          <w:p>
            <w:pPr>
              <w:spacing w:after="40"/>
            </w:pPr>
            <w:r>
              <w:rPr>
                <w:sz w:val="20"/>
              </w:rPr>
              <w:t>200</w:t>
            </w:r>
          </w:p>
        </w:tc>
      </w:tr>
      <w:tr>
        <w:trPr>
          <w:cantSplit/>
        </w:trPr>
        <w:tc>
          <w:tcPr>
            <w:tcW w:type="dxa" w:w="4968"/>
          </w:tcPr>
          <w:p>
            <w:pPr>
              <w:spacing w:after="40"/>
            </w:pPr>
            <w:r>
              <w:rPr>
                <w:sz w:val="20"/>
              </w:rPr>
              <w:t>Design and demonstration materials</w:t>
            </w:r>
          </w:p>
        </w:tc>
        <w:tc>
          <w:tcPr>
            <w:tcW w:type="dxa" w:w="4968"/>
          </w:tcPr>
          <w:p>
            <w:pPr>
              <w:spacing w:after="40"/>
            </w:pPr>
            <w:r>
              <w:rPr>
                <w:sz w:val="20"/>
              </w:rPr>
              <w:t>100</w:t>
            </w:r>
          </w:p>
        </w:tc>
      </w:tr>
      <w:tr>
        <w:trPr>
          <w:cantSplit/>
        </w:trPr>
        <w:tc>
          <w:tcPr>
            <w:tcW w:type="dxa" w:w="4968"/>
          </w:tcPr>
          <w:p>
            <w:pPr>
              <w:spacing w:after="40"/>
            </w:pPr>
            <w:r>
              <w:rPr>
                <w:sz w:val="20"/>
              </w:rPr>
              <w:t>Pilot and feedback activities</w:t>
            </w:r>
          </w:p>
        </w:tc>
        <w:tc>
          <w:tcPr>
            <w:tcW w:type="dxa" w:w="4968"/>
          </w:tcPr>
          <w:p>
            <w:pPr>
              <w:spacing w:after="40"/>
            </w:pPr>
            <w:r>
              <w:rPr>
                <w:sz w:val="20"/>
              </w:rPr>
              <w:t>100</w:t>
            </w:r>
          </w:p>
        </w:tc>
      </w:tr>
      <w:tr>
        <w:trPr>
          <w:cantSplit/>
        </w:trPr>
        <w:tc>
          <w:tcPr>
            <w:tcW w:type="dxa" w:w="4968"/>
          </w:tcPr>
          <w:p>
            <w:pPr>
              <w:spacing w:after="40"/>
            </w:pPr>
            <w:r>
              <w:rPr>
                <w:sz w:val="20"/>
              </w:rPr>
              <w:t>Optional services or extra testing allowance</w:t>
            </w:r>
          </w:p>
        </w:tc>
        <w:tc>
          <w:tcPr>
            <w:tcW w:type="dxa" w:w="4968"/>
          </w:tcPr>
          <w:p>
            <w:pPr>
              <w:spacing w:after="40"/>
            </w:pPr>
            <w:r>
              <w:rPr>
                <w:sz w:val="20"/>
              </w:rPr>
              <w:t>300</w:t>
            </w:r>
          </w:p>
        </w:tc>
      </w:tr>
      <w:tr>
        <w:trPr>
          <w:cantSplit/>
        </w:trPr>
        <w:tc>
          <w:tcPr>
            <w:tcW w:type="dxa" w:w="4968"/>
          </w:tcPr>
          <w:p>
            <w:pPr>
              <w:spacing w:after="40"/>
            </w:pPr>
            <w:r>
              <w:rPr>
                <w:sz w:val="20"/>
              </w:rPr>
              <w:t>Contingency</w:t>
            </w:r>
          </w:p>
        </w:tc>
        <w:tc>
          <w:tcPr>
            <w:tcW w:type="dxa" w:w="4968"/>
          </w:tcPr>
          <w:p>
            <w:pPr>
              <w:spacing w:after="40"/>
            </w:pPr>
            <w:r>
              <w:rPr>
                <w:sz w:val="20"/>
              </w:rPr>
              <w:t>300</w:t>
            </w:r>
          </w:p>
        </w:tc>
      </w:tr>
      <w:tr>
        <w:trPr>
          <w:cantSplit/>
        </w:trPr>
        <w:tc>
          <w:tcPr>
            <w:tcW w:type="dxa" w:w="4968"/>
          </w:tcPr>
          <w:p>
            <w:pPr>
              <w:spacing w:after="40"/>
            </w:pPr>
            <w:r>
              <w:rPr>
                <w:sz w:val="20"/>
              </w:rPr>
              <w:t>Total proposed funding requirement</w:t>
            </w:r>
          </w:p>
        </w:tc>
        <w:tc>
          <w:tcPr>
            <w:tcW w:type="dxa" w:w="4968"/>
          </w:tcPr>
          <w:p>
            <w:pPr>
              <w:spacing w:after="40"/>
            </w:pPr>
            <w:r>
              <w:rPr>
                <w:sz w:val="20"/>
              </w:rPr>
              <w:t>1,000</w:t>
            </w:r>
          </w:p>
        </w:tc>
      </w:tr>
    </w:tbl>
    <w:p>
      <w:r>
        <w:t>The team should agree on the funding source before spending. An equal split would be approximately SAR 333.33 per member, with a one-halalah rounding adjustment. This is a proposed contribution, not an agreed commitment. Unused allowances remain unspent.</w:t>
      </w:r>
    </w:p>
    <w:p>
      <w:r>
        <w:t>Prototype scenario: revenue SAR 0; spending up to SAR 1,000; cash result down to minus SAR 1,000. The prototype is evaluated through functionality and user feedback rather than profit.</w:t>
      </w:r>
    </w:p>
    <w:p>
      <w:pPr>
        <w:pStyle w:val="Heading2"/>
      </w:pPr>
      <w:r>
        <w:t>Future commercial scenario</w:t>
      </w:r>
    </w:p>
    <w:p>
      <w:r>
        <w:t>The business canvas proposes a free basic version, premium subscriptions, optional paid features, and advertisements. A free version alone produces no revenue. The figures below demonstrate a subscription calculation and do not forecast customer adoption.</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pPr>
              <w:spacing w:after="40"/>
            </w:pPr>
            <w:r>
              <w:rPr>
                <w:sz w:val="20"/>
              </w:rPr>
              <w:t>Illustrative monthly assumption</w:t>
            </w:r>
          </w:p>
        </w:tc>
        <w:tc>
          <w:tcPr>
            <w:tcW w:type="dxa" w:w="4968"/>
          </w:tcPr>
          <w:p>
            <w:pPr>
              <w:spacing w:after="40"/>
            </w:pPr>
            <w:r>
              <w:rPr>
                <w:sz w:val="20"/>
              </w:rPr>
              <w:t>Amount</w:t>
            </w:r>
          </w:p>
        </w:tc>
      </w:tr>
      <w:tr>
        <w:trPr>
          <w:cantSplit/>
        </w:trPr>
        <w:tc>
          <w:tcPr>
            <w:tcW w:type="dxa" w:w="4968"/>
          </w:tcPr>
          <w:p>
            <w:pPr>
              <w:spacing w:after="40"/>
            </w:pPr>
            <w:r>
              <w:rPr>
                <w:sz w:val="20"/>
              </w:rPr>
              <w:t>Premium subscription price</w:t>
            </w:r>
          </w:p>
        </w:tc>
        <w:tc>
          <w:tcPr>
            <w:tcW w:type="dxa" w:w="4968"/>
          </w:tcPr>
          <w:p>
            <w:pPr>
              <w:spacing w:after="40"/>
            </w:pPr>
            <w:r>
              <w:rPr>
                <w:sz w:val="20"/>
              </w:rPr>
              <w:t>SAR 10 per paying user</w:t>
            </w:r>
          </w:p>
        </w:tc>
      </w:tr>
      <w:tr>
        <w:trPr>
          <w:cantSplit/>
        </w:trPr>
        <w:tc>
          <w:tcPr>
            <w:tcW w:type="dxa" w:w="4968"/>
          </w:tcPr>
          <w:p>
            <w:pPr>
              <w:spacing w:after="40"/>
            </w:pPr>
            <w:r>
              <w:rPr>
                <w:sz w:val="20"/>
              </w:rPr>
              <w:t>Operating costs excluding development and salaries</w:t>
            </w:r>
          </w:p>
        </w:tc>
        <w:tc>
          <w:tcPr>
            <w:tcW w:type="dxa" w:w="4968"/>
          </w:tcPr>
          <w:p>
            <w:pPr>
              <w:spacing w:after="40"/>
            </w:pPr>
            <w:r>
              <w:rPr>
                <w:sz w:val="20"/>
              </w:rPr>
              <w:t>SAR 500</w:t>
            </w:r>
          </w:p>
        </w:tc>
      </w:tr>
      <w:tr>
        <w:trPr>
          <w:cantSplit/>
        </w:trPr>
        <w:tc>
          <w:tcPr>
            <w:tcW w:type="dxa" w:w="4968"/>
          </w:tcPr>
          <w:p>
            <w:pPr>
              <w:spacing w:after="40"/>
            </w:pPr>
            <w:r>
              <w:rPr>
                <w:sz w:val="20"/>
              </w:rPr>
              <w:t>100 paying users</w:t>
            </w:r>
          </w:p>
        </w:tc>
        <w:tc>
          <w:tcPr>
            <w:tcW w:type="dxa" w:w="4968"/>
          </w:tcPr>
          <w:p>
            <w:pPr>
              <w:spacing w:after="40"/>
            </w:pPr>
            <w:r>
              <w:rPr>
                <w:sz w:val="20"/>
              </w:rPr>
              <w:t>SAR 1,000 gross revenue</w:t>
            </w:r>
          </w:p>
        </w:tc>
      </w:tr>
      <w:tr>
        <w:trPr>
          <w:cantSplit/>
        </w:trPr>
        <w:tc>
          <w:tcPr>
            <w:tcW w:type="dxa" w:w="4968"/>
          </w:tcPr>
          <w:p>
            <w:pPr>
              <w:spacing w:after="40"/>
            </w:pPr>
            <w:r>
              <w:rPr>
                <w:sz w:val="20"/>
              </w:rPr>
              <w:t>Result before fees, taxes, salaries, and setup costs</w:t>
            </w:r>
          </w:p>
        </w:tc>
        <w:tc>
          <w:tcPr>
            <w:tcW w:type="dxa" w:w="4968"/>
          </w:tcPr>
          <w:p>
            <w:pPr>
              <w:spacing w:after="40"/>
            </w:pPr>
            <w:r>
              <w:rPr>
                <w:sz w:val="20"/>
              </w:rPr>
              <w:t>SAR 500</w:t>
            </w:r>
          </w:p>
        </w:tc>
      </w:tr>
      <w:tr>
        <w:trPr>
          <w:cantSplit/>
        </w:trPr>
        <w:tc>
          <w:tcPr>
            <w:tcW w:type="dxa" w:w="4968"/>
          </w:tcPr>
          <w:p>
            <w:pPr>
              <w:spacing w:after="40"/>
            </w:pPr>
            <w:r>
              <w:rPr>
                <w:sz w:val="20"/>
              </w:rPr>
              <w:t>Simple operating break-even</w:t>
            </w:r>
          </w:p>
        </w:tc>
        <w:tc>
          <w:tcPr>
            <w:tcW w:type="dxa" w:w="4968"/>
          </w:tcPr>
          <w:p>
            <w:pPr>
              <w:spacing w:after="40"/>
            </w:pPr>
            <w:r>
              <w:rPr>
                <w:sz w:val="20"/>
              </w:rPr>
              <w:t>50 paying users before omitted costs</w:t>
            </w:r>
          </w:p>
        </w:tc>
      </w:tr>
    </w:tbl>
    <w:p>
      <w:r>
        <w:t>Calculation: SAR 500 monthly costs ÷ SAR 10 subscription price = 50 paying users. Payment or app-store fees would lower net revenue per user and raise break-even. Actual hosting, distribution, support, staffing, and other applicable costs must be priced before claiming commercial profitability. No investment return or three-year revenue forecast can be supported yet.</w:t>
      </w:r>
    </w:p>
    <w:p>
      <w:pPr>
        <w:pStyle w:val="Heading1"/>
      </w:pPr>
      <w:r>
        <w:t>9 Findings and Recommendations</w:t>
      </w:r>
    </w:p>
    <w:p>
      <w:r>
        <w:t>The project is feasible as a limited student prototype, provided the team keeps the first release focused and confirms the course deadline. Technical feasibility depends on successful persistence, expiry calculations, bilingual screens, and real-device notifications. Operational feasibility depends on users being willing to enter products and keep their records current.</w:t>
      </w:r>
    </w:p>
    <w:p>
      <w:r>
        <w:t>Proceed with the core app and test it with users. Commercial feasibility remains conditional: validate continued use and willingness to pay, obtain actual cost estimates, and review applicable requirements before a public launch.</w:t>
      </w:r>
    </w:p>
    <w:p>
      <w:r>
        <w:br w:type="page"/>
      </w:r>
    </w:p>
    <w:p>
      <w:pPr>
        <w:pStyle w:val="Heading1"/>
      </w:pPr>
      <w:r>
        <w:t>Key Risks and Acceptance Checks</w:t>
      </w:r>
    </w:p>
    <w:tbl>
      <w:tblPr>
        <w:tblStyle w:val="LightShading-Accent1"/>
        <w:tblW w:type="auto" w:w="0"/>
        <w:tblLook w:firstColumn="1" w:firstRow="1" w:lastColumn="0" w:lastRow="0" w:noHBand="0" w:noVBand="1" w:val="04A0"/>
      </w:tblPr>
      <w:tblGrid>
        <w:gridCol w:w="4968"/>
        <w:gridCol w:w="4968"/>
      </w:tblGrid>
      <w:tr>
        <w:trPr>
          <w:cantSplit/>
        </w:trPr>
        <w:tc>
          <w:tcPr>
            <w:tcW w:type="dxa" w:w="4968"/>
          </w:tcPr>
          <w:p>
            <w:pPr>
              <w:spacing w:after="40"/>
            </w:pPr>
            <w:r>
              <w:rPr>
                <w:sz w:val="20"/>
              </w:rPr>
              <w:t>Risk</w:t>
            </w:r>
          </w:p>
        </w:tc>
        <w:tc>
          <w:tcPr>
            <w:tcW w:type="dxa" w:w="4968"/>
          </w:tcPr>
          <w:p>
            <w:pPr>
              <w:spacing w:after="40"/>
            </w:pPr>
            <w:r>
              <w:rPr>
                <w:sz w:val="20"/>
              </w:rPr>
              <w:t>Response</w:t>
            </w:r>
          </w:p>
        </w:tc>
      </w:tr>
      <w:tr>
        <w:trPr>
          <w:cantSplit/>
        </w:trPr>
        <w:tc>
          <w:tcPr>
            <w:tcW w:type="dxa" w:w="4968"/>
          </w:tcPr>
          <w:p>
            <w:pPr>
              <w:spacing w:after="40"/>
            </w:pPr>
            <w:r>
              <w:rPr>
                <w:sz w:val="20"/>
              </w:rPr>
              <w:t>Users stop entering products</w:t>
            </w:r>
          </w:p>
        </w:tc>
        <w:tc>
          <w:tcPr>
            <w:tcW w:type="dxa" w:w="4968"/>
          </w:tcPr>
          <w:p>
            <w:pPr>
              <w:spacing w:after="40"/>
            </w:pPr>
            <w:r>
              <w:rPr>
                <w:sz w:val="20"/>
              </w:rPr>
              <w:t>Keep entry short; test whether pilot users keep adding products.</w:t>
            </w:r>
          </w:p>
        </w:tc>
      </w:tr>
      <w:tr>
        <w:trPr>
          <w:cantSplit/>
        </w:trPr>
        <w:tc>
          <w:tcPr>
            <w:tcW w:type="dxa" w:w="4968"/>
          </w:tcPr>
          <w:p>
            <w:pPr>
              <w:spacing w:after="40"/>
            </w:pPr>
            <w:r>
              <w:rPr>
                <w:sz w:val="20"/>
              </w:rPr>
              <w:t>Incorrect dates or reminder settings</w:t>
            </w:r>
          </w:p>
        </w:tc>
        <w:tc>
          <w:tcPr>
            <w:tcW w:type="dxa" w:w="4968"/>
          </w:tcPr>
          <w:p>
            <w:pPr>
              <w:spacing w:after="40"/>
            </w:pPr>
            <w:r>
              <w:rPr>
                <w:sz w:val="20"/>
              </w:rPr>
              <w:t>Validate inputs, show dates clearly, and allow easy corrections.</w:t>
            </w:r>
          </w:p>
        </w:tc>
      </w:tr>
      <w:tr>
        <w:trPr>
          <w:cantSplit/>
        </w:trPr>
        <w:tc>
          <w:tcPr>
            <w:tcW w:type="dxa" w:w="4968"/>
          </w:tcPr>
          <w:p>
            <w:pPr>
              <w:spacing w:after="40"/>
            </w:pPr>
            <w:r>
              <w:rPr>
                <w:sz w:val="20"/>
              </w:rPr>
              <w:t>Notifications are disabled or delayed</w:t>
            </w:r>
          </w:p>
        </w:tc>
        <w:tc>
          <w:tcPr>
            <w:tcW w:type="dxa" w:w="4968"/>
          </w:tcPr>
          <w:p>
            <w:pPr>
              <w:spacing w:after="40"/>
            </w:pPr>
            <w:r>
              <w:rPr>
                <w:sz w:val="20"/>
              </w:rPr>
              <w:t>Show permission status and retain an upcoming-expiry list in the app.</w:t>
            </w:r>
          </w:p>
        </w:tc>
      </w:tr>
      <w:tr>
        <w:trPr>
          <w:cantSplit/>
        </w:trPr>
        <w:tc>
          <w:tcPr>
            <w:tcW w:type="dxa" w:w="4968"/>
          </w:tcPr>
          <w:p>
            <w:pPr>
              <w:spacing w:after="40"/>
            </w:pPr>
            <w:r>
              <w:rPr>
                <w:sz w:val="20"/>
              </w:rPr>
              <w:t>Work exceeds the available time</w:t>
            </w:r>
          </w:p>
        </w:tc>
        <w:tc>
          <w:tcPr>
            <w:tcW w:type="dxa" w:w="4968"/>
          </w:tcPr>
          <w:p>
            <w:pPr>
              <w:spacing w:after="40"/>
            </w:pPr>
            <w:r>
              <w:rPr>
                <w:sz w:val="20"/>
              </w:rPr>
              <w:t>Prioritize the core flow; defer scanning, subscriptions, and partnerships.</w:t>
            </w:r>
          </w:p>
        </w:tc>
      </w:tr>
      <w:tr>
        <w:trPr>
          <w:cantSplit/>
        </w:trPr>
        <w:tc>
          <w:tcPr>
            <w:tcW w:type="dxa" w:w="4968"/>
          </w:tcPr>
          <w:p>
            <w:pPr>
              <w:spacing w:after="40"/>
            </w:pPr>
            <w:r>
              <w:rPr>
                <w:sz w:val="20"/>
              </w:rPr>
              <w:t>Data loss or inappropriate access</w:t>
            </w:r>
          </w:p>
        </w:tc>
        <w:tc>
          <w:tcPr>
            <w:tcW w:type="dxa" w:w="4968"/>
          </w:tcPr>
          <w:p>
            <w:pPr>
              <w:spacing w:after="40"/>
            </w:pPr>
            <w:r>
              <w:rPr>
                <w:sz w:val="20"/>
              </w:rPr>
              <w:t>Limit stored information and test persistence; design access controls before adding shared cloud accounts.</w:t>
            </w:r>
          </w:p>
        </w:tc>
      </w:tr>
      <w:tr>
        <w:trPr>
          <w:cantSplit/>
        </w:trPr>
        <w:tc>
          <w:tcPr>
            <w:tcW w:type="dxa" w:w="4968"/>
          </w:tcPr>
          <w:p>
            <w:pPr>
              <w:spacing w:after="40"/>
            </w:pPr>
            <w:r>
              <w:rPr>
                <w:sz w:val="20"/>
              </w:rPr>
              <w:t>Income does not cover costs</w:t>
            </w:r>
          </w:p>
        </w:tc>
        <w:tc>
          <w:tcPr>
            <w:tcW w:type="dxa" w:w="4968"/>
          </w:tcPr>
          <w:p>
            <w:pPr>
              <w:spacing w:after="40"/>
            </w:pPr>
            <w:r>
              <w:rPr>
                <w:sz w:val="20"/>
              </w:rPr>
              <w:t>Validate willingness to pay and limit spending until demand is demonstrated.</w:t>
            </w:r>
          </w:p>
        </w:tc>
      </w:tr>
    </w:tbl>
    <w:p>
      <w:r>
        <w:t>Before the demonstration, verify that a user can add a product, reopen the app and see it, edit its expiry date, view the updated status, receive a scheduled reminder, and delete it without leaving an active reminder. Check that the same core actions work in Arabic and English.</w:t>
      </w:r>
    </w:p>
    <w:p>
      <w:pPr>
        <w:pStyle w:val="Heading1"/>
      </w:pPr>
      <w:r>
        <w:t>Supporting Project Documents</w:t>
      </w:r>
    </w:p>
    <w:p>
      <w:r>
        <w:t>This study follows the nine-section structure of the supplied Feasibility Study Word template. Project evidence comes from the completed market study, Business Model Canvas, and persona document listed below.</w:t>
      </w:r>
    </w:p>
    <w:p>
      <w:r>
        <w:t>Lab+Market+Study-3.pdf: project description, target users, survey findings, and existing alternatives.</w:t>
      </w:r>
    </w:p>
    <w:p>
      <w:r>
        <w:t>Business Model Canvas .pdf: value propositions, proposed channels, partners, costs, and revenue options.</w:t>
      </w:r>
    </w:p>
    <w:p>
      <w:r>
        <w:t>CS3151_Lab2_Persona_Solved(1).docx: user groups, personas, scenarios, and priority features.</w:t>
      </w:r>
    </w:p>
    <w:p>
      <w:r>
        <w:t>The proposed technical approach, work assignments, schedule, pilot targets, and financial scenarios are planning assumptions for the team to confirm.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