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left"/>
      </w:pPr>
      <w:r>
        <w:drawing>
          <wp:inline distT="0" distB="0" distL="0" distR="0">
            <wp:extent cx="838200" cy="333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Aptos" w:hAnsi="Aptos"/>
          <w:b/>
          <w:bCs/>
          <w:color w:val="3B2F45"/>
          <w:sz w:val="30"/>
          <w:szCs w:val="30"/>
        </w:rPr>
        <w:t xml:space="preserve">Business Model Canvas  </w:t>
      </w:r>
      <w:r>
        <w:rPr>
          <w:rFonts w:ascii="Aptos" w:hAnsi="Aptos"/>
          <w:b/>
          <w:bCs/>
          <w:color w:val="A796B5"/>
          <w:sz w:val="30"/>
          <w:szCs w:val="30"/>
        </w:rPr>
        <w:t xml:space="preserve">·  BADIRA | </w:t>
      </w:r>
      <w:r>
        <w:rPr>
          <w:rFonts w:cs="Arial"/>
          <w:b/>
          <w:bCs/>
          <w:color w:val="3B2F45"/>
          <w:sz w:val="30"/>
          <w:szCs w:val="30"/>
          <w:rtl/>
        </w:rPr>
        <w:t xml:space="preserve">بادرة</w:t>
      </w:r>
    </w:p>
    <w:p>
      <w:pPr>
        <w:spacing w:after="200"/>
        <w:jc w:val="center"/>
      </w:pPr>
      <w:r>
        <w:rPr>
          <w:rFonts w:ascii="Aptos" w:hAnsi="Aptos"/>
          <w:i/>
          <w:iCs/>
          <w:color w:val="6B5780"/>
          <w:sz w:val="15"/>
          <w:szCs w:val="15"/>
        </w:rPr>
        <w:t xml:space="preserve">A self-adaptive framework for predicting the risk of pregnancy complications  ·  Dana Al Mounayer &amp; Jwdee Alimam  ·  Effat University  ·  StartSmart Universities Challenge</w:t>
      </w:r>
    </w:p>
    <w:tbl>
      <w:tblPr>
        <w:tblW w:type="dxa" w:w="22200"/>
        <w:tblBorders>
          <w:top w:val="single" w:color="FFFFFF" w:sz="6"/>
          <w:left w:val="single" w:color="FFFFFF" w:sz="6"/>
          <w:bottom w:val="single" w:color="FFFFFF" w:sz="6"/>
          <w:right w:val="single" w:color="FFFFFF" w:sz="6"/>
          <w:insideH w:val="single" w:color="auto" w:sz="4"/>
          <w:insideV w:val="single" w:color="auto" w:sz="4"/>
        </w:tblBorders>
      </w:tblPr>
      <w:tblGrid>
        <w:gridCol w:w="4300"/>
        <w:gridCol w:w="4300"/>
        <w:gridCol w:w="5000"/>
        <w:gridCol w:w="4300"/>
        <w:gridCol w:w="4300"/>
      </w:tblGrid>
      <w:tr>
        <w:trPr>
          <w:trHeight w:val="4700" w:hRule="atLeast"/>
        </w:trPr>
        <w:tc>
          <w:tcPr>
            <w:tcW w:type="dxa" w:w="4300"/>
            <w:vMerge w:val="restart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EFE7EC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70"/>
            </w:pPr>
            <w:r>
              <w:drawing>
                <wp:inline distT="0" distB="0" distL="0" distR="0">
                  <wp:extent cx="142875" cy="142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rPr>
                <w:rFonts w:ascii="Aptos" w:hAnsi="Aptos"/>
                <w:b/>
                <w:bCs/>
                <w:color w:val="A796B5"/>
                <w:sz w:val="17"/>
                <w:szCs w:val="17"/>
              </w:rPr>
              <w:t xml:space="preserve">7  </w:t>
            </w:r>
            <w:r>
              <w:rPr>
                <w:rFonts w:ascii="Aptos" w:hAnsi="Aptos"/>
                <w:b/>
                <w:bCs/>
                <w:color w:val="261E2D"/>
                <w:sz w:val="17"/>
                <w:szCs w:val="17"/>
              </w:rPr>
              <w:t xml:space="preserve">Key Partners</w:t>
            </w:r>
            <w:r>
              <w:rPr>
                <w:b/>
                <w:bCs/>
                <w:color w:val="A796B5"/>
                <w:sz w:val="17"/>
                <w:szCs w:val="17"/>
              </w:rPr>
              <w:t xml:space="preserve">  —  </w:t>
            </w:r>
            <w:r>
              <w:rPr>
                <w:rFonts w:cs="Arial"/>
                <w:b/>
                <w:bCs/>
                <w:color w:val="3B2F45"/>
                <w:sz w:val="18"/>
                <w:szCs w:val="18"/>
                <w:rtl/>
              </w:rPr>
              <w:t xml:space="preserve">الشركاء الرئيسيون</w:t>
            </w:r>
          </w:p>
          <w:p>
            <w:pPr>
              <w:spacing w:after="14" w:line="220" w:lineRule="auto"/>
              <w:ind w:left="96" w:hanging="96"/>
            </w:pPr>
            <w:r>
              <w:rPr>
                <w:color w:val="A796B5"/>
                <w:sz w:val="13"/>
                <w:szCs w:val="13"/>
              </w:rPr>
              <w:t xml:space="preserve">▪  </w:t>
            </w:r>
            <w:r>
              <w:rPr>
                <w:rFonts w:ascii="Aptos" w:hAnsi="Aptos"/>
                <w:color w:val="241D2A"/>
                <w:sz w:val="14"/>
                <w:szCs w:val="14"/>
              </w:rPr>
              <w:t xml:space="preserve">Hospitals and clinics: International Medical Center, Dr. Soliman Fakeeh Hospital and United Doctors Hospital — pilot sites and validation data.</w:t>
            </w:r>
          </w:p>
          <w:p>
            <w:pPr>
              <w:bidi/>
              <w:spacing w:after="80" w:line="230" w:lineRule="auto"/>
              <w:jc w:val="start"/>
            </w:pPr>
            <w:r>
              <w:rPr>
                <w:rFonts w:cs="Arial"/>
                <w:color w:val="6B5780"/>
                <w:sz w:val="15"/>
                <w:szCs w:val="15"/>
                <w:rtl/>
              </w:rPr>
              <w:t xml:space="preserve">المستشفيات والعيادات: المركز الطبي الدولي، ومستشفى د. سليمان فقيه، ومستشفى الأطباء المتحدون — مواقع تجريبية وبيانات تحقق.</w:t>
            </w:r>
          </w:p>
          <w:p>
            <w:pPr>
              <w:spacing w:after="14" w:line="220" w:lineRule="auto"/>
              <w:ind w:left="96" w:hanging="96"/>
            </w:pPr>
            <w:r>
              <w:rPr>
                <w:color w:val="A796B5"/>
                <w:sz w:val="13"/>
                <w:szCs w:val="13"/>
              </w:rPr>
              <w:t xml:space="preserve">▪  </w:t>
            </w:r>
            <w:r>
              <w:rPr>
                <w:rFonts w:ascii="Aptos" w:hAnsi="Aptos"/>
                <w:color w:val="241D2A"/>
                <w:sz w:val="14"/>
                <w:szCs w:val="14"/>
              </w:rPr>
              <w:t xml:space="preserve">Effat University — supervision, research infrastructure and lab access.</w:t>
            </w:r>
          </w:p>
          <w:p>
            <w:pPr>
              <w:bidi/>
              <w:spacing w:after="80" w:line="230" w:lineRule="auto"/>
              <w:jc w:val="start"/>
            </w:pPr>
            <w:r>
              <w:rPr>
                <w:rFonts w:cs="Arial"/>
                <w:color w:val="6B5780"/>
                <w:sz w:val="15"/>
                <w:szCs w:val="15"/>
                <w:rtl/>
              </w:rPr>
              <w:t xml:space="preserve">جامعة عفت — الإشراف والبنية البحثية والمختبرات.</w:t>
            </w:r>
          </w:p>
          <w:p>
            <w:pPr>
              <w:spacing w:after="14" w:line="220" w:lineRule="auto"/>
              <w:ind w:left="96" w:hanging="96"/>
            </w:pPr>
            <w:r>
              <w:rPr>
                <w:color w:val="A796B5"/>
                <w:sz w:val="13"/>
                <w:szCs w:val="13"/>
              </w:rPr>
              <w:t xml:space="preserve">▪  </w:t>
            </w:r>
            <w:r>
              <w:rPr>
                <w:rFonts w:ascii="Aptos" w:hAnsi="Aptos"/>
                <w:color w:val="241D2A"/>
                <w:sz w:val="14"/>
                <w:szCs w:val="14"/>
              </w:rPr>
              <w:t xml:space="preserve">Ministry of Health and the Vision 2030 digital-health programmes — reach and integration.</w:t>
            </w:r>
          </w:p>
          <w:p>
            <w:pPr>
              <w:bidi/>
              <w:spacing w:after="80" w:line="230" w:lineRule="auto"/>
              <w:jc w:val="start"/>
            </w:pPr>
            <w:r>
              <w:rPr>
                <w:rFonts w:cs="Arial"/>
                <w:color w:val="6B5780"/>
                <w:sz w:val="15"/>
                <w:szCs w:val="15"/>
                <w:rtl/>
              </w:rPr>
              <w:t xml:space="preserve">وزارة الصحة وبرامج الصحة الرقمية في رؤية 2030 — الانتشار والتكامل.</w:t>
            </w:r>
          </w:p>
          <w:p>
            <w:pPr>
              <w:spacing w:after="14" w:line="220" w:lineRule="auto"/>
              <w:ind w:left="96" w:hanging="96"/>
            </w:pPr>
            <w:r>
              <w:rPr>
                <w:color w:val="A796B5"/>
                <w:sz w:val="13"/>
                <w:szCs w:val="13"/>
              </w:rPr>
              <w:t xml:space="preserve">▪  </w:t>
            </w:r>
            <w:r>
              <w:rPr>
                <w:rFonts w:ascii="Aptos" w:hAnsi="Aptos"/>
                <w:color w:val="241D2A"/>
                <w:sz w:val="14"/>
                <w:szCs w:val="14"/>
              </w:rPr>
              <w:t xml:space="preserve">Data holders: the NICHD DASH repository and the RAHMA study team.</w:t>
            </w:r>
          </w:p>
          <w:p>
            <w:pPr>
              <w:bidi/>
              <w:spacing w:after="80" w:line="230" w:lineRule="auto"/>
              <w:jc w:val="start"/>
            </w:pPr>
            <w:r>
              <w:rPr>
                <w:rFonts w:cs="Arial"/>
                <w:color w:val="6B5780"/>
                <w:sz w:val="15"/>
                <w:szCs w:val="15"/>
                <w:rtl/>
              </w:rPr>
              <w:t xml:space="preserve">مالكو البيانات: مستودع NICHD DASH وفريق دراسة رحمة.</w:t>
            </w:r>
          </w:p>
          <w:p>
            <w:pPr>
              <w:spacing w:after="14" w:line="220" w:lineRule="auto"/>
              <w:ind w:left="96" w:hanging="96"/>
            </w:pPr>
            <w:r>
              <w:rPr>
                <w:color w:val="A796B5"/>
                <w:sz w:val="13"/>
                <w:szCs w:val="13"/>
              </w:rPr>
              <w:t xml:space="preserve">▪  </w:t>
            </w:r>
            <w:r>
              <w:rPr>
                <w:rFonts w:ascii="Aptos" w:hAnsi="Aptos"/>
                <w:color w:val="241D2A"/>
                <w:sz w:val="14"/>
                <w:szCs w:val="14"/>
              </w:rPr>
              <w:t xml:space="preserve">SFDA — the regulatory pathway. StartSmart Universities Challenge — funding, mentorship and visibility.</w:t>
            </w:r>
          </w:p>
          <w:p>
            <w:pPr>
              <w:bidi/>
              <w:spacing w:after="80" w:line="230" w:lineRule="auto"/>
              <w:jc w:val="start"/>
            </w:pPr>
            <w:r>
              <w:rPr>
                <w:rFonts w:cs="Arial"/>
                <w:color w:val="6B5780"/>
                <w:sz w:val="15"/>
                <w:szCs w:val="15"/>
                <w:rtl/>
              </w:rPr>
              <w:t xml:space="preserve">هيئة الغذاء والدواء — المسار التنظيمي؛ وتحدي الجامعات StartSmart — التمويل والإرشاد والظهور.</w:t>
            </w:r>
          </w:p>
          <w:p>
            <w:pPr>
              <w:spacing w:before="230"/>
              <w:jc w:val="left"/>
            </w:pPr>
            <w:r>
              <w:drawing>
                <wp:inline distT="0" distB="0" distL="0" distR="0">
                  <wp:extent cx="581025" cy="342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 </w:t>
            </w:r>
            <w:r>
              <w:drawing>
                <wp:inline distT="0" distB="0" distL="0" distR="0">
                  <wp:extent cx="619125" cy="342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 </w:t>
            </w:r>
            <w:r>
              <w:drawing>
                <wp:inline distT="0" distB="0" distL="0" distR="0">
                  <wp:extent cx="485775" cy="342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 </w:t>
            </w:r>
            <w:r>
              <w:drawing>
                <wp:inline distT="0" distB="0" distL="0" distR="0">
                  <wp:extent cx="342900" cy="342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E3EDE2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70"/>
            </w:pPr>
            <w:r>
              <w:drawing>
                <wp:inline distT="0" distB="0" distL="0" distR="0">
                  <wp:extent cx="142875" cy="142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rPr>
                <w:rFonts w:ascii="Aptos" w:hAnsi="Aptos"/>
                <w:b/>
                <w:bCs/>
                <w:color w:val="A796B5"/>
                <w:sz w:val="17"/>
                <w:szCs w:val="17"/>
              </w:rPr>
              <w:t xml:space="preserve">5  </w:t>
            </w:r>
            <w:r>
              <w:rPr>
                <w:rFonts w:ascii="Aptos" w:hAnsi="Aptos"/>
                <w:b/>
                <w:bCs/>
                <w:color w:val="261E2D"/>
                <w:sz w:val="17"/>
                <w:szCs w:val="17"/>
              </w:rPr>
              <w:t xml:space="preserve">Key Activities</w:t>
            </w:r>
            <w:r>
              <w:rPr>
                <w:b/>
                <w:bCs/>
                <w:color w:val="A796B5"/>
                <w:sz w:val="17"/>
                <w:szCs w:val="17"/>
              </w:rPr>
              <w:t xml:space="preserve">  —  </w:t>
            </w:r>
            <w:r>
              <w:rPr>
                <w:rFonts w:cs="Arial"/>
                <w:b/>
                <w:bCs/>
                <w:color w:val="3B2F45"/>
                <w:sz w:val="18"/>
                <w:szCs w:val="18"/>
                <w:rtl/>
              </w:rPr>
              <w:t xml:space="preserve">الأنشطة الرئيسية</w:t>
            </w:r>
          </w:p>
          <w:p>
            <w:pPr>
              <w:spacing w:after="14" w:line="220" w:lineRule="auto"/>
              <w:ind w:left="96" w:hanging="96"/>
            </w:pPr>
            <w:r>
              <w:rPr>
                <w:color w:val="A796B5"/>
                <w:sz w:val="13"/>
                <w:szCs w:val="13"/>
              </w:rPr>
              <w:t xml:space="preserve">▪  </w:t>
            </w:r>
            <w:r>
              <w:rPr>
                <w:rFonts w:ascii="Aptos" w:hAnsi="Aptos"/>
                <w:color w:val="241D2A"/>
                <w:sz w:val="14"/>
                <w:szCs w:val="14"/>
              </w:rPr>
              <w:t xml:space="preserve">Build and maintain the self-adaptive framework: Woman Schema, Data Profiler, model-selection policy.</w:t>
            </w:r>
          </w:p>
          <w:p>
            <w:pPr>
              <w:bidi/>
              <w:spacing w:after="80" w:line="230" w:lineRule="auto"/>
              <w:jc w:val="start"/>
            </w:pPr>
            <w:r>
              <w:rPr>
                <w:rFonts w:cs="Arial"/>
                <w:color w:val="6B5780"/>
                <w:sz w:val="15"/>
                <w:szCs w:val="15"/>
                <w:rtl/>
              </w:rPr>
              <w:t xml:space="preserve">بناء وصيانة الإطار ذاتي التكيّف: مخطط المرأة، ومحلل البيانات، وسياسة اختيار النموذج.</w:t>
            </w:r>
          </w:p>
          <w:p>
            <w:pPr>
              <w:spacing w:after="14" w:line="220" w:lineRule="auto"/>
              <w:ind w:left="96" w:hanging="96"/>
            </w:pPr>
            <w:r>
              <w:rPr>
                <w:color w:val="A796B5"/>
                <w:sz w:val="13"/>
                <w:szCs w:val="13"/>
              </w:rPr>
              <w:t xml:space="preserve">▪  </w:t>
            </w:r>
            <w:r>
              <w:rPr>
                <w:rFonts w:ascii="Aptos" w:hAnsi="Aptos"/>
                <w:color w:val="241D2A"/>
                <w:sz w:val="14"/>
                <w:szCs w:val="14"/>
              </w:rPr>
              <w:t xml:space="preserve">Obtain and govern clinical data — data use agreements, ethics approval, secure handling.</w:t>
            </w:r>
          </w:p>
          <w:p>
            <w:pPr>
              <w:bidi/>
              <w:spacing w:after="80" w:line="230" w:lineRule="auto"/>
              <w:jc w:val="start"/>
            </w:pPr>
            <w:r>
              <w:rPr>
                <w:rFonts w:cs="Arial"/>
                <w:color w:val="6B5780"/>
                <w:sz w:val="15"/>
                <w:szCs w:val="15"/>
                <w:rtl/>
              </w:rPr>
              <w:t xml:space="preserve">الحصول على البيانات السريرية وإدارتها — اتفاقيات الاستخدام وموافقات الأخلاقيات والحفظ الآمن.</w:t>
            </w:r>
          </w:p>
          <w:p>
            <w:pPr>
              <w:spacing w:after="14" w:line="220" w:lineRule="auto"/>
              <w:ind w:left="96" w:hanging="96"/>
            </w:pPr>
            <w:r>
              <w:rPr>
                <w:color w:val="A796B5"/>
                <w:sz w:val="13"/>
                <w:szCs w:val="13"/>
              </w:rPr>
              <w:t xml:space="preserve">▪  </w:t>
            </w:r>
            <w:r>
              <w:rPr>
                <w:rFonts w:ascii="Aptos" w:hAnsi="Aptos"/>
                <w:color w:val="241D2A"/>
                <w:sz w:val="14"/>
                <w:szCs w:val="14"/>
              </w:rPr>
              <w:t xml:space="preserve">Clinical validation with partner hospitals, reporting detection rates together with their false-positive rates.</w:t>
            </w:r>
          </w:p>
          <w:p>
            <w:pPr>
              <w:bidi/>
              <w:spacing w:after="80" w:line="230" w:lineRule="auto"/>
              <w:jc w:val="start"/>
            </w:pPr>
            <w:r>
              <w:rPr>
                <w:rFonts w:cs="Arial"/>
                <w:color w:val="6B5780"/>
                <w:sz w:val="15"/>
                <w:szCs w:val="15"/>
                <w:rtl/>
              </w:rPr>
              <w:t xml:space="preserve">التحقق السريري مع المستشفيات الشريكة، مع الإفصاح عن معدلات الكشف والإنذارات الخاطئة معًا.</w:t>
            </w:r>
          </w:p>
          <w:p>
            <w:pPr>
              <w:spacing w:after="14" w:line="220" w:lineRule="auto"/>
              <w:ind w:left="96" w:hanging="96"/>
            </w:pPr>
            <w:r>
              <w:rPr>
                <w:color w:val="A796B5"/>
                <w:sz w:val="13"/>
                <w:szCs w:val="13"/>
              </w:rPr>
              <w:t xml:space="preserve">▪  </w:t>
            </w:r>
            <w:r>
              <w:rPr>
                <w:rFonts w:ascii="Aptos" w:hAnsi="Aptos"/>
                <w:color w:val="241D2A"/>
                <w:sz w:val="14"/>
                <w:szCs w:val="14"/>
              </w:rPr>
              <w:t xml:space="preserve">Regulatory work: the SFDA Software as a Medical Device pathway, and PDPL compliance.</w:t>
            </w:r>
          </w:p>
          <w:p>
            <w:pPr>
              <w:bidi/>
              <w:spacing w:after="80" w:line="230" w:lineRule="auto"/>
              <w:jc w:val="start"/>
            </w:pPr>
            <w:r>
              <w:rPr>
                <w:rFonts w:cs="Arial"/>
                <w:color w:val="6B5780"/>
                <w:sz w:val="15"/>
                <w:szCs w:val="15"/>
                <w:rtl/>
              </w:rPr>
              <w:t xml:space="preserve">العمل التنظيمي: مسار هيئة الغذاء والدواء للبرمجيات الطبية، والامتثال لنظام حماية البيانات.</w:t>
            </w:r>
          </w:p>
          <w:p>
            <w:pPr>
              <w:spacing w:after="14" w:line="220" w:lineRule="auto"/>
              <w:ind w:left="96" w:hanging="96"/>
            </w:pPr>
            <w:r>
              <w:rPr>
                <w:color w:val="A796B5"/>
                <w:sz w:val="13"/>
                <w:szCs w:val="13"/>
              </w:rPr>
              <w:t xml:space="preserve">▪  </w:t>
            </w:r>
            <w:r>
              <w:rPr>
                <w:rFonts w:ascii="Aptos" w:hAnsi="Aptos"/>
                <w:color w:val="241D2A"/>
                <w:sz w:val="14"/>
                <w:szCs w:val="14"/>
              </w:rPr>
              <w:t xml:space="preserve">Bilingual product design, clinic onboarding and training.</w:t>
            </w:r>
          </w:p>
          <w:p>
            <w:pPr>
              <w:bidi/>
              <w:spacing w:after="80" w:line="230" w:lineRule="auto"/>
              <w:jc w:val="start"/>
            </w:pPr>
            <w:r>
              <w:rPr>
                <w:rFonts w:cs="Arial"/>
                <w:color w:val="6B5780"/>
                <w:sz w:val="15"/>
                <w:szCs w:val="15"/>
                <w:rtl/>
              </w:rPr>
              <w:t xml:space="preserve">تصميم المنتج ثنائي اللغة، وتأهيل العيادات وتدريبها.</w:t>
            </w:r>
          </w:p>
        </w:tc>
        <w:tc>
          <w:tcPr>
            <w:tcW w:type="dxa" w:w="5000"/>
            <w:vMerge w:val="restart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F3E3E3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70"/>
            </w:pPr>
            <w:r>
              <w:drawing>
                <wp:inline distT="0" distB="0" distL="0" distR="0">
                  <wp:extent cx="142875" cy="142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rPr>
                <w:rFonts w:ascii="Aptos" w:hAnsi="Aptos"/>
                <w:b/>
                <w:bCs/>
                <w:color w:val="A796B5"/>
                <w:sz w:val="17"/>
                <w:szCs w:val="17"/>
              </w:rPr>
              <w:t xml:space="preserve">1  </w:t>
            </w:r>
            <w:r>
              <w:rPr>
                <w:rFonts w:ascii="Aptos" w:hAnsi="Aptos"/>
                <w:b/>
                <w:bCs/>
                <w:color w:val="261E2D"/>
                <w:sz w:val="17"/>
                <w:szCs w:val="17"/>
              </w:rPr>
              <w:t xml:space="preserve">Value Propositions</w:t>
            </w:r>
            <w:r>
              <w:rPr>
                <w:b/>
                <w:bCs/>
                <w:color w:val="A796B5"/>
                <w:sz w:val="17"/>
                <w:szCs w:val="17"/>
              </w:rPr>
              <w:t xml:space="preserve">  —  </w:t>
            </w:r>
            <w:r>
              <w:rPr>
                <w:rFonts w:cs="Arial"/>
                <w:b/>
                <w:bCs/>
                <w:color w:val="3B2F45"/>
                <w:sz w:val="18"/>
                <w:szCs w:val="18"/>
                <w:rtl/>
              </w:rPr>
              <w:t xml:space="preserve">القيمة المقدمة</w:t>
            </w:r>
          </w:p>
          <w:p>
            <w:pPr>
              <w:spacing w:after="14" w:line="220" w:lineRule="auto"/>
              <w:ind w:left="96" w:hanging="96"/>
            </w:pPr>
            <w:r>
              <w:rPr>
                <w:color w:val="A796B5"/>
                <w:sz w:val="13"/>
                <w:szCs w:val="13"/>
              </w:rPr>
              <w:t xml:space="preserve">▪  </w:t>
            </w:r>
            <w:r>
              <w:rPr>
                <w:rFonts w:ascii="Aptos" w:hAnsi="Aptos"/>
                <w:color w:val="241D2A"/>
                <w:sz w:val="14"/>
                <w:szCs w:val="14"/>
              </w:rPr>
              <w:t xml:space="preserve">Know your risk early, in your own language. BADIRA returns three signals together — Risk, Reliability, Time — never a bare number.</w:t>
            </w:r>
          </w:p>
          <w:p>
            <w:pPr>
              <w:bidi/>
              <w:spacing w:after="80" w:line="230" w:lineRule="auto"/>
              <w:jc w:val="start"/>
            </w:pPr>
            <w:r>
              <w:rPr>
                <w:rFonts w:cs="Arial"/>
                <w:color w:val="6B5780"/>
                <w:sz w:val="15"/>
                <w:szCs w:val="15"/>
                <w:rtl/>
              </w:rPr>
              <w:t xml:space="preserve">اعرفي خطورتك مبكرًا بلغتك. تُعطي بادرة ثلاث إشارات معًا: الخطورة، الموثوقية، الوقت — لا رقمًا مجردًا.</w:t>
            </w:r>
          </w:p>
          <w:p>
            <w:pPr>
              <w:spacing w:after="14" w:line="220" w:lineRule="auto"/>
              <w:ind w:left="96" w:hanging="96"/>
            </w:pPr>
            <w:r>
              <w:rPr>
                <w:color w:val="A796B5"/>
                <w:sz w:val="13"/>
                <w:szCs w:val="13"/>
              </w:rPr>
              <w:t xml:space="preserve">▪  </w:t>
            </w:r>
            <w:r>
              <w:rPr>
                <w:rFonts w:ascii="Aptos" w:hAnsi="Aptos"/>
                <w:color w:val="241D2A"/>
                <w:sz w:val="14"/>
                <w:szCs w:val="14"/>
              </w:rPr>
              <w:t xml:space="preserve">Honest about uncertainty. When the data is not enough, BADIRA says so and asks for more instead of guessing.</w:t>
            </w:r>
          </w:p>
          <w:p>
            <w:pPr>
              <w:bidi/>
              <w:spacing w:after="80" w:line="230" w:lineRule="auto"/>
              <w:jc w:val="start"/>
            </w:pPr>
            <w:r>
              <w:rPr>
                <w:rFonts w:cs="Arial"/>
                <w:color w:val="6B5780"/>
                <w:sz w:val="15"/>
                <w:szCs w:val="15"/>
                <w:rtl/>
              </w:rPr>
              <w:t xml:space="preserve">صادقة بشأن عدم اليقين. عند نقص البيانات تطلب بادرة معلومات إضافية بدل التخمين.</w:t>
            </w:r>
          </w:p>
          <w:p>
            <w:pPr>
              <w:spacing w:after="14" w:line="220" w:lineRule="auto"/>
              <w:ind w:left="96" w:hanging="96"/>
            </w:pPr>
            <w:r>
              <w:rPr>
                <w:color w:val="A796B5"/>
                <w:sz w:val="13"/>
                <w:szCs w:val="13"/>
              </w:rPr>
              <w:t xml:space="preserve">▪  </w:t>
            </w:r>
            <w:r>
              <w:rPr>
                <w:rFonts w:ascii="Aptos" w:hAnsi="Aptos"/>
                <w:color w:val="241D2A"/>
                <w:sz w:val="14"/>
                <w:szCs w:val="14"/>
              </w:rPr>
              <w:t xml:space="preserve">A bridge to the doctor, not a replacement. It produces a summary the woman can share at her next visit.</w:t>
            </w:r>
          </w:p>
          <w:p>
            <w:pPr>
              <w:bidi/>
              <w:spacing w:after="80" w:line="230" w:lineRule="auto"/>
              <w:jc w:val="start"/>
            </w:pPr>
            <w:r>
              <w:rPr>
                <w:rFonts w:cs="Arial"/>
                <w:color w:val="6B5780"/>
                <w:sz w:val="15"/>
                <w:szCs w:val="15"/>
                <w:rtl/>
              </w:rPr>
              <w:t xml:space="preserve">جسر إلى الطبيبة لا بديل عنها. تُنشئ ملخصًا يمكن مشاركته في الموعد القادم.</w:t>
            </w:r>
          </w:p>
          <w:p>
            <w:pPr>
              <w:spacing w:after="14" w:line="220" w:lineRule="auto"/>
              <w:ind w:left="96" w:hanging="96"/>
            </w:pPr>
            <w:r>
              <w:rPr>
                <w:color w:val="A796B5"/>
                <w:sz w:val="13"/>
                <w:szCs w:val="13"/>
              </w:rPr>
              <w:t xml:space="preserve">▪  </w:t>
            </w:r>
            <w:r>
              <w:rPr>
                <w:rFonts w:ascii="Aptos" w:hAnsi="Aptos"/>
                <w:color w:val="241D2A"/>
                <w:sz w:val="14"/>
                <w:szCs w:val="14"/>
              </w:rPr>
              <w:t xml:space="preserve">For clinics: a triage layer that flags high-risk pregnancies inside the 11–14 week window, while prevention still works.</w:t>
            </w:r>
          </w:p>
          <w:p>
            <w:pPr>
              <w:bidi/>
              <w:spacing w:after="80" w:line="230" w:lineRule="auto"/>
              <w:jc w:val="start"/>
            </w:pPr>
            <w:r>
              <w:rPr>
                <w:rFonts w:cs="Arial"/>
                <w:color w:val="6B5780"/>
                <w:sz w:val="15"/>
                <w:szCs w:val="15"/>
                <w:rtl/>
              </w:rPr>
              <w:t xml:space="preserve">للعيادات: طبقة فرز تُبرز الحمل عالي الخطورة خلال الأسبوع 11–14، حين تكون الوقاية ما تزال مجدية.</w:t>
            </w:r>
          </w:p>
          <w:p>
            <w:pPr>
              <w:spacing w:after="14" w:line="220" w:lineRule="auto"/>
              <w:ind w:left="96" w:hanging="96"/>
            </w:pPr>
            <w:r>
              <w:rPr>
                <w:color w:val="A796B5"/>
                <w:sz w:val="13"/>
                <w:szCs w:val="13"/>
              </w:rPr>
              <w:t xml:space="preserve">▪  </w:t>
            </w:r>
            <w:r>
              <w:rPr>
                <w:rFonts w:ascii="Aptos" w:hAnsi="Aptos"/>
                <w:color w:val="241D2A"/>
                <w:sz w:val="14"/>
                <w:szCs w:val="14"/>
              </w:rPr>
              <w:t xml:space="preserve">What no competitor has: BADIRA adapts to the data. It profiles the dataset first and then chooses the model — so it works on Saudi data, not only on data borrowed from abroad.</w:t>
            </w:r>
          </w:p>
          <w:p>
            <w:pPr>
              <w:bidi/>
              <w:spacing w:after="80" w:line="230" w:lineRule="auto"/>
              <w:jc w:val="start"/>
            </w:pPr>
            <w:r>
              <w:rPr>
                <w:rFonts w:cs="Arial"/>
                <w:color w:val="6B5780"/>
                <w:sz w:val="15"/>
                <w:szCs w:val="15"/>
                <w:rtl/>
              </w:rPr>
              <w:t xml:space="preserve">ما لا يملكه المنافسون: بادرة تتكيّف مع البيانات — تُحلّلها أولًا ثم تختار النموذج، لتعمل على بيانات سعودية لا مستعارة.</w:t>
            </w:r>
          </w:p>
          <w:p>
            <w:pPr>
              <w:spacing w:before="260"/>
              <w:jc w:val="center"/>
            </w:pPr>
            <w:r>
              <w:rPr>
                <w:rFonts w:ascii="Aptos" w:hAnsi="Aptos"/>
                <w:b/>
                <w:bCs/>
                <w:color w:val="3B2F45"/>
                <w:sz w:val="19"/>
                <w:szCs w:val="19"/>
              </w:rPr>
              <w:t xml:space="preserve">“Know early. Act in time.”</w:t>
            </w:r>
          </w:p>
          <w:p>
            <w:pPr>
              <w:bidi/>
              <w:spacing w:before="40"/>
              <w:jc w:val="center"/>
            </w:pPr>
            <w:r>
              <w:rPr>
                <w:rFonts w:cs="Arial"/>
                <w:b/>
                <w:bCs/>
                <w:color w:val="3B2F45"/>
                <w:sz w:val="20"/>
                <w:szCs w:val="20"/>
                <w:rtl/>
              </w:rPr>
              <w:t xml:space="preserve">«اعرفي مبكرًا. وتصرّفي في الوقت المناسب.»</w:t>
            </w:r>
          </w:p>
        </w:tc>
        <w:tc>
          <w:tcPr>
            <w:tcW w:type="dxa" w:w="43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F2EED8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70"/>
            </w:pPr>
            <w:r>
              <w:drawing>
                <wp:inline distT="0" distB="0" distL="0" distR="0">
                  <wp:extent cx="142875" cy="142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rPr>
                <w:rFonts w:ascii="Aptos" w:hAnsi="Aptos"/>
                <w:b/>
                <w:bCs/>
                <w:color w:val="A796B5"/>
                <w:sz w:val="17"/>
                <w:szCs w:val="17"/>
              </w:rPr>
              <w:t xml:space="preserve">4  </w:t>
            </w:r>
            <w:r>
              <w:rPr>
                <w:rFonts w:ascii="Aptos" w:hAnsi="Aptos"/>
                <w:b/>
                <w:bCs/>
                <w:color w:val="261E2D"/>
                <w:sz w:val="17"/>
                <w:szCs w:val="17"/>
              </w:rPr>
              <w:t xml:space="preserve">Customer Relationships</w:t>
            </w:r>
            <w:r>
              <w:rPr>
                <w:b/>
                <w:bCs/>
                <w:color w:val="A796B5"/>
                <w:sz w:val="17"/>
                <w:szCs w:val="17"/>
              </w:rPr>
              <w:t xml:space="preserve">  —  </w:t>
            </w:r>
            <w:r>
              <w:rPr>
                <w:rFonts w:cs="Arial"/>
                <w:b/>
                <w:bCs/>
                <w:color w:val="3B2F45"/>
                <w:sz w:val="18"/>
                <w:szCs w:val="18"/>
                <w:rtl/>
              </w:rPr>
              <w:t xml:space="preserve">العلاقة مع العميلات</w:t>
            </w:r>
          </w:p>
          <w:p>
            <w:pPr>
              <w:spacing w:after="14" w:line="220" w:lineRule="auto"/>
              <w:ind w:left="96" w:hanging="96"/>
            </w:pPr>
            <w:r>
              <w:rPr>
                <w:color w:val="A796B5"/>
                <w:sz w:val="13"/>
                <w:szCs w:val="13"/>
              </w:rPr>
              <w:t xml:space="preserve">▪  </w:t>
            </w:r>
            <w:r>
              <w:rPr>
                <w:rFonts w:ascii="Aptos" w:hAnsi="Aptos"/>
                <w:color w:val="241D2A"/>
                <w:sz w:val="14"/>
                <w:szCs w:val="14"/>
              </w:rPr>
              <w:t xml:space="preserve">Get: free for the woman and introduced by her own clinic — no cost barrier at the moment she needs it.</w:t>
            </w:r>
          </w:p>
          <w:p>
            <w:pPr>
              <w:bidi/>
              <w:spacing w:after="80" w:line="230" w:lineRule="auto"/>
              <w:jc w:val="start"/>
            </w:pPr>
            <w:r>
              <w:rPr>
                <w:rFonts w:cs="Arial"/>
                <w:color w:val="6B5780"/>
                <w:sz w:val="15"/>
                <w:szCs w:val="15"/>
                <w:rtl/>
              </w:rPr>
              <w:t xml:space="preserve">الجذب: مجانية للمرأة ويُعرّفها بها طبيبها — بلا حاجز تكلفة وقت الحاجة.</w:t>
            </w:r>
          </w:p>
          <w:p>
            <w:pPr>
              <w:spacing w:after="14" w:line="220" w:lineRule="auto"/>
              <w:ind w:left="96" w:hanging="96"/>
            </w:pPr>
            <w:r>
              <w:rPr>
                <w:color w:val="A796B5"/>
                <w:sz w:val="13"/>
                <w:szCs w:val="13"/>
              </w:rPr>
              <w:t xml:space="preserve">▪  </w:t>
            </w:r>
            <w:r>
              <w:rPr>
                <w:rFonts w:ascii="Aptos" w:hAnsi="Aptos"/>
                <w:color w:val="241D2A"/>
                <w:sz w:val="14"/>
                <w:szCs w:val="14"/>
              </w:rPr>
              <w:t xml:space="preserve">Keep: a companion for the whole pregnancy, not a one-off test. The risk is recalculated as new information arrives.</w:t>
            </w:r>
          </w:p>
          <w:p>
            <w:pPr>
              <w:bidi/>
              <w:spacing w:after="80" w:line="230" w:lineRule="auto"/>
              <w:jc w:val="start"/>
            </w:pPr>
            <w:r>
              <w:rPr>
                <w:rFonts w:cs="Arial"/>
                <w:color w:val="6B5780"/>
                <w:sz w:val="15"/>
                <w:szCs w:val="15"/>
                <w:rtl/>
              </w:rPr>
              <w:t xml:space="preserve">الاحتفاظ: رفيقة طوال الحمل لا فحصًا لمرة واحدة. تُحدَّث الخطورة كلما وردت معلومات جديدة.</w:t>
            </w:r>
          </w:p>
          <w:p>
            <w:pPr>
              <w:spacing w:after="14" w:line="220" w:lineRule="auto"/>
              <w:ind w:left="96" w:hanging="96"/>
            </w:pPr>
            <w:r>
              <w:rPr>
                <w:color w:val="A796B5"/>
                <w:sz w:val="13"/>
                <w:szCs w:val="13"/>
              </w:rPr>
              <w:t xml:space="preserve">▪  </w:t>
            </w:r>
            <w:r>
              <w:rPr>
                <w:rFonts w:ascii="Aptos" w:hAnsi="Aptos"/>
                <w:color w:val="241D2A"/>
                <w:sz w:val="14"/>
                <w:szCs w:val="14"/>
              </w:rPr>
              <w:t xml:space="preserve">Grow: the summary she brings to her doctor turns every user into a route into a new clinic.</w:t>
            </w:r>
          </w:p>
          <w:p>
            <w:pPr>
              <w:bidi/>
              <w:spacing w:after="80" w:line="230" w:lineRule="auto"/>
              <w:jc w:val="start"/>
            </w:pPr>
            <w:r>
              <w:rPr>
                <w:rFonts w:cs="Arial"/>
                <w:color w:val="6B5780"/>
                <w:sz w:val="15"/>
                <w:szCs w:val="15"/>
                <w:rtl/>
              </w:rPr>
              <w:t xml:space="preserve">النمو: الملخص الذي تحمله إلى طبيبتها يحوّل كل مستخدمة إلى طريق نحو عيادة جديدة.</w:t>
            </w:r>
          </w:p>
          <w:p>
            <w:pPr>
              <w:spacing w:after="14" w:line="220" w:lineRule="auto"/>
              <w:ind w:left="96" w:hanging="96"/>
            </w:pPr>
            <w:r>
              <w:rPr>
                <w:color w:val="A796B5"/>
                <w:sz w:val="13"/>
                <w:szCs w:val="13"/>
              </w:rPr>
              <w:t xml:space="preserve">▪  </w:t>
            </w:r>
            <w:r>
              <w:rPr>
                <w:rFonts w:ascii="Aptos" w:hAnsi="Aptos"/>
                <w:color w:val="241D2A"/>
                <w:sz w:val="14"/>
                <w:szCs w:val="14"/>
              </w:rPr>
              <w:t xml:space="preserve">Trust is the retention strategy: every prediction carries a confidence score, and BADIRA never claims a diagnosis.</w:t>
            </w:r>
          </w:p>
          <w:p>
            <w:pPr>
              <w:bidi/>
              <w:spacing w:after="80" w:line="230" w:lineRule="auto"/>
              <w:jc w:val="start"/>
            </w:pPr>
            <w:r>
              <w:rPr>
                <w:rFonts w:cs="Arial"/>
                <w:color w:val="6B5780"/>
                <w:sz w:val="15"/>
                <w:szCs w:val="15"/>
                <w:rtl/>
              </w:rPr>
              <w:t xml:space="preserve">الثقة هي استراتيجية الاحتفاظ: كل تنبؤ يحمل درجة موثوقية، ولا تدّعي بادرة التشخيص أبدًا.</w:t>
            </w:r>
          </w:p>
        </w:tc>
        <w:tc>
          <w:tcPr>
            <w:tcW w:type="dxa" w:w="4300"/>
            <w:vMerge w:val="restart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EFE7EC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70"/>
            </w:pPr>
            <w:r>
              <w:drawing>
                <wp:inline distT="0" distB="0" distL="0" distR="0">
                  <wp:extent cx="142875" cy="142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rPr>
                <w:rFonts w:ascii="Aptos" w:hAnsi="Aptos"/>
                <w:b/>
                <w:bCs/>
                <w:color w:val="A796B5"/>
                <w:sz w:val="17"/>
                <w:szCs w:val="17"/>
              </w:rPr>
              <w:t xml:space="preserve">2  </w:t>
            </w:r>
            <w:r>
              <w:rPr>
                <w:rFonts w:ascii="Aptos" w:hAnsi="Aptos"/>
                <w:b/>
                <w:bCs/>
                <w:color w:val="261E2D"/>
                <w:sz w:val="17"/>
                <w:szCs w:val="17"/>
              </w:rPr>
              <w:t xml:space="preserve">Customer Segments</w:t>
            </w:r>
            <w:r>
              <w:rPr>
                <w:b/>
                <w:bCs/>
                <w:color w:val="A796B5"/>
                <w:sz w:val="17"/>
                <w:szCs w:val="17"/>
              </w:rPr>
              <w:t xml:space="preserve">  —  </w:t>
            </w:r>
            <w:r>
              <w:rPr>
                <w:rFonts w:cs="Arial"/>
                <w:b/>
                <w:bCs/>
                <w:color w:val="3B2F45"/>
                <w:sz w:val="18"/>
                <w:szCs w:val="18"/>
                <w:rtl/>
              </w:rPr>
              <w:t xml:space="preserve">العملاء المستهدفون</w:t>
            </w:r>
          </w:p>
          <w:p>
            <w:pPr>
              <w:spacing w:after="14" w:line="220" w:lineRule="auto"/>
              <w:ind w:left="96" w:hanging="96"/>
            </w:pPr>
            <w:r>
              <w:rPr>
                <w:color w:val="A796B5"/>
                <w:sz w:val="13"/>
                <w:szCs w:val="13"/>
              </w:rPr>
              <w:t xml:space="preserve">▪  </w:t>
            </w:r>
            <w:r>
              <w:rPr>
                <w:rFonts w:ascii="Aptos" w:hAnsi="Aptos"/>
                <w:color w:val="241D2A"/>
                <w:sz w:val="14"/>
                <w:szCs w:val="14"/>
              </w:rPr>
              <w:t xml:space="preserve">User: pregnant women in Saudi Arabia and the Arab world — first pregnancy, known risk factors, or far from specialist care.</w:t>
            </w:r>
          </w:p>
          <w:p>
            <w:pPr>
              <w:bidi/>
              <w:spacing w:after="80" w:line="230" w:lineRule="auto"/>
              <w:jc w:val="start"/>
            </w:pPr>
            <w:r>
              <w:rPr>
                <w:rFonts w:cs="Arial"/>
                <w:color w:val="6B5780"/>
                <w:sz w:val="15"/>
                <w:szCs w:val="15"/>
                <w:rtl/>
              </w:rPr>
              <w:t xml:space="preserve">المستخدِمة: الحامل في السعودية والعالم العربي — حمل أول، عوامل خطر، أو بُعد عن الرعاية المتخصصة.</w:t>
            </w:r>
          </w:p>
          <w:p>
            <w:pPr>
              <w:spacing w:after="14" w:line="220" w:lineRule="auto"/>
              <w:ind w:left="96" w:hanging="96"/>
            </w:pPr>
            <w:r>
              <w:rPr>
                <w:color w:val="A796B5"/>
                <w:sz w:val="13"/>
                <w:szCs w:val="13"/>
              </w:rPr>
              <w:t xml:space="preserve">▪  </w:t>
            </w:r>
            <w:r>
              <w:rPr>
                <w:rFonts w:ascii="Aptos" w:hAnsi="Aptos"/>
                <w:color w:val="241D2A"/>
                <w:sz w:val="14"/>
                <w:szCs w:val="14"/>
              </w:rPr>
              <w:t xml:space="preserve">Paying customer: private clinics, maternity hospitals and antenatal units.</w:t>
            </w:r>
          </w:p>
          <w:p>
            <w:pPr>
              <w:bidi/>
              <w:spacing w:after="80" w:line="230" w:lineRule="auto"/>
              <w:jc w:val="start"/>
            </w:pPr>
            <w:r>
              <w:rPr>
                <w:rFonts w:cs="Arial"/>
                <w:color w:val="6B5780"/>
                <w:sz w:val="15"/>
                <w:szCs w:val="15"/>
                <w:rtl/>
              </w:rPr>
              <w:t xml:space="preserve">الجهة الدافعة: العيادات الخاصة ومستشفيات الولادة ووحدات متابعة الحمل.</w:t>
            </w:r>
          </w:p>
          <w:p>
            <w:pPr>
              <w:spacing w:after="14" w:line="220" w:lineRule="auto"/>
              <w:ind w:left="96" w:hanging="96"/>
            </w:pPr>
            <w:r>
              <w:rPr>
                <w:color w:val="A796B5"/>
                <w:sz w:val="13"/>
                <w:szCs w:val="13"/>
              </w:rPr>
              <w:t xml:space="preserve">▪  </w:t>
            </w:r>
            <w:r>
              <w:rPr>
                <w:rFonts w:ascii="Aptos" w:hAnsi="Aptos"/>
                <w:color w:val="241D2A"/>
                <w:sz w:val="14"/>
                <w:szCs w:val="14"/>
              </w:rPr>
              <w:t xml:space="preserve">Institutional: health insurers, and Ministry of Health digital-health programmes under Vision 2030.</w:t>
            </w:r>
          </w:p>
          <w:p>
            <w:pPr>
              <w:bidi/>
              <w:spacing w:after="80" w:line="230" w:lineRule="auto"/>
              <w:jc w:val="start"/>
            </w:pPr>
            <w:r>
              <w:rPr>
                <w:rFonts w:cs="Arial"/>
                <w:color w:val="6B5780"/>
                <w:sz w:val="15"/>
                <w:szCs w:val="15"/>
                <w:rtl/>
              </w:rPr>
              <w:t xml:space="preserve">المؤسسات: شركات التأمين وبرامج الصحة الرقمية في وزارة الصحة ضمن رؤية 2030.</w:t>
            </w:r>
          </w:p>
          <w:p>
            <w:pPr>
              <w:spacing w:after="14" w:line="220" w:lineRule="auto"/>
              <w:ind w:left="96" w:hanging="96"/>
            </w:pPr>
            <w:r>
              <w:rPr>
                <w:color w:val="A796B5"/>
                <w:sz w:val="13"/>
                <w:szCs w:val="13"/>
              </w:rPr>
              <w:t xml:space="preserve">▪  </w:t>
            </w:r>
            <w:r>
              <w:rPr>
                <w:rFonts w:ascii="Aptos" w:hAnsi="Aptos"/>
                <w:color w:val="241D2A"/>
                <w:sz w:val="14"/>
                <w:szCs w:val="14"/>
              </w:rPr>
              <w:t xml:space="preserve">A multi-sided market: the woman uses BADIRA, the clinic pays for it, the insurer benefits from it.</w:t>
            </w:r>
          </w:p>
          <w:p>
            <w:pPr>
              <w:bidi/>
              <w:spacing w:after="80" w:line="230" w:lineRule="auto"/>
              <w:jc w:val="start"/>
            </w:pPr>
            <w:r>
              <w:rPr>
                <w:rFonts w:cs="Arial"/>
                <w:color w:val="6B5780"/>
                <w:sz w:val="15"/>
                <w:szCs w:val="15"/>
                <w:rtl/>
              </w:rPr>
              <w:t xml:space="preserve">سوق متعدد الأطراف: المرأة تستخدمها، والعيادة تدفع، وشركة التأمين تستفيد.</w:t>
            </w:r>
          </w:p>
          <w:p>
            <w:pPr>
              <w:spacing w:after="14" w:line="220" w:lineRule="auto"/>
              <w:ind w:left="96" w:hanging="96"/>
            </w:pPr>
            <w:r>
              <w:rPr>
                <w:color w:val="A796B5"/>
                <w:sz w:val="13"/>
                <w:szCs w:val="13"/>
              </w:rPr>
              <w:t xml:space="preserve">▪  </w:t>
            </w:r>
            <w:r>
              <w:rPr>
                <w:rFonts w:ascii="Aptos" w:hAnsi="Aptos"/>
                <w:color w:val="241D2A"/>
                <w:sz w:val="14"/>
                <w:szCs w:val="14"/>
              </w:rPr>
              <w:t xml:space="preserve">Entry focus: private maternity clinics in Jeddah and Riyadh first, then Ministry of Health primary-care centres.</w:t>
            </w:r>
          </w:p>
          <w:p>
            <w:pPr>
              <w:bidi/>
              <w:spacing w:after="80" w:line="230" w:lineRule="auto"/>
              <w:jc w:val="start"/>
            </w:pPr>
            <w:r>
              <w:rPr>
                <w:rFonts w:cs="Arial"/>
                <w:color w:val="6B5780"/>
                <w:sz w:val="15"/>
                <w:szCs w:val="15"/>
                <w:rtl/>
              </w:rPr>
              <w:t xml:space="preserve">التركيز الأولي: عيادات الولادة الخاصة في جدة والرياض أولًا، ثم مراكز الرعاية الأولية في وزارة الصحة.</w:t>
            </w:r>
          </w:p>
        </w:tc>
      </w:tr>
      <w:tr>
        <w:trPr>
          <w:trHeight w:val="3950" w:hRule="atLeast"/>
        </w:trPr>
        <w:tc>
          <w:tcPr>
            <w:tcW w:type="dxa" w:w="4300"/>
            <w:vMerge w:val="continue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EFE7EC" w:color="auto" w:val="clear"/>
          </w:tcPr>
          <w:p/>
        </w:tc>
        <w:tc>
          <w:tcPr>
            <w:tcW w:type="dxa" w:w="43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EFF5EE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70"/>
            </w:pPr>
            <w:r>
              <w:drawing>
                <wp:inline distT="0" distB="0" distL="0" distR="0">
                  <wp:extent cx="142875" cy="142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rPr>
                <w:rFonts w:ascii="Aptos" w:hAnsi="Aptos"/>
                <w:b/>
                <w:bCs/>
                <w:color w:val="A796B5"/>
                <w:sz w:val="17"/>
                <w:szCs w:val="17"/>
              </w:rPr>
              <w:t xml:space="preserve">6  </w:t>
            </w:r>
            <w:r>
              <w:rPr>
                <w:rFonts w:ascii="Aptos" w:hAnsi="Aptos"/>
                <w:b/>
                <w:bCs/>
                <w:color w:val="261E2D"/>
                <w:sz w:val="17"/>
                <w:szCs w:val="17"/>
              </w:rPr>
              <w:t xml:space="preserve">Key Resources</w:t>
            </w:r>
            <w:r>
              <w:rPr>
                <w:b/>
                <w:bCs/>
                <w:color w:val="A796B5"/>
                <w:sz w:val="17"/>
                <w:szCs w:val="17"/>
              </w:rPr>
              <w:t xml:space="preserve">  —  </w:t>
            </w:r>
            <w:r>
              <w:rPr>
                <w:rFonts w:cs="Arial"/>
                <w:b/>
                <w:bCs/>
                <w:color w:val="3B2F45"/>
                <w:sz w:val="18"/>
                <w:szCs w:val="18"/>
                <w:rtl/>
              </w:rPr>
              <w:t xml:space="preserve">الموارد الرئيسية</w:t>
            </w:r>
          </w:p>
          <w:p>
            <w:pPr>
              <w:spacing w:after="14" w:line="220" w:lineRule="auto"/>
              <w:ind w:left="96" w:hanging="96"/>
            </w:pPr>
            <w:r>
              <w:rPr>
                <w:color w:val="A796B5"/>
                <w:sz w:val="13"/>
                <w:szCs w:val="13"/>
              </w:rPr>
              <w:t xml:space="preserve">▪  </w:t>
            </w:r>
            <w:r>
              <w:rPr>
                <w:rFonts w:ascii="Aptos" w:hAnsi="Aptos"/>
                <w:color w:val="241D2A"/>
                <w:sz w:val="14"/>
                <w:szCs w:val="14"/>
              </w:rPr>
              <w:t xml:space="preserve">Data — the hardest asset to obtain and the real moat: the NICHD DASH cohorts (HRA, LRA, nuMoM2b) and Saudi data (RAHMA).</w:t>
            </w:r>
          </w:p>
          <w:p>
            <w:pPr>
              <w:bidi/>
              <w:spacing w:after="80" w:line="230" w:lineRule="auto"/>
              <w:jc w:val="start"/>
            </w:pPr>
            <w:r>
              <w:rPr>
                <w:rFonts w:cs="Arial"/>
                <w:color w:val="6B5780"/>
                <w:sz w:val="15"/>
                <w:szCs w:val="15"/>
                <w:rtl/>
              </w:rPr>
              <w:t xml:space="preserve">البيانات — أصعب أصل يمكن الحصول عليه وخندقنا الحقيقي: مجموعات NICHD DASH وبيانات رحمة السعودية.</w:t>
            </w:r>
          </w:p>
          <w:p>
            <w:pPr>
              <w:spacing w:after="14" w:line="220" w:lineRule="auto"/>
              <w:ind w:left="96" w:hanging="96"/>
            </w:pPr>
            <w:r>
              <w:rPr>
                <w:color w:val="A796B5"/>
                <w:sz w:val="13"/>
                <w:szCs w:val="13"/>
              </w:rPr>
              <w:t xml:space="preserve">▪  </w:t>
            </w:r>
            <w:r>
              <w:rPr>
                <w:rFonts w:ascii="Aptos" w:hAnsi="Aptos"/>
                <w:color w:val="241D2A"/>
                <w:sz w:val="14"/>
                <w:szCs w:val="14"/>
              </w:rPr>
              <w:t xml:space="preserve">The framework itself: the Woman Schema and the Data Profiler are the intellectual property.</w:t>
            </w:r>
          </w:p>
          <w:p>
            <w:pPr>
              <w:bidi/>
              <w:spacing w:after="80" w:line="230" w:lineRule="auto"/>
              <w:jc w:val="start"/>
            </w:pPr>
            <w:r>
              <w:rPr>
                <w:rFonts w:cs="Arial"/>
                <w:color w:val="6B5780"/>
                <w:sz w:val="15"/>
                <w:szCs w:val="15"/>
                <w:rtl/>
              </w:rPr>
              <w:t xml:space="preserve">الإطار نفسه: مخطط المرأة ومحلل البيانات هما الملكية الفكرية.</w:t>
            </w:r>
          </w:p>
          <w:p>
            <w:pPr>
              <w:spacing w:after="14" w:line="220" w:lineRule="auto"/>
              <w:ind w:left="96" w:hanging="96"/>
            </w:pPr>
            <w:r>
              <w:rPr>
                <w:color w:val="A796B5"/>
                <w:sz w:val="13"/>
                <w:szCs w:val="13"/>
              </w:rPr>
              <w:t xml:space="preserve">▪  </w:t>
            </w:r>
            <w:r>
              <w:rPr>
                <w:rFonts w:ascii="Aptos" w:hAnsi="Aptos"/>
                <w:color w:val="241D2A"/>
                <w:sz w:val="14"/>
                <w:szCs w:val="14"/>
              </w:rPr>
              <w:t xml:space="preserve">People: the founding team, Dr. Naila Marir (academic supervisor) and Dr. Rania (clinical collaborator).</w:t>
            </w:r>
          </w:p>
          <w:p>
            <w:pPr>
              <w:bidi/>
              <w:spacing w:after="80" w:line="230" w:lineRule="auto"/>
              <w:jc w:val="start"/>
            </w:pPr>
            <w:r>
              <w:rPr>
                <w:rFonts w:cs="Arial"/>
                <w:color w:val="6B5780"/>
                <w:sz w:val="15"/>
                <w:szCs w:val="15"/>
                <w:rtl/>
              </w:rPr>
              <w:t xml:space="preserve">الفريق: المؤسِّستان، د. نائلة مرير (الإشراف الأكاديمي)، ود. رانيا (التعاون السريري).</w:t>
            </w:r>
          </w:p>
          <w:p>
            <w:pPr>
              <w:spacing w:after="14" w:line="220" w:lineRule="auto"/>
              <w:ind w:left="96" w:hanging="96"/>
            </w:pPr>
            <w:r>
              <w:rPr>
                <w:color w:val="A796B5"/>
                <w:sz w:val="13"/>
                <w:szCs w:val="13"/>
              </w:rPr>
              <w:t xml:space="preserve">▪  </w:t>
            </w:r>
            <w:r>
              <w:rPr>
                <w:rFonts w:ascii="Aptos" w:hAnsi="Aptos"/>
                <w:color w:val="241D2A"/>
                <w:sz w:val="14"/>
                <w:szCs w:val="14"/>
              </w:rPr>
              <w:t xml:space="preserve">Secure cloud infrastructure that complies with the Personal Data Protection Law.</w:t>
            </w:r>
          </w:p>
          <w:p>
            <w:pPr>
              <w:bidi/>
              <w:spacing w:after="80" w:line="230" w:lineRule="auto"/>
              <w:jc w:val="start"/>
            </w:pPr>
            <w:r>
              <w:rPr>
                <w:rFonts w:cs="Arial"/>
                <w:color w:val="6B5780"/>
                <w:sz w:val="15"/>
                <w:szCs w:val="15"/>
                <w:rtl/>
              </w:rPr>
              <w:t xml:space="preserve">بنية سحابية آمنة متوافقة مع نظام حماية البيانات الشخصية.</w:t>
            </w:r>
          </w:p>
          <w:p>
            <w:pPr>
              <w:spacing w:after="14" w:line="220" w:lineRule="auto"/>
              <w:ind w:left="96" w:hanging="96"/>
            </w:pPr>
            <w:r>
              <w:rPr>
                <w:color w:val="A796B5"/>
                <w:sz w:val="13"/>
                <w:szCs w:val="13"/>
              </w:rPr>
              <w:t xml:space="preserve">▪  </w:t>
            </w:r>
            <w:r>
              <w:rPr>
                <w:rFonts w:ascii="Aptos" w:hAnsi="Aptos"/>
                <w:color w:val="241D2A"/>
                <w:sz w:val="14"/>
                <w:szCs w:val="14"/>
              </w:rPr>
              <w:t xml:space="preserve">An Arabic-first health brand that women trust.</w:t>
            </w:r>
          </w:p>
          <w:p>
            <w:pPr>
              <w:bidi/>
              <w:spacing w:after="80" w:line="230" w:lineRule="auto"/>
              <w:jc w:val="start"/>
            </w:pPr>
            <w:r>
              <w:rPr>
                <w:rFonts w:cs="Arial"/>
                <w:color w:val="6B5780"/>
                <w:sz w:val="15"/>
                <w:szCs w:val="15"/>
                <w:rtl/>
              </w:rPr>
              <w:t xml:space="preserve">علامة صحية عربية أولًا تثق بها النساء.</w:t>
            </w:r>
          </w:p>
        </w:tc>
        <w:tc>
          <w:tcPr>
            <w:tcW w:type="dxa" w:w="5000"/>
            <w:vMerge w:val="continue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F3E3E3" w:color="auto" w:val="clear"/>
          </w:tcPr>
          <w:p/>
        </w:tc>
        <w:tc>
          <w:tcPr>
            <w:tcW w:type="dxa" w:w="43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F8F5E6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70"/>
            </w:pPr>
            <w:r>
              <w:drawing>
                <wp:inline distT="0" distB="0" distL="0" distR="0">
                  <wp:extent cx="142875" cy="142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rPr>
                <w:rFonts w:ascii="Aptos" w:hAnsi="Aptos"/>
                <w:b/>
                <w:bCs/>
                <w:color w:val="A796B5"/>
                <w:sz w:val="17"/>
                <w:szCs w:val="17"/>
              </w:rPr>
              <w:t xml:space="preserve">3  </w:t>
            </w:r>
            <w:r>
              <w:rPr>
                <w:rFonts w:ascii="Aptos" w:hAnsi="Aptos"/>
                <w:b/>
                <w:bCs/>
                <w:color w:val="261E2D"/>
                <w:sz w:val="17"/>
                <w:szCs w:val="17"/>
              </w:rPr>
              <w:t xml:space="preserve">Channels</w:t>
            </w:r>
            <w:r>
              <w:rPr>
                <w:b/>
                <w:bCs/>
                <w:color w:val="A796B5"/>
                <w:sz w:val="17"/>
                <w:szCs w:val="17"/>
              </w:rPr>
              <w:t xml:space="preserve">  —  </w:t>
            </w:r>
            <w:r>
              <w:rPr>
                <w:rFonts w:cs="Arial"/>
                <w:b/>
                <w:bCs/>
                <w:color w:val="3B2F45"/>
                <w:sz w:val="18"/>
                <w:szCs w:val="18"/>
                <w:rtl/>
              </w:rPr>
              <w:t xml:space="preserve">قنوات التواصل</w:t>
            </w:r>
          </w:p>
          <w:p>
            <w:pPr>
              <w:spacing w:after="14" w:line="220" w:lineRule="auto"/>
              <w:ind w:left="96" w:hanging="96"/>
            </w:pPr>
            <w:r>
              <w:rPr>
                <w:color w:val="A796B5"/>
                <w:sz w:val="13"/>
                <w:szCs w:val="13"/>
              </w:rPr>
              <w:t xml:space="preserve">▪  </w:t>
            </w:r>
            <w:r>
              <w:rPr>
                <w:rFonts w:ascii="Aptos" w:hAnsi="Aptos"/>
                <w:color w:val="241D2A"/>
                <w:sz w:val="14"/>
                <w:szCs w:val="14"/>
              </w:rPr>
              <w:t xml:space="preserve">App Store and Google Play — bilingual Arabic/English from day one.</w:t>
            </w:r>
          </w:p>
          <w:p>
            <w:pPr>
              <w:bidi/>
              <w:spacing w:after="80" w:line="230" w:lineRule="auto"/>
              <w:jc w:val="start"/>
            </w:pPr>
            <w:r>
              <w:rPr>
                <w:rFonts w:cs="Arial"/>
                <w:color w:val="6B5780"/>
                <w:sz w:val="15"/>
                <w:szCs w:val="15"/>
                <w:rtl/>
              </w:rPr>
              <w:t xml:space="preserve">آب ستور وجوجل بلاي — ثنائية اللغة منذ اليوم الأول.</w:t>
            </w:r>
          </w:p>
          <w:p>
            <w:pPr>
              <w:spacing w:after="14" w:line="220" w:lineRule="auto"/>
              <w:ind w:left="96" w:hanging="96"/>
            </w:pPr>
            <w:r>
              <w:rPr>
                <w:color w:val="A796B5"/>
                <w:sz w:val="13"/>
                <w:szCs w:val="13"/>
              </w:rPr>
              <w:t xml:space="preserve">▪  </w:t>
            </w:r>
            <w:r>
              <w:rPr>
                <w:rFonts w:ascii="Aptos" w:hAnsi="Aptos"/>
                <w:color w:val="241D2A"/>
                <w:sz w:val="14"/>
                <w:szCs w:val="14"/>
              </w:rPr>
              <w:t xml:space="preserve">Referral at the clinic: the doctor introduces BADIRA at the first antenatal visit.</w:t>
            </w:r>
          </w:p>
          <w:p>
            <w:pPr>
              <w:bidi/>
              <w:spacing w:after="80" w:line="230" w:lineRule="auto"/>
              <w:jc w:val="start"/>
            </w:pPr>
            <w:r>
              <w:rPr>
                <w:rFonts w:cs="Arial"/>
                <w:color w:val="6B5780"/>
                <w:sz w:val="15"/>
                <w:szCs w:val="15"/>
                <w:rtl/>
              </w:rPr>
              <w:t xml:space="preserve">الإحالة من العيادة: تُعرّف الطبيبة المريضة على بادرة في أول زيارة.</w:t>
            </w:r>
          </w:p>
          <w:p>
            <w:pPr>
              <w:spacing w:after="14" w:line="220" w:lineRule="auto"/>
              <w:ind w:left="96" w:hanging="96"/>
            </w:pPr>
            <w:r>
              <w:rPr>
                <w:color w:val="A796B5"/>
                <w:sz w:val="13"/>
                <w:szCs w:val="13"/>
              </w:rPr>
              <w:t xml:space="preserve">▪  </w:t>
            </w:r>
            <w:r>
              <w:rPr>
                <w:rFonts w:ascii="Aptos" w:hAnsi="Aptos"/>
                <w:color w:val="241D2A"/>
                <w:sz w:val="14"/>
                <w:szCs w:val="14"/>
              </w:rPr>
              <w:t xml:space="preserve">Integration with Ministry of Health platforms (Sehhaty) and hospital records.</w:t>
            </w:r>
          </w:p>
          <w:p>
            <w:pPr>
              <w:bidi/>
              <w:spacing w:after="80" w:line="230" w:lineRule="auto"/>
              <w:jc w:val="start"/>
            </w:pPr>
            <w:r>
              <w:rPr>
                <w:rFonts w:cs="Arial"/>
                <w:color w:val="6B5780"/>
                <w:sz w:val="15"/>
                <w:szCs w:val="15"/>
                <w:rtl/>
              </w:rPr>
              <w:t xml:space="preserve">التكامل مع منصات وزارة الصحة (صحتي) وأنظمة المستشفيات.</w:t>
            </w:r>
          </w:p>
          <w:p>
            <w:pPr>
              <w:spacing w:after="14" w:line="220" w:lineRule="auto"/>
              <w:ind w:left="96" w:hanging="96"/>
            </w:pPr>
            <w:r>
              <w:rPr>
                <w:color w:val="A796B5"/>
                <w:sz w:val="13"/>
                <w:szCs w:val="13"/>
              </w:rPr>
              <w:t xml:space="preserve">▪  </w:t>
            </w:r>
            <w:r>
              <w:rPr>
                <w:rFonts w:ascii="Aptos" w:hAnsi="Aptos"/>
                <w:color w:val="241D2A"/>
                <w:sz w:val="14"/>
                <w:szCs w:val="14"/>
              </w:rPr>
              <w:t xml:space="preserve">Awareness campaigns with health influencers — necessary, because only about 27% of Saudi women know what preeclampsia is.</w:t>
            </w:r>
          </w:p>
          <w:p>
            <w:pPr>
              <w:bidi/>
              <w:spacing w:after="80" w:line="230" w:lineRule="auto"/>
              <w:jc w:val="start"/>
            </w:pPr>
            <w:r>
              <w:rPr>
                <w:rFonts w:cs="Arial"/>
                <w:color w:val="6B5780"/>
                <w:sz w:val="15"/>
                <w:szCs w:val="15"/>
                <w:rtl/>
              </w:rPr>
              <w:t xml:space="preserve">حملات توعية مع مؤثري الصحة — ضرورية لأن نحو 27% فقط من السعوديات يعرفن ما هو تسمم الحمل.</w:t>
            </w:r>
          </w:p>
        </w:tc>
        <w:tc>
          <w:tcPr>
            <w:tcW w:type="dxa" w:w="4300"/>
            <w:vMerge w:val="continue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EFE7EC" w:color="auto" w:val="clear"/>
          </w:tcPr>
          <w:p/>
        </w:tc>
      </w:tr>
      <w:tr>
        <w:trPr>
          <w:trHeight w:val="3250" w:hRule="atLeast"/>
        </w:trPr>
        <w:tc>
          <w:tcPr>
            <w:tcW w:type="dxa" w:w="8600"/>
            <w:gridSpan w:val="2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FBF1F1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70"/>
            </w:pPr>
            <w:r>
              <w:drawing>
                <wp:inline distT="0" distB="0" distL="0" distR="0">
                  <wp:extent cx="142875" cy="142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rPr>
                <w:rFonts w:ascii="Aptos" w:hAnsi="Aptos"/>
                <w:b/>
                <w:bCs/>
                <w:color w:val="A796B5"/>
                <w:sz w:val="17"/>
                <w:szCs w:val="17"/>
              </w:rPr>
              <w:t xml:space="preserve">9  </w:t>
            </w:r>
            <w:r>
              <w:rPr>
                <w:rFonts w:ascii="Aptos" w:hAnsi="Aptos"/>
                <w:b/>
                <w:bCs/>
                <w:color w:val="261E2D"/>
                <w:sz w:val="17"/>
                <w:szCs w:val="17"/>
              </w:rPr>
              <w:t xml:space="preserve">Cost Structure</w:t>
            </w:r>
            <w:r>
              <w:rPr>
                <w:b/>
                <w:bCs/>
                <w:color w:val="A796B5"/>
                <w:sz w:val="17"/>
                <w:szCs w:val="17"/>
              </w:rPr>
              <w:t xml:space="preserve">  —  </w:t>
            </w:r>
            <w:r>
              <w:rPr>
                <w:rFonts w:cs="Arial"/>
                <w:b/>
                <w:bCs/>
                <w:color w:val="3B2F45"/>
                <w:sz w:val="18"/>
                <w:szCs w:val="18"/>
                <w:rtl/>
              </w:rPr>
              <w:t xml:space="preserve">بنود الصرف</w:t>
            </w:r>
          </w:p>
          <w:p>
            <w:pPr>
              <w:spacing w:after="14" w:line="220" w:lineRule="auto"/>
              <w:ind w:left="96" w:hanging="96"/>
            </w:pPr>
            <w:r>
              <w:rPr>
                <w:color w:val="A796B5"/>
                <w:sz w:val="13"/>
                <w:szCs w:val="13"/>
              </w:rPr>
              <w:t xml:space="preserve">▪  </w:t>
            </w:r>
            <w:r>
              <w:rPr>
                <w:rFonts w:ascii="Aptos" w:hAnsi="Aptos"/>
                <w:color w:val="241D2A"/>
                <w:sz w:val="14"/>
                <w:szCs w:val="14"/>
              </w:rPr>
              <w:t xml:space="preserve">AI development and maintenance — the largest ongoing cost.</w:t>
            </w:r>
          </w:p>
          <w:p>
            <w:pPr>
              <w:bidi/>
              <w:spacing w:after="80" w:line="230" w:lineRule="auto"/>
              <w:jc w:val="start"/>
            </w:pPr>
            <w:r>
              <w:rPr>
                <w:rFonts w:cs="Arial"/>
                <w:color w:val="6B5780"/>
                <w:sz w:val="15"/>
                <w:szCs w:val="15"/>
                <w:rtl/>
              </w:rPr>
              <w:t xml:space="preserve">تطوير وصيانة الذكاء الاصطناعي — أكبر تكلفة مستمرة.</w:t>
            </w:r>
          </w:p>
          <w:p>
            <w:pPr>
              <w:spacing w:after="14" w:line="220" w:lineRule="auto"/>
              <w:ind w:left="96" w:hanging="96"/>
            </w:pPr>
            <w:r>
              <w:rPr>
                <w:color w:val="A796B5"/>
                <w:sz w:val="13"/>
                <w:szCs w:val="13"/>
              </w:rPr>
              <w:t xml:space="preserve">▪  </w:t>
            </w:r>
            <w:r>
              <w:rPr>
                <w:rFonts w:ascii="Aptos" w:hAnsi="Aptos"/>
                <w:color w:val="241D2A"/>
                <w:sz w:val="14"/>
                <w:szCs w:val="14"/>
              </w:rPr>
              <w:t xml:space="preserve">Data acquisition, secure hosting, and privacy and security compliance.</w:t>
            </w:r>
          </w:p>
          <w:p>
            <w:pPr>
              <w:bidi/>
              <w:spacing w:after="80" w:line="230" w:lineRule="auto"/>
              <w:jc w:val="start"/>
            </w:pPr>
            <w:r>
              <w:rPr>
                <w:rFonts w:cs="Arial"/>
                <w:color w:val="6B5780"/>
                <w:sz w:val="15"/>
                <w:szCs w:val="15"/>
                <w:rtl/>
              </w:rPr>
              <w:t xml:space="preserve">الحصول على البيانات، والاستضافة الآمنة، والامتثال للخصوصية والأمن.</w:t>
            </w:r>
          </w:p>
          <w:p>
            <w:pPr>
              <w:spacing w:after="14" w:line="220" w:lineRule="auto"/>
              <w:ind w:left="96" w:hanging="96"/>
            </w:pPr>
            <w:r>
              <w:rPr>
                <w:color w:val="A796B5"/>
                <w:sz w:val="13"/>
                <w:szCs w:val="13"/>
              </w:rPr>
              <w:t xml:space="preserve">▪  </w:t>
            </w:r>
            <w:r>
              <w:rPr>
                <w:rFonts w:ascii="Aptos" w:hAnsi="Aptos"/>
                <w:color w:val="241D2A"/>
                <w:sz w:val="14"/>
                <w:szCs w:val="14"/>
              </w:rPr>
              <w:t xml:space="preserve">Clinical advisory team and validation studies.</w:t>
            </w:r>
          </w:p>
          <w:p>
            <w:pPr>
              <w:bidi/>
              <w:spacing w:after="80" w:line="230" w:lineRule="auto"/>
              <w:jc w:val="start"/>
            </w:pPr>
            <w:r>
              <w:rPr>
                <w:rFonts w:cs="Arial"/>
                <w:color w:val="6B5780"/>
                <w:sz w:val="15"/>
                <w:szCs w:val="15"/>
                <w:rtl/>
              </w:rPr>
              <w:t xml:space="preserve">الفريق الطبي الاستشاري ودراسات التحقق.</w:t>
            </w:r>
          </w:p>
          <w:p>
            <w:pPr>
              <w:spacing w:after="14" w:line="220" w:lineRule="auto"/>
              <w:ind w:left="96" w:hanging="96"/>
            </w:pPr>
            <w:r>
              <w:rPr>
                <w:color w:val="A796B5"/>
                <w:sz w:val="13"/>
                <w:szCs w:val="13"/>
              </w:rPr>
              <w:t xml:space="preserve">▪  </w:t>
            </w:r>
            <w:r>
              <w:rPr>
                <w:rFonts w:ascii="Aptos" w:hAnsi="Aptos"/>
                <w:color w:val="241D2A"/>
                <w:sz w:val="14"/>
                <w:szCs w:val="14"/>
              </w:rPr>
              <w:t xml:space="preserve">SFDA regulatory submission and certification.</w:t>
            </w:r>
          </w:p>
          <w:p>
            <w:pPr>
              <w:bidi/>
              <w:spacing w:after="80" w:line="230" w:lineRule="auto"/>
              <w:jc w:val="start"/>
            </w:pPr>
            <w:r>
              <w:rPr>
                <w:rFonts w:cs="Arial"/>
                <w:color w:val="6B5780"/>
                <w:sz w:val="15"/>
                <w:szCs w:val="15"/>
                <w:rtl/>
              </w:rPr>
              <w:t xml:space="preserve">التقديم التنظيمي لهيئة الغذاء والدواء والحصول على الشهادة.</w:t>
            </w:r>
          </w:p>
          <w:p>
            <w:pPr>
              <w:spacing w:after="14" w:line="220" w:lineRule="auto"/>
              <w:ind w:left="96" w:hanging="96"/>
            </w:pPr>
            <w:r>
              <w:rPr>
                <w:color w:val="A796B5"/>
                <w:sz w:val="13"/>
                <w:szCs w:val="13"/>
              </w:rPr>
              <w:t xml:space="preserve">▪  </w:t>
            </w:r>
            <w:r>
              <w:rPr>
                <w:rFonts w:ascii="Aptos" w:hAnsi="Aptos"/>
                <w:color w:val="241D2A"/>
                <w:sz w:val="14"/>
                <w:szCs w:val="14"/>
              </w:rPr>
              <w:t xml:space="preserve">Marketing, clinic partnerships and onboarding.</w:t>
            </w:r>
          </w:p>
          <w:p>
            <w:pPr>
              <w:bidi/>
              <w:spacing w:after="80" w:line="230" w:lineRule="auto"/>
              <w:jc w:val="start"/>
            </w:pPr>
            <w:r>
              <w:rPr>
                <w:rFonts w:cs="Arial"/>
                <w:color w:val="6B5780"/>
                <w:sz w:val="15"/>
                <w:szCs w:val="15"/>
                <w:rtl/>
              </w:rPr>
              <w:t xml:space="preserve">التسويق وشراكات العيادات وتأهيلها.</w:t>
            </w:r>
          </w:p>
          <w:p>
            <w:pPr>
              <w:spacing w:after="14" w:line="220" w:lineRule="auto"/>
              <w:ind w:left="96" w:hanging="96"/>
            </w:pPr>
            <w:r>
              <w:rPr>
                <w:color w:val="A796B5"/>
                <w:sz w:val="13"/>
                <w:szCs w:val="13"/>
              </w:rPr>
              <w:t xml:space="preserve">▪  </w:t>
            </w:r>
            <w:r>
              <w:rPr>
                <w:rFonts w:ascii="Aptos" w:hAnsi="Aptos"/>
                <w:color w:val="241D2A"/>
                <w:sz w:val="14"/>
                <w:szCs w:val="14"/>
              </w:rPr>
              <w:t xml:space="preserve">Through Senior Project I these are carried by the university; they become real costs at commercialisation.</w:t>
            </w:r>
          </w:p>
          <w:p>
            <w:pPr>
              <w:bidi/>
              <w:spacing w:after="80" w:line="230" w:lineRule="auto"/>
              <w:jc w:val="start"/>
            </w:pPr>
            <w:r>
              <w:rPr>
                <w:rFonts w:cs="Arial"/>
                <w:color w:val="6B5780"/>
                <w:sz w:val="15"/>
                <w:szCs w:val="15"/>
                <w:rtl/>
              </w:rPr>
              <w:t xml:space="preserve">خلال مشروع التخرج الأول تتحملها الجامعة؛ وتصبح تكاليف فعلية عند التسويق التجاري.</w:t>
            </w:r>
          </w:p>
        </w:tc>
        <w:tc>
          <w:tcPr>
            <w:tcW w:type="dxa" w:w="13600"/>
            <w:gridSpan w:val="3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EFF5EE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70"/>
            </w:pPr>
            <w:r>
              <w:drawing>
                <wp:inline distT="0" distB="0" distL="0" distR="0">
                  <wp:extent cx="142875" cy="142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rPr>
                <w:rFonts w:ascii="Aptos" w:hAnsi="Aptos"/>
                <w:b/>
                <w:bCs/>
                <w:color w:val="A796B5"/>
                <w:sz w:val="17"/>
                <w:szCs w:val="17"/>
              </w:rPr>
              <w:t xml:space="preserve">8  </w:t>
            </w:r>
            <w:r>
              <w:rPr>
                <w:rFonts w:ascii="Aptos" w:hAnsi="Aptos"/>
                <w:b/>
                <w:bCs/>
                <w:color w:val="261E2D"/>
                <w:sz w:val="17"/>
                <w:szCs w:val="17"/>
              </w:rPr>
              <w:t xml:space="preserve">Revenue Streams</w:t>
            </w:r>
            <w:r>
              <w:rPr>
                <w:b/>
                <w:bCs/>
                <w:color w:val="A796B5"/>
                <w:sz w:val="17"/>
                <w:szCs w:val="17"/>
              </w:rPr>
              <w:t xml:space="preserve">  —  </w:t>
            </w:r>
            <w:r>
              <w:rPr>
                <w:rFonts w:cs="Arial"/>
                <w:b/>
                <w:bCs/>
                <w:color w:val="3B2F45"/>
                <w:sz w:val="18"/>
                <w:szCs w:val="18"/>
                <w:rtl/>
              </w:rPr>
              <w:t xml:space="preserve">مصادر الدخل</w:t>
            </w:r>
          </w:p>
          <w:p>
            <w:pPr>
              <w:spacing w:after="14" w:line="220" w:lineRule="auto"/>
              <w:ind w:left="96" w:hanging="96"/>
            </w:pPr>
            <w:r>
              <w:rPr>
                <w:color w:val="A796B5"/>
                <w:sz w:val="13"/>
                <w:szCs w:val="13"/>
              </w:rPr>
              <w:t xml:space="preserve">▪  </w:t>
            </w:r>
            <w:r>
              <w:rPr>
                <w:rFonts w:ascii="Aptos" w:hAnsi="Aptos"/>
                <w:color w:val="241D2A"/>
                <w:sz w:val="14"/>
                <w:szCs w:val="14"/>
              </w:rPr>
              <w:t xml:space="preserve">Clinic subscription (primary): an annual licence per clinic, or a per-patient screening fee.</w:t>
            </w:r>
          </w:p>
          <w:p>
            <w:pPr>
              <w:bidi/>
              <w:spacing w:after="80" w:line="230" w:lineRule="auto"/>
              <w:jc w:val="start"/>
            </w:pPr>
            <w:r>
              <w:rPr>
                <w:rFonts w:cs="Arial"/>
                <w:color w:val="6B5780"/>
                <w:sz w:val="15"/>
                <w:szCs w:val="15"/>
                <w:rtl/>
              </w:rPr>
              <w:t xml:space="preserve">اشتراك العيادات (الأساسي): ترخيص سنوي لكل عيادة، أو رسم فحص لكل مريضة.</w:t>
            </w:r>
          </w:p>
          <w:p>
            <w:pPr>
              <w:spacing w:after="14" w:line="220" w:lineRule="auto"/>
              <w:ind w:left="96" w:hanging="96"/>
            </w:pPr>
            <w:r>
              <w:rPr>
                <w:color w:val="A796B5"/>
                <w:sz w:val="13"/>
                <w:szCs w:val="13"/>
              </w:rPr>
              <w:t xml:space="preserve">▪  </w:t>
            </w:r>
            <w:r>
              <w:rPr>
                <w:rFonts w:ascii="Aptos" w:hAnsi="Aptos"/>
                <w:color w:val="241D2A"/>
                <w:sz w:val="14"/>
                <w:szCs w:val="14"/>
              </w:rPr>
              <w:t xml:space="preserve">Insurer partnerships, paid against prevented severe cases — one preeclampsia admission costs far more than screening a whole clinic.</w:t>
            </w:r>
          </w:p>
          <w:p>
            <w:pPr>
              <w:bidi/>
              <w:spacing w:after="80" w:line="230" w:lineRule="auto"/>
              <w:jc w:val="start"/>
            </w:pPr>
            <w:r>
              <w:rPr>
                <w:rFonts w:cs="Arial"/>
                <w:color w:val="6B5780"/>
                <w:sz w:val="15"/>
                <w:szCs w:val="15"/>
                <w:rtl/>
              </w:rPr>
              <w:t xml:space="preserve">شراكات التأمين مقابل الحالات الشديدة التي تم تفاديها — دخول حالة تسمم حمل واحدة أغلى من فحص عيادة كاملة.</w:t>
            </w:r>
          </w:p>
          <w:p>
            <w:pPr>
              <w:spacing w:after="14" w:line="220" w:lineRule="auto"/>
              <w:ind w:left="96" w:hanging="96"/>
            </w:pPr>
            <w:r>
              <w:rPr>
                <w:color w:val="A796B5"/>
                <w:sz w:val="13"/>
                <w:szCs w:val="13"/>
              </w:rPr>
              <w:t xml:space="preserve">▪  </w:t>
            </w:r>
            <w:r>
              <w:rPr>
                <w:rFonts w:ascii="Aptos" w:hAnsi="Aptos"/>
                <w:color w:val="241D2A"/>
                <w:sz w:val="14"/>
                <w:szCs w:val="14"/>
              </w:rPr>
              <w:t xml:space="preserve">Freemium for women: the core risk signal free; the full pregnancy timeline and doctor-ready reports paid.</w:t>
            </w:r>
          </w:p>
          <w:p>
            <w:pPr>
              <w:bidi/>
              <w:spacing w:after="80" w:line="230" w:lineRule="auto"/>
              <w:jc w:val="start"/>
            </w:pPr>
            <w:r>
              <w:rPr>
                <w:rFonts w:cs="Arial"/>
                <w:color w:val="6B5780"/>
                <w:sz w:val="15"/>
                <w:szCs w:val="15"/>
                <w:rtl/>
              </w:rPr>
              <w:t xml:space="preserve">نسخة مجانية للمرأة: إشارة الخطورة الأساسية مجانًا، والجدول الكامل والتقارير الطبية مدفوعة.</w:t>
            </w:r>
          </w:p>
          <w:p>
            <w:pPr>
              <w:spacing w:after="14" w:line="220" w:lineRule="auto"/>
              <w:ind w:left="96" w:hanging="96"/>
            </w:pPr>
            <w:r>
              <w:rPr>
                <w:color w:val="A796B5"/>
                <w:sz w:val="13"/>
                <w:szCs w:val="13"/>
              </w:rPr>
              <w:t xml:space="preserve">▪  </w:t>
            </w:r>
            <w:r>
              <w:rPr>
                <w:rFonts w:ascii="Aptos" w:hAnsi="Aptos"/>
                <w:color w:val="241D2A"/>
                <w:sz w:val="14"/>
                <w:szCs w:val="14"/>
              </w:rPr>
              <w:t xml:space="preserve">Grants: Ministry of Health digital-health funding, and research and innovation grants.</w:t>
            </w:r>
          </w:p>
          <w:p>
            <w:pPr>
              <w:bidi/>
              <w:spacing w:after="80" w:line="230" w:lineRule="auto"/>
              <w:jc w:val="start"/>
            </w:pPr>
            <w:r>
              <w:rPr>
                <w:rFonts w:cs="Arial"/>
                <w:color w:val="6B5780"/>
                <w:sz w:val="15"/>
                <w:szCs w:val="15"/>
                <w:rtl/>
              </w:rPr>
              <w:t xml:space="preserve">المنح: تمويل الصحة الرقمية من وزارة الصحة، ومنح البحث والابتكار.</w:t>
            </w:r>
          </w:p>
          <w:p>
            <w:pPr>
              <w:spacing w:after="14" w:line="220" w:lineRule="auto"/>
              <w:ind w:left="96" w:hanging="96"/>
            </w:pPr>
            <w:r>
              <w:rPr>
                <w:color w:val="A796B5"/>
                <w:sz w:val="13"/>
                <w:szCs w:val="13"/>
              </w:rPr>
              <w:t xml:space="preserve">▪  </w:t>
            </w:r>
            <w:r>
              <w:rPr>
                <w:rFonts w:ascii="Aptos" w:hAnsi="Aptos"/>
                <w:color w:val="241D2A"/>
                <w:sz w:val="14"/>
                <w:szCs w:val="14"/>
              </w:rPr>
              <w:t xml:space="preserve">Free during the pilot. Revenue begins only after clinical validation — we do not sell an unvalidated prediction.</w:t>
            </w:r>
          </w:p>
          <w:p>
            <w:pPr>
              <w:bidi/>
              <w:spacing w:after="80" w:line="230" w:lineRule="auto"/>
              <w:jc w:val="start"/>
            </w:pPr>
            <w:r>
              <w:rPr>
                <w:rFonts w:cs="Arial"/>
                <w:color w:val="6B5780"/>
                <w:sz w:val="15"/>
                <w:szCs w:val="15"/>
                <w:rtl/>
              </w:rPr>
              <w:t xml:space="preserve">مجانية خلال المرحلة التجريبية. لا يبدأ الدخل إلا بعد التحقق السريري — لا نبيع تنبؤًا غير مُتحقق منه.</w:t>
            </w:r>
          </w:p>
        </w:tc>
      </w:tr>
    </w:tbl>
    <w:p>
      <w:pPr>
        <w:spacing w:before="160"/>
        <w:jc w:val="center"/>
      </w:pPr>
      <w:r>
        <w:rPr>
          <w:rFonts w:ascii="Aptos" w:hAnsi="Aptos"/>
          <w:color w:val="A796B5"/>
          <w:sz w:val="13"/>
          <w:szCs w:val="13"/>
        </w:rPr>
        <w:t xml:space="preserve">Numbers show the order in which the canvas is filled: 1 Value Propositions → 2 Customer Segments → 3 Channels → 4 Customer Relationships → 5 Key Activities → 6 Key Resources → 7 Key Partners → 8 Revenue Streams → 9 Cost Structure.</w:t>
      </w:r>
    </w:p>
    <w:sectPr>
      <w:pgSz w:w="23811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rial" w:hAnsi="Aptos"/>
        <w:color w:val="241D2A"/>
        <w:sz w:val="14"/>
        <w:szCs w:val="1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2dcfbdb83ca0ea4675d4e74a2b9d50326ae527f.undefined"/><Relationship Id="rId8" Type="http://schemas.openxmlformats.org/officeDocument/2006/relationships/image" Target="media/386e068aaa740a53830d6e69427c47676bb0e5a6.undefined"/><Relationship Id="rId9" Type="http://schemas.openxmlformats.org/officeDocument/2006/relationships/image" Target="media/e091285a461e2ecad3c1cfc0682110400204c5ef.undefined"/><Relationship Id="rId10" Type="http://schemas.openxmlformats.org/officeDocument/2006/relationships/image" Target="media/dee04096ed114dacdae4e3b3ddb955932c97d757.undefined"/><Relationship Id="rId11" Type="http://schemas.openxmlformats.org/officeDocument/2006/relationships/image" Target="media/25cc80b350340ed16f91d5b9fdda2090f0bd22af.undefined"/><Relationship Id="rId12" Type="http://schemas.openxmlformats.org/officeDocument/2006/relationships/image" Target="media/80dc18e4b13cbc34cdec95a76791a4256b358037.undefined"/><Relationship Id="rId13" Type="http://schemas.openxmlformats.org/officeDocument/2006/relationships/image" Target="media/1a5bb9bd04bb4f8a7c7fac67ce928eb237d5bb03.undefined"/><Relationship Id="rId14" Type="http://schemas.openxmlformats.org/officeDocument/2006/relationships/image" Target="media/a9d6298e3977841b188c7cae1ee2f3a40efc25fc.undefined"/><Relationship Id="rId15" Type="http://schemas.openxmlformats.org/officeDocument/2006/relationships/image" Target="media/f165176ccc6c3b7a27c141e5af29d61b00008785.undefined"/><Relationship Id="rId16" Type="http://schemas.openxmlformats.org/officeDocument/2006/relationships/image" Target="media/2f31e076519760c768a79639bccec143b59ff92a.undefined"/><Relationship Id="rId17" Type="http://schemas.openxmlformats.org/officeDocument/2006/relationships/image" Target="media/3e7d21581501558bd6e3809b2a1dfc34a90c0c3a.undefined"/><Relationship Id="rId18" Type="http://schemas.openxmlformats.org/officeDocument/2006/relationships/image" Target="media/54635f5c5c8585d00c6997fd5cc6f1ecb84b3302.undefined"/><Relationship Id="rId19" Type="http://schemas.openxmlformats.org/officeDocument/2006/relationships/image" Target="media/aa3481271d0e237e0841c48979edbd5c80cd4ff9.undefined"/><Relationship Id="rId20" Type="http://schemas.openxmlformats.org/officeDocument/2006/relationships/image" Target="media/22c0e2cd09d3bd8bd9a6fca05a2975a7d9d4fcc3.undefined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2026-09-24T14:38:30.016Z</dcterms:created>
  <dcterms:modified xsi:type="dcterms:W3CDTF">2026-09-24T14:38:30.016Z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