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5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900"/>
        <w:gridCol w:w="11850"/>
        <w:gridCol w:w="1900"/>
      </w:tblGrid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742950" cy="295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8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4B3A5A"/>
                <w:spacing w:val="30"/>
                <w:sz w:val="28"/>
                <w:szCs w:val="28"/>
              </w:rPr>
              <w:t xml:space="preserve">BUSINESS MODEL CANVAS</w:t>
            </w:r>
            <w:r>
              <w:rPr>
                <w:b/>
                <w:bCs/>
                <w:color w:val="A091AC"/>
                <w:sz w:val="28"/>
                <w:szCs w:val="28"/>
              </w:rPr>
              <w:t xml:space="preserve">   ·   </w:t>
            </w:r>
            <w:r>
              <w:rPr>
                <w:b/>
                <w:bCs/>
                <w:color w:val="9E4F66"/>
                <w:spacing w:val="30"/>
                <w:sz w:val="28"/>
                <w:szCs w:val="28"/>
              </w:rPr>
              <w:t xml:space="preserve">BADIRA</w:t>
            </w:r>
          </w:p>
          <w:p>
            <w:pPr>
              <w:spacing w:after="150"/>
              <w:jc w:val="center"/>
            </w:pPr>
            <w:r>
              <w:rPr>
                <w:i/>
                <w:iCs/>
                <w:color w:val="4B3A5A"/>
                <w:sz w:val="15"/>
                <w:szCs w:val="15"/>
              </w:rPr>
              <w:t xml:space="preserve">A self-adaptive framework for predicting the risk of pregnancy complications</w:t>
            </w:r>
            <w:r>
              <w:rPr>
                <w:color w:val="6E6478"/>
                <w:sz w:val="14"/>
                <w:szCs w:val="14"/>
              </w:rPr>
              <w:t xml:space="preserve">   ·   Dana Al Mounayer &amp; Jwdee Alimam   ·   Effat University   ·   StartSmart Challenge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tbl>
      <w:tblPr>
        <w:tblW w:type="dxa" w:w="15650"/>
        <w:tblBorders>
          <w:top w:val="single" w:color="FFFFFF" w:sz="8"/>
          <w:left w:val="single" w:color="FFFFFF" w:sz="8"/>
          <w:bottom w:val="single" w:color="FFFFFF" w:sz="8"/>
          <w:right w:val="single" w:color="FFFFFF" w:sz="8"/>
          <w:insideH w:val="single" w:color="FFFFFF" w:sz="8"/>
          <w:insideV w:val="single" w:color="FFFFFF" w:sz="8"/>
        </w:tblBorders>
      </w:tblPr>
      <w:tblGrid>
        <w:gridCol w:w="3020"/>
        <w:gridCol w:w="3020"/>
        <w:gridCol w:w="3500"/>
        <w:gridCol w:w="3020"/>
        <w:gridCol w:w="3090"/>
      </w:tblGrid>
      <w:tr>
        <w:trPr>
          <w:trHeight w:val="3600" w:hRule="atLeast"/>
        </w:trPr>
        <w:tc>
          <w:tcPr>
            <w:tcW w:type="dxa" w:w="3020"/>
            <w:vMerge w:val="restart"/>
            <w:tcBorders>
              <w:top w:val="single" w:color="FFFFFF" w:sz="8"/>
              <w:left w:val="single" w:color="3E6B58" w:sz="26"/>
              <w:bottom w:val="single" w:color="FFFFFF" w:sz="8"/>
              <w:right w:val="single" w:color="FFFFFF" w:sz="8"/>
            </w:tcBorders>
            <w:shd w:fill="EDF3F0" w:color="auto" w:val="clear"/>
            <w:tcMar>
              <w:top w:type="dxa" w:w="150"/>
              <w:left w:type="dxa" w:w="170"/>
              <w:bottom w:type="dxa" w:w="150"/>
              <w:right w:type="dxa" w:w="160"/>
            </w:tcMar>
          </w:tcPr>
          <w:p>
            <w:pPr>
              <w:spacing w:after="11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bCs/>
                <w:color w:val="96B7A8"/>
                <w:sz w:val="20"/>
                <w:szCs w:val="20"/>
              </w:rPr>
              <w:t xml:space="preserve">7   </w:t>
            </w:r>
            <w:r>
              <w:rPr>
                <w:b/>
                <w:bCs/>
                <w:color w:val="3E6B58"/>
                <w:spacing w:val="8"/>
                <w:sz w:val="17"/>
                <w:szCs w:val="17"/>
              </w:rPr>
              <w:t xml:space="preserve">KEY PARTNERS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Hospitals: International Medical Center, Dr. Soliman Fakeeh Hospital and United Doctors Hospital — pilot sites and validation data.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Effat University — supervision, research infrastructure and lab access.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Ministry of Health and the Vision 2030 digital-health programmes — reach and integration.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Data holders: the NICHD DASH repository and the RAHMA study team.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SFDA — the regulatory pathway. StartSmart Universities Challenge — funding, mentorship and visibility.</w:t>
            </w:r>
          </w:p>
          <w:p>
            <w:pPr>
              <w:spacing w:before="150"/>
              <w:jc w:val="left"/>
            </w:pPr>
            <w:r>
              <w:drawing>
                <wp:inline distT="0" distB="0" distL="0" distR="0">
                  <wp:extent cx="4191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</w:rPr>
              <w:t xml:space="preserve"> </w:t>
            </w:r>
            <w:r>
              <w:drawing>
                <wp:inline distT="0" distB="0" distL="0" distR="0">
                  <wp:extent cx="4476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</w:rPr>
              <w:t xml:space="preserve"> </w:t>
            </w:r>
            <w:r>
              <w:drawing>
                <wp:inline distT="0" distB="0" distL="0" distR="0">
                  <wp:extent cx="3524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</w:rPr>
              <w:t xml:space="preserve"> </w:t>
            </w: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0"/>
            <w:tcBorders>
              <w:top w:val="single" w:color="FFFFFF" w:sz="8"/>
              <w:left w:val="single" w:color="3E6B58" w:sz="26"/>
              <w:bottom w:val="single" w:color="FFFFFF" w:sz="8"/>
              <w:right w:val="single" w:color="FFFFFF" w:sz="8"/>
            </w:tcBorders>
            <w:shd w:fill="EDF3F0" w:color="auto" w:val="clear"/>
            <w:tcMar>
              <w:top w:type="dxa" w:w="150"/>
              <w:left w:type="dxa" w:w="170"/>
              <w:bottom w:type="dxa" w:w="150"/>
              <w:right w:type="dxa" w:w="160"/>
            </w:tcMar>
          </w:tcPr>
          <w:p>
            <w:pPr>
              <w:spacing w:after="11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bCs/>
                <w:color w:val="96B7A8"/>
                <w:sz w:val="20"/>
                <w:szCs w:val="20"/>
              </w:rPr>
              <w:t xml:space="preserve">5   </w:t>
            </w:r>
            <w:r>
              <w:rPr>
                <w:b/>
                <w:bCs/>
                <w:color w:val="3E6B58"/>
                <w:spacing w:val="8"/>
                <w:sz w:val="17"/>
                <w:szCs w:val="17"/>
              </w:rPr>
              <w:t xml:space="preserve">KEY ACTIVITIES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Build and maintain the self-adaptive framework: Woman Schema, Data Profiler, model-selection policy.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Obtain and govern clinical data — data use agreements, ethics approval, secure handling.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Clinical validation with partner hospitals, reporting detection rates together with their false-positive rates.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Regulatory work: the SFDA Software as a Medical Device pathway, and PDPL compliance.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Bilingual product design, clinic onboarding and training.</w:t>
            </w:r>
          </w:p>
        </w:tc>
        <w:tc>
          <w:tcPr>
            <w:tcW w:type="dxa" w:w="3500"/>
            <w:vMerge w:val="restart"/>
            <w:tcBorders>
              <w:top w:val="single" w:color="FFFFFF" w:sz="8"/>
              <w:left w:val="single" w:color="4B3A5A" w:sz="26"/>
              <w:bottom w:val="single" w:color="FFFFFF" w:sz="8"/>
              <w:right w:val="single" w:color="FFFFFF" w:sz="8"/>
            </w:tcBorders>
            <w:shd w:fill="EFE9F2" w:color="auto" w:val="clear"/>
            <w:tcMar>
              <w:top w:type="dxa" w:w="150"/>
              <w:left w:type="dxa" w:w="170"/>
              <w:bottom w:type="dxa" w:w="150"/>
              <w:right w:type="dxa" w:w="160"/>
            </w:tcMar>
          </w:tcPr>
          <w:p>
            <w:pPr>
              <w:spacing w:after="11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bCs/>
                <w:color w:val="A091AC"/>
                <w:sz w:val="20"/>
                <w:szCs w:val="20"/>
              </w:rPr>
              <w:t xml:space="preserve">1   </w:t>
            </w:r>
            <w:r>
              <w:rPr>
                <w:b/>
                <w:bCs/>
                <w:color w:val="4B3A5A"/>
                <w:spacing w:val="8"/>
                <w:sz w:val="17"/>
                <w:szCs w:val="17"/>
              </w:rPr>
              <w:t xml:space="preserve">VALUE PROPOSITIONS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A091AC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Know your risk early, in your own language. BADIRA returns three signals together and never a bare number.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A091AC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Honest about uncertainty. When the data is not enough, BADIRA says so and asks for more instead of guessing.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A091AC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A bridge to the doctor, not a replacement. It produces a summary the woman can share at her next visit.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A091AC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For clinics: a triage layer that flags high-risk pregnancies inside the 11–14 week window, while prevention still works.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A091AC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What no competitor has: BADIRA adapts to the data. It profiles the dataset first and then chooses the model — so it works on Saudi data, not only on data borrowed from abroad.</w:t>
            </w:r>
          </w:p>
          <w:p>
            <w:pPr>
              <w:spacing w:after="60" w:before="60"/>
            </w:pPr>
            <w:r>
              <w:rPr>
                <w:b/>
                <w:bCs/>
                <w:color w:val="A091AC"/>
                <w:spacing w:val="16"/>
                <w:sz w:val="13"/>
                <w:szCs w:val="13"/>
              </w:rPr>
              <w:t xml:space="preserve">EVERY RESULT CARRIES THREE THINGS TOGETHER</w:t>
            </w:r>
          </w:p>
          <w:p>
            <w:pPr>
              <w:shd w:fill="FFFFFF" w:color="auto" w:val="clear"/>
              <w:spacing w:after="30" w:line="210" w:lineRule="auto"/>
              <w:ind w:left="120" w:right="100"/>
            </w:pPr>
            <w:r>
              <w:rPr>
                <w:b/>
                <w:bCs/>
                <w:color w:val="4B3A5A"/>
                <w:sz w:val="15"/>
                <w:szCs w:val="15"/>
              </w:rPr>
              <w:t xml:space="preserve">  Risk</w:t>
            </w:r>
            <w:r>
              <w:rPr>
                <w:color w:val="2B2530"/>
                <w:sz w:val="14"/>
                <w:szCs w:val="14"/>
              </w:rPr>
              <w:t xml:space="preserve">  —  how high it is  </w:t>
            </w:r>
          </w:p>
          <w:p>
            <w:pPr>
              <w:shd w:fill="FFFFFF" w:color="auto" w:val="clear"/>
              <w:spacing w:after="30" w:line="210" w:lineRule="auto"/>
              <w:ind w:left="120" w:right="100"/>
            </w:pPr>
            <w:r>
              <w:rPr>
                <w:b/>
                <w:bCs/>
                <w:color w:val="4B3A5A"/>
                <w:sz w:val="15"/>
                <w:szCs w:val="15"/>
              </w:rPr>
              <w:t xml:space="preserve">  Reliability</w:t>
            </w:r>
            <w:r>
              <w:rPr>
                <w:color w:val="2B2530"/>
                <w:sz w:val="14"/>
                <w:szCs w:val="14"/>
              </w:rPr>
              <w:t xml:space="preserve">  —  how sure we are  </w:t>
            </w:r>
          </w:p>
          <w:p>
            <w:pPr>
              <w:shd w:fill="FFFFFF" w:color="auto" w:val="clear"/>
              <w:spacing w:after="30" w:line="210" w:lineRule="auto"/>
              <w:ind w:left="120" w:right="100"/>
            </w:pPr>
            <w:r>
              <w:rPr>
                <w:b/>
                <w:bCs/>
                <w:color w:val="4B3A5A"/>
                <w:sz w:val="15"/>
                <w:szCs w:val="15"/>
              </w:rPr>
              <w:t xml:space="preserve">  Time</w:t>
            </w:r>
            <w:r>
              <w:rPr>
                <w:color w:val="2B2530"/>
                <w:sz w:val="14"/>
                <w:szCs w:val="14"/>
              </w:rPr>
              <w:t xml:space="preserve">  —  by when it matters  </w:t>
            </w:r>
          </w:p>
          <w:p>
            <w:pPr>
              <w:spacing w:before="190"/>
              <w:jc w:val="center"/>
            </w:pPr>
            <w:r>
              <w:rPr>
                <w:b/>
                <w:bCs/>
                <w:i/>
                <w:iCs/>
                <w:color w:val="4B3A5A"/>
                <w:sz w:val="19"/>
                <w:szCs w:val="19"/>
              </w:rPr>
              <w:t xml:space="preserve">“Know early. Act in time.”</w:t>
            </w:r>
          </w:p>
        </w:tc>
        <w:tc>
          <w:tcPr>
            <w:tcW w:type="dxa" w:w="3020"/>
            <w:tcBorders>
              <w:top w:val="single" w:color="FFFFFF" w:sz="8"/>
              <w:left w:val="single" w:color="9E4F66" w:sz="26"/>
              <w:bottom w:val="single" w:color="FFFFFF" w:sz="8"/>
              <w:right w:val="single" w:color="FFFFFF" w:sz="8"/>
            </w:tcBorders>
            <w:shd w:fill="FBEFF2" w:color="auto" w:val="clear"/>
            <w:tcMar>
              <w:top w:type="dxa" w:w="150"/>
              <w:left w:type="dxa" w:w="170"/>
              <w:bottom w:type="dxa" w:w="150"/>
              <w:right w:type="dxa" w:w="160"/>
            </w:tcMar>
          </w:tcPr>
          <w:p>
            <w:pPr>
              <w:spacing w:after="11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bCs/>
                <w:color w:val="CFA3AF"/>
                <w:sz w:val="20"/>
                <w:szCs w:val="20"/>
              </w:rPr>
              <w:t xml:space="preserve">4   </w:t>
            </w:r>
            <w:r>
              <w:rPr>
                <w:b/>
                <w:bCs/>
                <w:color w:val="9E4F66"/>
                <w:spacing w:val="8"/>
                <w:sz w:val="17"/>
                <w:szCs w:val="17"/>
              </w:rPr>
              <w:t xml:space="preserve">CUSTOMER RELATIONSHIPS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Get: free for the woman and introduced by her own clinic — no cost barrier at the moment she needs it.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Keep: a companion for the whole pregnancy, not a one-off test. The risk is recalculated as new information arrives.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Grow: the summary she brings to her doctor turns every user into a route into a new clinic.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Trust is the retention strategy: every prediction carries a confidence score, and BADIRA never claims a diagnosis.</w:t>
            </w:r>
          </w:p>
        </w:tc>
        <w:tc>
          <w:tcPr>
            <w:tcW w:type="dxa" w:w="3090"/>
            <w:vMerge w:val="restart"/>
            <w:tcBorders>
              <w:top w:val="single" w:color="FFFFFF" w:sz="8"/>
              <w:left w:val="single" w:color="9E4F66" w:sz="26"/>
              <w:bottom w:val="single" w:color="FFFFFF" w:sz="8"/>
              <w:right w:val="single" w:color="FFFFFF" w:sz="8"/>
            </w:tcBorders>
            <w:shd w:fill="FBEFF2" w:color="auto" w:val="clear"/>
            <w:tcMar>
              <w:top w:type="dxa" w:w="150"/>
              <w:left w:type="dxa" w:w="170"/>
              <w:bottom w:type="dxa" w:w="150"/>
              <w:right w:type="dxa" w:w="160"/>
            </w:tcMar>
          </w:tcPr>
          <w:p>
            <w:pPr>
              <w:spacing w:after="11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bCs/>
                <w:color w:val="CFA3AF"/>
                <w:sz w:val="20"/>
                <w:szCs w:val="20"/>
              </w:rPr>
              <w:t xml:space="preserve">2   </w:t>
            </w:r>
            <w:r>
              <w:rPr>
                <w:b/>
                <w:bCs/>
                <w:color w:val="9E4F66"/>
                <w:spacing w:val="8"/>
                <w:sz w:val="17"/>
                <w:szCs w:val="17"/>
              </w:rPr>
              <w:t xml:space="preserve">CUSTOMER SEGMENTS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User: pregnant women in Saudi Arabia and the Arab world — first pregnancy, known risk factors, or far from specialist care.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Paying customer: private clinics, maternity hospitals and antenatal units.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Institutional: health insurers, and Ministry of Health digital-health programmes under Vision 2030.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A multi-sided market: the woman uses BADIRA, the clinic pays for it, the insurer benefits from it.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Entry focus: private maternity clinics in Jeddah and Riyadh first, then Ministry of Health primary-care centres.</w:t>
            </w:r>
          </w:p>
        </w:tc>
      </w:tr>
      <w:tr>
        <w:trPr>
          <w:trHeight w:val="2900" w:hRule="atLeast"/>
        </w:trPr>
        <w:tc>
          <w:tcPr>
            <w:tcW w:type="dxa" w:w="3020"/>
            <w:vMerge w:val="continue"/>
            <w:tcBorders>
              <w:top w:val="single" w:color="FFFFFF" w:sz="8"/>
              <w:left w:val="single" w:color="3E6B58" w:sz="26"/>
              <w:bottom w:val="single" w:color="FFFFFF" w:sz="8"/>
              <w:right w:val="single" w:color="FFFFFF" w:sz="8"/>
            </w:tcBorders>
            <w:shd w:fill="EDF3F0" w:color="auto" w:val="clear"/>
          </w:tcPr>
          <w:p/>
        </w:tc>
        <w:tc>
          <w:tcPr>
            <w:tcW w:type="dxa" w:w="3020"/>
            <w:tcBorders>
              <w:top w:val="single" w:color="FFFFFF" w:sz="8"/>
              <w:left w:val="single" w:color="3E6B58" w:sz="26"/>
              <w:bottom w:val="single" w:color="FFFFFF" w:sz="8"/>
              <w:right w:val="single" w:color="FFFFFF" w:sz="8"/>
            </w:tcBorders>
            <w:shd w:fill="F5F9F7" w:color="auto" w:val="clear"/>
            <w:tcMar>
              <w:top w:type="dxa" w:w="150"/>
              <w:left w:type="dxa" w:w="170"/>
              <w:bottom w:type="dxa" w:w="150"/>
              <w:right w:type="dxa" w:w="160"/>
            </w:tcMar>
          </w:tcPr>
          <w:p>
            <w:pPr>
              <w:spacing w:after="11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bCs/>
                <w:color w:val="96B7A8"/>
                <w:sz w:val="20"/>
                <w:szCs w:val="20"/>
              </w:rPr>
              <w:t xml:space="preserve">6   </w:t>
            </w:r>
            <w:r>
              <w:rPr>
                <w:b/>
                <w:bCs/>
                <w:color w:val="3E6B58"/>
                <w:spacing w:val="8"/>
                <w:sz w:val="17"/>
                <w:szCs w:val="17"/>
              </w:rPr>
              <w:t xml:space="preserve">KEY RESOURCES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Data — the hardest asset to obtain and the real moat: the NICHD DASH cohorts (HRA, LRA, nuMoM2b) and Saudi data (RAHMA).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The framework itself: the Woman Schema and the Data Profiler are the intellectual property.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People: the founding team, Dr. Naila Marir (academic supervisor) and Dr. Rania (clinical collaborator).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Secure cloud infrastructure that complies with the Personal Data Protection Law.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96B7A8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An Arabic-first health brand that women trust.</w:t>
            </w:r>
          </w:p>
        </w:tc>
        <w:tc>
          <w:tcPr>
            <w:tcW w:type="dxa" w:w="3500"/>
            <w:vMerge w:val="continue"/>
            <w:tcBorders>
              <w:top w:val="single" w:color="FFFFFF" w:sz="8"/>
              <w:left w:val="single" w:color="4B3A5A" w:sz="26"/>
              <w:bottom w:val="single" w:color="FFFFFF" w:sz="8"/>
              <w:right w:val="single" w:color="FFFFFF" w:sz="8"/>
            </w:tcBorders>
            <w:shd w:fill="EFE9F2" w:color="auto" w:val="clear"/>
          </w:tcPr>
          <w:p/>
        </w:tc>
        <w:tc>
          <w:tcPr>
            <w:tcW w:type="dxa" w:w="3020"/>
            <w:tcBorders>
              <w:top w:val="single" w:color="FFFFFF" w:sz="8"/>
              <w:left w:val="single" w:color="9E4F66" w:sz="26"/>
              <w:bottom w:val="single" w:color="FFFFFF" w:sz="8"/>
              <w:right w:val="single" w:color="FFFFFF" w:sz="8"/>
            </w:tcBorders>
            <w:shd w:fill="FDF7F8" w:color="auto" w:val="clear"/>
            <w:tcMar>
              <w:top w:type="dxa" w:w="150"/>
              <w:left w:type="dxa" w:w="170"/>
              <w:bottom w:type="dxa" w:w="150"/>
              <w:right w:type="dxa" w:w="160"/>
            </w:tcMar>
          </w:tcPr>
          <w:p>
            <w:pPr>
              <w:spacing w:after="11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bCs/>
                <w:color w:val="CFA3AF"/>
                <w:sz w:val="20"/>
                <w:szCs w:val="20"/>
              </w:rPr>
              <w:t xml:space="preserve">3   </w:t>
            </w:r>
            <w:r>
              <w:rPr>
                <w:b/>
                <w:bCs/>
                <w:color w:val="9E4F66"/>
                <w:spacing w:val="8"/>
                <w:sz w:val="17"/>
                <w:szCs w:val="17"/>
              </w:rPr>
              <w:t xml:space="preserve">CHANNELS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App Store and Google Play — bilingual Arabic/English from day one.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Referral at the clinic: the doctor introduces BADIRA at the first antenatal visit.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Integration with Ministry of Health platforms (Sehhaty) and hospital records.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3AF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Awareness campaigns with health influencers — necessary, because only about 27% of Saudi women know what preeclampsia is.</w:t>
            </w:r>
          </w:p>
        </w:tc>
        <w:tc>
          <w:tcPr>
            <w:tcW w:type="dxa" w:w="3090"/>
            <w:vMerge w:val="continue"/>
            <w:tcBorders>
              <w:top w:val="single" w:color="FFFFFF" w:sz="8"/>
              <w:left w:val="single" w:color="9E4F66" w:sz="26"/>
              <w:bottom w:val="single" w:color="FFFFFF" w:sz="8"/>
              <w:right w:val="single" w:color="FFFFFF" w:sz="8"/>
            </w:tcBorders>
            <w:shd w:fill="FBEFF2" w:color="auto" w:val="clear"/>
          </w:tcPr>
          <w:p/>
        </w:tc>
      </w:tr>
      <w:tr>
        <w:trPr>
          <w:trHeight w:val="2150" w:hRule="atLeast"/>
        </w:trPr>
        <w:tc>
          <w:tcPr>
            <w:tcW w:type="dxa" w:w="6040"/>
            <w:gridSpan w:val="2"/>
            <w:tcBorders>
              <w:top w:val="single" w:color="FFFFFF" w:sz="8"/>
              <w:left w:val="single" w:color="A2564A" w:sz="26"/>
              <w:bottom w:val="single" w:color="FFFFFF" w:sz="8"/>
              <w:right w:val="single" w:color="FFFFFF" w:sz="8"/>
            </w:tcBorders>
            <w:shd w:fill="FBF1EE" w:color="auto" w:val="clear"/>
            <w:tcMar>
              <w:top w:type="dxa" w:w="150"/>
              <w:left w:type="dxa" w:w="170"/>
              <w:bottom w:type="dxa" w:w="150"/>
              <w:right w:type="dxa" w:w="160"/>
            </w:tcMar>
          </w:tcPr>
          <w:p>
            <w:pPr>
              <w:spacing w:after="11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bCs/>
                <w:color w:val="CFA49B"/>
                <w:sz w:val="20"/>
                <w:szCs w:val="20"/>
              </w:rPr>
              <w:t xml:space="preserve">9   </w:t>
            </w:r>
            <w:r>
              <w:rPr>
                <w:b/>
                <w:bCs/>
                <w:color w:val="A2564A"/>
                <w:spacing w:val="8"/>
                <w:sz w:val="17"/>
                <w:szCs w:val="17"/>
              </w:rPr>
              <w:t xml:space="preserve">COST STRUCTURE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49B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AI development and maintenance — the largest ongoing cost.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49B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Data acquisition, secure hosting, and privacy and security compliance.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49B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Clinical advisory team and validation studies.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49B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SFDA regulatory submission and certification.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49B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Marketing, clinic partnerships and onboarding.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CFA49B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Through Senior Project I these are carried by the university; they become real costs at commercialisation.</w:t>
            </w:r>
          </w:p>
        </w:tc>
        <w:tc>
          <w:tcPr>
            <w:tcW w:type="dxa" w:w="9610"/>
            <w:gridSpan w:val="3"/>
            <w:tcBorders>
              <w:top w:val="single" w:color="FFFFFF" w:sz="8"/>
              <w:left w:val="single" w:color="4C7A46" w:sz="26"/>
              <w:bottom w:val="single" w:color="FFFFFF" w:sz="8"/>
              <w:right w:val="single" w:color="FFFFFF" w:sz="8"/>
            </w:tcBorders>
            <w:shd w:fill="F1F6EF" w:color="auto" w:val="clear"/>
            <w:tcMar>
              <w:top w:type="dxa" w:w="150"/>
              <w:left w:type="dxa" w:w="170"/>
              <w:bottom w:type="dxa" w:w="150"/>
              <w:right w:type="dxa" w:w="160"/>
            </w:tcMar>
          </w:tcPr>
          <w:p>
            <w:pPr>
              <w:spacing w:after="11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bCs/>
                <w:color w:val="A2BD9D"/>
                <w:sz w:val="20"/>
                <w:szCs w:val="20"/>
              </w:rPr>
              <w:t xml:space="preserve">8   </w:t>
            </w:r>
            <w:r>
              <w:rPr>
                <w:b/>
                <w:bCs/>
                <w:color w:val="4C7A46"/>
                <w:spacing w:val="8"/>
                <w:sz w:val="17"/>
                <w:szCs w:val="17"/>
              </w:rPr>
              <w:t xml:space="preserve">REVENUE STREAMS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A2BD9D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Clinic subscription (primary): an annual licence per clinic, or a per-patient screening fee.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A2BD9D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Insurer partnerships, paid against prevented severe cases — one preeclampsia admission costs far more than screening a whole clinic.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A2BD9D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Freemium for women: the core risk signal free; the full pregnancy timeline and doctor-ready reports paid.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A2BD9D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Grants: Ministry of Health digital-health funding, and research and innovation grants.</w:t>
            </w:r>
          </w:p>
          <w:p>
            <w:pPr>
              <w:spacing w:after="78" w:line="215" w:lineRule="auto"/>
              <w:ind w:left="130" w:hanging="130"/>
            </w:pPr>
            <w:r>
              <w:rPr>
                <w:color w:val="A2BD9D"/>
                <w:sz w:val="14"/>
                <w:szCs w:val="14"/>
              </w:rPr>
              <w:t xml:space="preserve">▪  </w:t>
            </w:r>
            <w:r>
              <w:rPr>
                <w:color w:val="2B2530"/>
                <w:sz w:val="14"/>
                <w:szCs w:val="14"/>
              </w:rPr>
              <w:t xml:space="preserve">Free during the pilot. Revenue begins only after clinical validation — we do not sell an unvalidated prediction.</w:t>
            </w:r>
          </w:p>
        </w:tc>
      </w:tr>
    </w:tbl>
    <w:p>
      <w:pPr>
        <w:spacing w:before="120"/>
        <w:jc w:val="center"/>
      </w:pPr>
      <w:r>
        <w:rPr>
          <w:color w:val="6E6478"/>
          <w:sz w:val="13"/>
          <w:szCs w:val="13"/>
        </w:rPr>
        <w:t xml:space="preserve">Filled in the canvas order:  1 Value Propositions  →  2 Customer Segments  →  3 Channels  →  4 Customer Relationships  →  5 Key Activities  →  6 Key Resources  →  7 Key Partners  →  8 Revenue Streams  →  9 Cost Structure</w:t>
      </w:r>
    </w:p>
    <w:sectPr>
      <w:pgSz w:w="16838" w:h="11906" w:orient="portrait"/>
      <w:pgMar w:top="400" w:right="430" w:bottom="300" w:left="4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hAnsi="Aptos"/>
        <w:color w:val="2B2530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dcfbdb83ca0ea4675d4e74a2b9d50326ae527f.undefined"/><Relationship Id="rId8" Type="http://schemas.openxmlformats.org/officeDocument/2006/relationships/image" Target="media/38c3c5edb084839e27957015674d16820dddbe11.undefined"/><Relationship Id="rId9" Type="http://schemas.openxmlformats.org/officeDocument/2006/relationships/image" Target="media/e091285a461e2ecad3c1cfc0682110400204c5ef.undefined"/><Relationship Id="rId10" Type="http://schemas.openxmlformats.org/officeDocument/2006/relationships/image" Target="media/dee04096ed114dacdae4e3b3ddb955932c97d757.undefined"/><Relationship Id="rId11" Type="http://schemas.openxmlformats.org/officeDocument/2006/relationships/image" Target="media/25cc80b350340ed16f91d5b9fdda2090f0bd22af.undefined"/><Relationship Id="rId12" Type="http://schemas.openxmlformats.org/officeDocument/2006/relationships/image" Target="media/80dc18e4b13cbc34cdec95a76791a4256b358037.undefined"/><Relationship Id="rId13" Type="http://schemas.openxmlformats.org/officeDocument/2006/relationships/image" Target="media/db39cfd051a866991fd564ec0130cdfdd012b443.undefined"/><Relationship Id="rId14" Type="http://schemas.openxmlformats.org/officeDocument/2006/relationships/image" Target="media/d3e94c8b2885c493f9cdb90009b70dd952752d4d.undefined"/><Relationship Id="rId15" Type="http://schemas.openxmlformats.org/officeDocument/2006/relationships/image" Target="media/baf6194ad979beb6587f1d7e02fca7d61f4c3500.undefined"/><Relationship Id="rId16" Type="http://schemas.openxmlformats.org/officeDocument/2006/relationships/image" Target="media/e705dff79f23c8f26e0578359d0139b287f7cddd.undefined"/><Relationship Id="rId17" Type="http://schemas.openxmlformats.org/officeDocument/2006/relationships/image" Target="media/b9c779950eee4f5e7d0270d0ee356f8497731e65.undefined"/><Relationship Id="rId18" Type="http://schemas.openxmlformats.org/officeDocument/2006/relationships/image" Target="media/8d6532a8d400b11797ea122b8fff127c6803af3e.undefined"/><Relationship Id="rId19" Type="http://schemas.openxmlformats.org/officeDocument/2006/relationships/image" Target="media/0b1b59f61ff865a64fd2803cf2738b19faaf0c5e.undefined"/><Relationship Id="rId20" Type="http://schemas.openxmlformats.org/officeDocument/2006/relationships/image" Target="media/fb8f7fdf34dcbb42071feceb5e4eff8cc958cc29.undefined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2026-09-24T14:53:31.976Z</dcterms:created>
  <dcterms:modified xsi:type="dcterms:W3CDTF">2026-09-24T14:53:31.976Z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