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B6BA4" w14:textId="122D8490" w:rsidR="00E82FC3" w:rsidRDefault="00000000">
      <w:pPr>
        <w:spacing w:before="1400" w:after="70"/>
      </w:pPr>
      <w:r>
        <w:rPr>
          <w:b/>
          <w:bCs/>
          <w:color w:val="3B2F45"/>
          <w:sz w:val="19"/>
          <w:szCs w:val="19"/>
        </w:rPr>
        <w:t>SENIOR PROJECT I · PROJECT PROPOSAL</w:t>
      </w:r>
    </w:p>
    <w:p w14:paraId="048D3B7D" w14:textId="77777777" w:rsidR="00E82FC3" w:rsidRDefault="00000000">
      <w:pPr>
        <w:spacing w:after="90"/>
      </w:pPr>
      <w:r>
        <w:rPr>
          <w:b/>
          <w:bCs/>
          <w:color w:val="261E2D"/>
          <w:sz w:val="54"/>
          <w:szCs w:val="54"/>
        </w:rPr>
        <w:t xml:space="preserve">BADIRA | بادرة</w:t>
      </w:r>
    </w:p>
    <w:p w14:paraId="392FD3C5" w14:textId="77777777" w:rsidR="00E82FC3" w:rsidRDefault="00000000">
      <w:pPr>
        <w:spacing w:after="70"/>
      </w:pPr>
      <w:r>
        <w:rPr>
          <w:color w:val="3B2F45"/>
          <w:sz w:val="27"/>
          <w:szCs w:val="27"/>
        </w:rPr>
        <w:t>Profile-Guided Trustworthy Survival Intelligence for Women’s Health</w:t>
      </w:r>
    </w:p>
    <w:p w14:paraId="7ADC1098" w14:textId="77777777" w:rsidR="00E82FC3" w:rsidRDefault="00000000">
      <w:pPr>
        <w:spacing w:after="320"/>
      </w:pPr>
      <w:r>
        <w:rPr>
          <w:i/>
          <w:iCs/>
          <w:color w:val="5E5566"/>
          <w:sz w:val="22"/>
          <w:szCs w:val="22"/>
        </w:rPr>
        <w:t>A self-adaptive framework for predicting the risk of pregnancy complications</w:t>
      </w:r>
    </w:p>
    <w:p w14:paraId="677583DD" w14:textId="77777777" w:rsidR="00E82FC3" w:rsidRDefault="00E82FC3">
      <w:pPr>
        <w:pBdr>
          <w:bottom w:val="single" w:sz="6" w:space="0" w:color="D8D0D6"/>
        </w:pBdr>
        <w:spacing w:before="60" w:after="180"/>
      </w:pPr>
    </w:p>
    <w:tbl>
      <w:tblPr>
        <w:tblW w:w="900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2300"/>
        <w:gridCol w:w="6700"/>
      </w:tblGrid>
      <w:tr w:rsidR="00E82FC3" w14:paraId="17889F92" w14:textId="77777777">
        <w:tblPrEx>
          <w:tblCellMar>
            <w:top w:w="0" w:type="dxa"/>
            <w:bottom w:w="0" w:type="dxa"/>
          </w:tblCellMar>
        </w:tblPrEx>
        <w:tc>
          <w:tcPr>
            <w:tcW w:w="2300" w:type="dxa"/>
            <w:tcMar>
              <w:top w:w="80" w:type="dxa"/>
              <w:left w:w="110" w:type="dxa"/>
              <w:bottom w:w="80" w:type="dxa"/>
              <w:right w:w="110" w:type="dxa"/>
            </w:tcMar>
          </w:tcPr>
          <w:p w14:paraId="22509DD0" w14:textId="77777777" w:rsidR="00E82FC3" w:rsidRDefault="00000000">
            <w:pPr>
              <w:spacing w:line="250" w:lineRule="auto"/>
            </w:pPr>
            <w:r>
              <w:rPr>
                <w:b/>
                <w:bCs/>
                <w:sz w:val="18"/>
                <w:szCs w:val="18"/>
              </w:rPr>
              <w:t>Students</w:t>
            </w:r>
          </w:p>
        </w:tc>
        <w:tc>
          <w:tcPr>
            <w:tcW w:w="6700" w:type="dxa"/>
            <w:tcMar>
              <w:top w:w="80" w:type="dxa"/>
              <w:left w:w="110" w:type="dxa"/>
              <w:bottom w:w="80" w:type="dxa"/>
              <w:right w:w="110" w:type="dxa"/>
            </w:tcMar>
          </w:tcPr>
          <w:p w14:paraId="09C2F6F4" w14:textId="544D08E9" w:rsidR="00E82FC3" w:rsidRDefault="00000000">
            <w:pPr>
              <w:spacing w:line="250" w:lineRule="auto"/>
            </w:pPr>
            <w:r>
              <w:rPr>
                <w:sz w:val="18"/>
                <w:szCs w:val="18"/>
              </w:rPr>
              <w:t xml:space="preserve">Dana Al Mounayer · Jwdee Alimam</w:t>
            </w:r>
          </w:p>
        </w:tc>
      </w:tr>
      <w:tr w:rsidR="00E82FC3" w14:paraId="21172F5F" w14:textId="77777777">
        <w:tblPrEx>
          <w:tblCellMar>
            <w:top w:w="0" w:type="dxa"/>
            <w:bottom w:w="0" w:type="dxa"/>
          </w:tblCellMar>
        </w:tblPrEx>
        <w:tc>
          <w:tcPr>
            <w:tcW w:w="2300" w:type="dxa"/>
            <w:shd w:val="clear" w:color="auto" w:fill="FAF8F9"/>
            <w:tcMar>
              <w:top w:w="80" w:type="dxa"/>
              <w:left w:w="110" w:type="dxa"/>
              <w:bottom w:w="80" w:type="dxa"/>
              <w:right w:w="110" w:type="dxa"/>
            </w:tcMar>
          </w:tcPr>
          <w:p w14:paraId="6F5E6EF7" w14:textId="77777777" w:rsidR="00E82FC3" w:rsidRDefault="00000000">
            <w:pPr>
              <w:spacing w:line="250" w:lineRule="auto"/>
            </w:pPr>
            <w:r>
              <w:rPr>
                <w:b/>
                <w:bCs/>
                <w:sz w:val="18"/>
                <w:szCs w:val="18"/>
              </w:rPr>
              <w:t>Supervisor</w:t>
            </w:r>
          </w:p>
        </w:tc>
        <w:tc>
          <w:tcPr>
            <w:tcW w:w="6700" w:type="dxa"/>
            <w:shd w:val="clear" w:color="auto" w:fill="FAF8F9"/>
            <w:tcMar>
              <w:top w:w="80" w:type="dxa"/>
              <w:left w:w="110" w:type="dxa"/>
              <w:bottom w:w="80" w:type="dxa"/>
              <w:right w:w="110" w:type="dxa"/>
            </w:tcMar>
          </w:tcPr>
          <w:p w14:paraId="14D3EC26" w14:textId="77777777" w:rsidR="00E82FC3" w:rsidRDefault="00000000">
            <w:pPr>
              <w:spacing w:line="250" w:lineRule="auto"/>
            </w:pPr>
            <w:r>
              <w:rPr>
                <w:sz w:val="18"/>
                <w:szCs w:val="18"/>
              </w:rPr>
              <w:t xml:space="preserve">Dr. Naila Marir — College of Engineering, Effat University</w:t>
            </w:r>
          </w:p>
        </w:tc>
      </w:tr>
      <w:tr w:rsidR="00E82FC3" w14:paraId="48040820" w14:textId="77777777">
        <w:tblPrEx>
          <w:tblCellMar>
            <w:top w:w="0" w:type="dxa"/>
            <w:bottom w:w="0" w:type="dxa"/>
          </w:tblCellMar>
        </w:tblPrEx>
        <w:tc>
          <w:tcPr>
            <w:tcW w:w="2300" w:type="dxa"/>
            <w:tcMar>
              <w:top w:w="80" w:type="dxa"/>
              <w:left w:w="110" w:type="dxa"/>
              <w:bottom w:w="80" w:type="dxa"/>
              <w:right w:w="110" w:type="dxa"/>
            </w:tcMar>
          </w:tcPr>
          <w:p w14:paraId="11810085" w14:textId="77777777" w:rsidR="00E82FC3" w:rsidRDefault="00000000">
            <w:pPr>
              <w:spacing w:line="250" w:lineRule="auto"/>
            </w:pPr>
            <w:r>
              <w:rPr>
                <w:b/>
                <w:bCs/>
                <w:sz w:val="18"/>
                <w:szCs w:val="18"/>
              </w:rPr>
              <w:t>Clinical collaborator</w:t>
            </w:r>
          </w:p>
        </w:tc>
        <w:tc>
          <w:tcPr>
            <w:tcW w:w="6700" w:type="dxa"/>
            <w:tcMar>
              <w:top w:w="80" w:type="dxa"/>
              <w:left w:w="110" w:type="dxa"/>
              <w:bottom w:w="80" w:type="dxa"/>
              <w:right w:w="110" w:type="dxa"/>
            </w:tcMar>
          </w:tcPr>
          <w:p w14:paraId="1CFD99DA" w14:textId="77777777" w:rsidR="00E82FC3" w:rsidRDefault="00000000">
            <w:pPr>
              <w:spacing w:line="250" w:lineRule="auto"/>
            </w:pPr>
            <w:r>
              <w:rPr>
                <w:sz w:val="18"/>
                <w:szCs w:val="18"/>
              </w:rPr>
              <w:t>Dr. Rania</w:t>
            </w:r>
          </w:p>
        </w:tc>
      </w:tr>
      <w:tr w:rsidR="00E82FC3" w14:paraId="3FC4E551" w14:textId="77777777">
        <w:tblPrEx>
          <w:tblCellMar>
            <w:top w:w="0" w:type="dxa"/>
            <w:bottom w:w="0" w:type="dxa"/>
          </w:tblCellMar>
        </w:tblPrEx>
        <w:tc>
          <w:tcPr>
            <w:tcW w:w="2300" w:type="dxa"/>
            <w:shd w:val="clear" w:color="auto" w:fill="FAF8F9"/>
            <w:tcMar>
              <w:top w:w="80" w:type="dxa"/>
              <w:left w:w="110" w:type="dxa"/>
              <w:bottom w:w="80" w:type="dxa"/>
              <w:right w:w="110" w:type="dxa"/>
            </w:tcMar>
          </w:tcPr>
          <w:p w14:paraId="5DB89BD9" w14:textId="021592EA" w:rsidR="00E82FC3" w:rsidRDefault="008C2EC1">
            <w:pPr>
              <w:spacing w:line="250" w:lineRule="auto"/>
            </w:pPr>
            <w:r>
              <w:rPr>
                <w:b/>
                <w:bCs/>
                <w:sz w:val="18"/>
                <w:szCs w:val="18"/>
              </w:rPr>
              <w:t>Programme</w:t>
            </w:r>
          </w:p>
        </w:tc>
        <w:tc>
          <w:tcPr>
            <w:tcW w:w="6700" w:type="dxa"/>
            <w:shd w:val="clear" w:color="auto" w:fill="FAF8F9"/>
            <w:tcMar>
              <w:top w:w="80" w:type="dxa"/>
              <w:left w:w="110" w:type="dxa"/>
              <w:bottom w:w="80" w:type="dxa"/>
              <w:right w:w="110" w:type="dxa"/>
            </w:tcMar>
          </w:tcPr>
          <w:p w14:paraId="0E3FC713" w14:textId="77777777" w:rsidR="00E82FC3" w:rsidRDefault="00000000">
            <w:pPr>
              <w:spacing w:line="250" w:lineRule="auto"/>
            </w:pPr>
            <w:r>
              <w:rPr>
                <w:sz w:val="18"/>
                <w:szCs w:val="18"/>
              </w:rPr>
              <w:t xml:space="preserve">Senior Project I. The project is also entered in the StartSmart Universities Challenge, where it has qualified for the final round.</w:t>
            </w:r>
          </w:p>
        </w:tc>
      </w:tr>
      <w:tr w:rsidR="00E82FC3" w14:paraId="53AE7E49" w14:textId="77777777">
        <w:tblPrEx>
          <w:tblCellMar>
            <w:top w:w="0" w:type="dxa"/>
            <w:bottom w:w="0" w:type="dxa"/>
          </w:tblCellMar>
        </w:tblPrEx>
        <w:tc>
          <w:tcPr>
            <w:tcW w:w="2300" w:type="dxa"/>
            <w:tcMar>
              <w:top w:w="80" w:type="dxa"/>
              <w:left w:w="110" w:type="dxa"/>
              <w:bottom w:w="80" w:type="dxa"/>
              <w:right w:w="110" w:type="dxa"/>
            </w:tcMar>
          </w:tcPr>
          <w:p w14:paraId="7F9E1DDA" w14:textId="77777777" w:rsidR="00E82FC3" w:rsidRDefault="00000000">
            <w:pPr>
              <w:spacing w:line="250" w:lineRule="auto"/>
            </w:pPr>
            <w:r>
              <w:rPr>
                <w:b/>
                <w:bCs/>
                <w:sz w:val="18"/>
                <w:szCs w:val="18"/>
              </w:rPr>
              <w:t>Clinical tasks</w:t>
            </w:r>
          </w:p>
        </w:tc>
        <w:tc>
          <w:tcPr>
            <w:tcW w:w="6700" w:type="dxa"/>
            <w:tcMar>
              <w:top w:w="80" w:type="dxa"/>
              <w:left w:w="110" w:type="dxa"/>
              <w:bottom w:w="80" w:type="dxa"/>
              <w:right w:w="110" w:type="dxa"/>
            </w:tcMar>
          </w:tcPr>
          <w:p w14:paraId="6FEC34B2" w14:textId="77777777" w:rsidR="00E82FC3" w:rsidRDefault="00000000">
            <w:pPr>
              <w:spacing w:line="250" w:lineRule="auto"/>
            </w:pPr>
            <w:r>
              <w:rPr>
                <w:sz w:val="18"/>
                <w:szCs w:val="18"/>
              </w:rPr>
              <w:t>Preeclampsia (first), then preterm birth, then gestational diabetes</w:t>
            </w:r>
          </w:p>
        </w:tc>
      </w:tr>
      <w:tr w:rsidR="00E82FC3" w14:paraId="6516378A" w14:textId="77777777">
        <w:tblPrEx>
          <w:tblCellMar>
            <w:top w:w="0" w:type="dxa"/>
            <w:bottom w:w="0" w:type="dxa"/>
          </w:tblCellMar>
        </w:tblPrEx>
        <w:tc>
          <w:tcPr>
            <w:tcW w:w="2300" w:type="dxa"/>
            <w:shd w:val="clear" w:color="auto" w:fill="FAF8F9"/>
            <w:tcMar>
              <w:top w:w="80" w:type="dxa"/>
              <w:left w:w="110" w:type="dxa"/>
              <w:bottom w:w="80" w:type="dxa"/>
              <w:right w:w="110" w:type="dxa"/>
            </w:tcMar>
          </w:tcPr>
          <w:p w14:paraId="682F8677" w14:textId="77777777" w:rsidR="00E82FC3" w:rsidRDefault="00000000">
            <w:pPr>
              <w:spacing w:line="250" w:lineRule="auto"/>
            </w:pPr>
            <w:r>
              <w:rPr>
                <w:b/>
                <w:bCs/>
                <w:sz w:val="18"/>
                <w:szCs w:val="18"/>
              </w:rPr>
              <w:t>Date</w:t>
            </w:r>
          </w:p>
        </w:tc>
        <w:tc>
          <w:tcPr>
            <w:tcW w:w="6700" w:type="dxa"/>
            <w:shd w:val="clear" w:color="auto" w:fill="FAF8F9"/>
            <w:tcMar>
              <w:top w:w="80" w:type="dxa"/>
              <w:left w:w="110" w:type="dxa"/>
              <w:bottom w:w="80" w:type="dxa"/>
              <w:right w:w="110" w:type="dxa"/>
            </w:tcMar>
          </w:tcPr>
          <w:p w14:paraId="02467C2B" w14:textId="77777777" w:rsidR="00E82FC3" w:rsidRDefault="00000000">
            <w:pPr>
              <w:spacing w:line="250" w:lineRule="auto"/>
            </w:pPr>
            <w:r>
              <w:rPr>
                <w:sz w:val="18"/>
                <w:szCs w:val="18"/>
              </w:rPr>
              <w:t>24 September 2026</w:t>
            </w:r>
          </w:p>
        </w:tc>
      </w:tr>
    </w:tbl>
    <w:p w14:paraId="205D92A3" w14:textId="77777777" w:rsidR="00E82FC3" w:rsidRDefault="00000000">
      <w:r>
        <w:br w:type="page"/>
      </w:r>
    </w:p>
    <w:p w14:paraId="40CF381A" w14:textId="77777777" w:rsidR="00E82FC3" w:rsidRDefault="00000000">
      <w:pPr>
        <w:pStyle w:val="Heading1"/>
        <w:spacing w:before="360" w:after="150"/>
      </w:pPr>
      <w:r>
        <w:rPr>
          <w:b/>
          <w:bCs/>
          <w:color w:val="261E2D"/>
          <w:sz w:val="28"/>
          <w:szCs w:val="28"/>
        </w:rPr>
        <w:lastRenderedPageBreak/>
        <w:t>1. Executive Summary</w:t>
      </w:r>
    </w:p>
    <w:p w14:paraId="68A822D2" w14:textId="77777777" w:rsidR="00E82FC3" w:rsidRDefault="00000000">
      <w:pPr>
        <w:spacing w:after="130" w:line="280" w:lineRule="auto"/>
      </w:pPr>
      <w:r>
        <w:t>BADIRA is a self-adaptive framework for predicting the risk of pregnancy complications. Its central claim is not that it predicts one condition well, but that it can determine, from the measured characteristics of whatever data is available, which model and configuration that data actually supports — and then say how far the resulting prediction should be trusted.</w:t>
      </w:r>
    </w:p>
    <w:p w14:paraId="154CC947" w14:textId="7691EF6C" w:rsidR="00E82FC3" w:rsidRDefault="00000000">
      <w:pPr>
        <w:spacing w:after="130" w:line="280" w:lineRule="auto"/>
      </w:pPr>
      <w:r>
        <w:t xml:space="preserve">The framework proceeds in a defined sequence. A standardized Woman Schema organizes what is known about each woman. Data is collected against that schema. A Data Profiler then measures the training data along six dimensions — imbalance, missingness mechanism, distribution shift, temporal structure, scale, and sensitivity to perturbation. BADIRA combines the schema and the profile to select the model and prediction settings. The selected model predicts risk over time and returns three outputs together: the risk, a confidence score, and an explanation of why the prediction should be trusted.</w:t>
      </w:r>
    </w:p>
    <w:p w14:paraId="3DD26D5A" w14:textId="77777777" w:rsidR="00E82FC3" w:rsidRDefault="00000000">
      <w:pPr>
        <w:pBdr>
          <w:left w:val="single" w:sz="14" w:space="0" w:color="3B2F45"/>
        </w:pBdr>
        <w:shd w:val="clear" w:color="auto" w:fill="E1EBE0"/>
        <w:spacing w:before="140" w:after="160" w:line="290" w:lineRule="auto"/>
        <w:ind w:left="280" w:right="280"/>
      </w:pPr>
      <w:r>
        <w:rPr>
          <w:b/>
          <w:bCs/>
          <w:color w:val="261E2D"/>
        </w:rPr>
        <w:t>The framework will be tested first on preeclampsia, then extended to preterm birth and gestational diabetes. Testing across three different clinical tasks is not scope expansion — it is the evaluation of whether the framework is genuinely adaptive.</w:t>
      </w:r>
    </w:p>
    <w:p w14:paraId="4CB9F740" w14:textId="77777777" w:rsidR="00E82FC3" w:rsidRDefault="00000000">
      <w:pPr>
        <w:spacing w:after="130" w:line="280" w:lineRule="auto"/>
      </w:pPr>
      <w:r>
        <w:t>This proposal sets out the problem the framework addresses, its architecture, the clinical grounding for the first task, the data strategy, the work plan, and the criteria by which the project should be judged.</w:t>
      </w:r>
    </w:p>
    <w:p w14:paraId="154F3F20" w14:textId="77777777" w:rsidR="00E82FC3" w:rsidRDefault="00000000">
      <w:pPr>
        <w:pStyle w:val="Heading1"/>
        <w:spacing w:before="360" w:after="150"/>
      </w:pPr>
      <w:r>
        <w:rPr>
          <w:b/>
          <w:bCs/>
          <w:color w:val="261E2D"/>
          <w:sz w:val="28"/>
          <w:szCs w:val="28"/>
        </w:rPr>
        <w:t>2. Project Background</w:t>
      </w:r>
    </w:p>
    <w:p w14:paraId="1C355F2E" w14:textId="77777777" w:rsidR="00E82FC3" w:rsidRDefault="00000000">
      <w:pPr>
        <w:pStyle w:val="Heading2"/>
        <w:spacing w:before="260" w:after="110"/>
      </w:pPr>
      <w:r>
        <w:rPr>
          <w:b/>
          <w:bCs/>
          <w:color w:val="3B2F45"/>
          <w:sz w:val="23"/>
          <w:szCs w:val="23"/>
        </w:rPr>
        <w:t>2.1 The prediction problem in pregnancy</w:t>
      </w:r>
    </w:p>
    <w:p w14:paraId="46913629" w14:textId="77777777" w:rsidR="00E82FC3" w:rsidRDefault="00000000">
      <w:pPr>
        <w:spacing w:after="130" w:line="280" w:lineRule="auto"/>
      </w:pPr>
      <w:r>
        <w:t>Pregnancy complications such as preeclampsia, preterm birth and gestational diabetes share a structure that makes them difficult to model. Each is relatively rare, producing severe class imbalance. Each is recorded across pregnancy rather than at a single moment, so the data has a temporal structure that a static model discards. Each is defined by clinical criteria that have changed over time and differ between guidelines, so the outcome label itself is not a fixed quantity. And each is recorded in datasets collected from different populations, under different protocols, with different patterns of missing information.</w:t>
      </w:r>
    </w:p>
    <w:p w14:paraId="4BD7A38D" w14:textId="77777777" w:rsidR="00E82FC3" w:rsidRDefault="00000000">
      <w:pPr>
        <w:spacing w:after="130" w:line="280" w:lineRule="auto"/>
      </w:pPr>
      <w:r>
        <w:t>A prediction model built without accounting for these properties will report a figure that does not survive contact with a different dataset. This is a widely observed failure in clinical machine learning, and it is the problem BADIRA is designed to address.</w:t>
      </w:r>
    </w:p>
    <w:p w14:paraId="2AAA3E34" w14:textId="77777777" w:rsidR="00E82FC3" w:rsidRDefault="00000000">
      <w:pPr>
        <w:pStyle w:val="Heading2"/>
        <w:spacing w:before="260" w:after="110"/>
      </w:pPr>
      <w:r>
        <w:rPr>
          <w:b/>
          <w:bCs/>
          <w:color w:val="3B2F45"/>
          <w:sz w:val="23"/>
          <w:szCs w:val="23"/>
        </w:rPr>
        <w:t>2.2 The research gap</w:t>
      </w:r>
    </w:p>
    <w:p w14:paraId="60210C88" w14:textId="77777777" w:rsidR="00E82FC3" w:rsidRDefault="00000000">
      <w:pPr>
        <w:spacing w:after="130" w:line="280" w:lineRule="auto"/>
      </w:pPr>
      <w:r>
        <w:t>Conventional practice fixes a model architecture and then hopes the available data suits it. When it does not — when the positive class is too rare, when missingness is not random, when the training population differs from the deployment population — the consequences appear as degraded performance that is difficult to attribute and easy to overlook.</w:t>
      </w:r>
    </w:p>
    <w:p w14:paraId="6EEAADB9" w14:textId="77777777" w:rsidR="00E82FC3" w:rsidRDefault="00000000">
      <w:pPr>
        <w:pBdr>
          <w:left w:val="single" w:sz="14" w:space="0" w:color="3B2F45"/>
        </w:pBdr>
        <w:shd w:val="clear" w:color="auto" w:fill="E1EBE0"/>
        <w:spacing w:before="140" w:after="160" w:line="290" w:lineRule="auto"/>
        <w:ind w:left="280" w:right="280"/>
      </w:pPr>
      <w:r>
        <w:rPr>
          <w:b/>
          <w:bCs/>
          <w:color w:val="261E2D"/>
        </w:rPr>
        <w:t>BADIRA inverts that order. The data is profiled first, and the measured characteristics of the data determine which model and which settings are selected. This is the sense in which the framework is self-adaptive, and it is the reason a single framework can serve three different clinical prediction tasks.</w:t>
      </w:r>
    </w:p>
    <w:p w14:paraId="3C1776C3" w14:textId="77777777" w:rsidR="00E82FC3" w:rsidRDefault="00000000">
      <w:pPr>
        <w:spacing w:after="130" w:line="280" w:lineRule="auto"/>
      </w:pPr>
      <w:r>
        <w:t>The framework treats data quality not as a preprocessing step to be completed and forgotten, but as a first-class input to the modelling decision — and as evidence that can be reported alongside the prediction.</w:t>
      </w:r>
    </w:p>
    <w:p w14:paraId="6B33E7AF" w14:textId="3BFE1D01" w:rsidR="00E82FC3" w:rsidRDefault="00000000">
      <w:pPr>
        <w:pStyle w:val="Heading2"/>
        <w:spacing w:before="260" w:after="110"/>
      </w:pPr>
      <w:r>
        <w:rPr>
          <w:b/>
          <w:bCs/>
          <w:color w:val="3B2F45"/>
          <w:sz w:val="23"/>
          <w:szCs w:val="23"/>
        </w:rPr>
        <w:lastRenderedPageBreak/>
        <w:t xml:space="preserve">2.3 Why this problem is worth working on</w:t>
      </w:r>
    </w:p>
    <w:p w14:paraId="4CD6C708" w14:textId="77777777" w:rsidR="006D408C" w:rsidRDefault="006D408C" w:rsidP="006D408C">
      <w:pPr>
        <w:spacing w:after="130" w:line="280" w:lineRule="auto"/>
      </w:pPr>
      <w:r>
        <w:t>Four figures explain the motivation. Each is stated below with what it actually means.</w:t>
      </w:r>
    </w:p>
    <w:tbl>
      <w:tblPr>
        <w:tblW w:w="900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2200"/>
        <w:gridCol w:w="6800"/>
      </w:tblGrid>
      <w:tr w:rsidR="006D408C" w14:paraId="44890526" w14:textId="77777777" w:rsidTr="00FE78DB">
        <w:tblPrEx>
          <w:tblCellMar>
            <w:top w:w="0" w:type="dxa"/>
            <w:bottom w:w="0" w:type="dxa"/>
          </w:tblCellMar>
        </w:tblPrEx>
        <w:trPr>
          <w:tblHeader/>
        </w:trPr>
        <w:tc>
          <w:tcPr>
            <w:tcW w:w="2200" w:type="dxa"/>
            <w:shd w:val="clear" w:color="auto" w:fill="EFE7EC"/>
            <w:tcMar>
              <w:top w:w="80" w:type="dxa"/>
              <w:left w:w="110" w:type="dxa"/>
              <w:bottom w:w="80" w:type="dxa"/>
              <w:right w:w="110" w:type="dxa"/>
            </w:tcMar>
          </w:tcPr>
          <w:p w14:paraId="669E520C" w14:textId="77777777" w:rsidR="006D408C" w:rsidRDefault="006D408C" w:rsidP="00FE78DB">
            <w:pPr>
              <w:spacing w:line="250" w:lineRule="auto"/>
            </w:pPr>
            <w:r>
              <w:rPr>
                <w:b/>
                <w:bCs/>
                <w:color w:val="261E2D"/>
                <w:sz w:val="18"/>
                <w:szCs w:val="18"/>
              </w:rPr>
              <w:t>The number</w:t>
            </w:r>
          </w:p>
        </w:tc>
        <w:tc>
          <w:tcPr>
            <w:tcW w:w="6800" w:type="dxa"/>
            <w:shd w:val="clear" w:color="auto" w:fill="EFE7EC"/>
            <w:tcMar>
              <w:top w:w="80" w:type="dxa"/>
              <w:left w:w="110" w:type="dxa"/>
              <w:bottom w:w="80" w:type="dxa"/>
              <w:right w:w="110" w:type="dxa"/>
            </w:tcMar>
          </w:tcPr>
          <w:p w14:paraId="62BE95E3" w14:textId="77777777" w:rsidR="006D408C" w:rsidRDefault="006D408C" w:rsidP="00FE78DB">
            <w:pPr>
              <w:spacing w:line="250" w:lineRule="auto"/>
            </w:pPr>
            <w:r>
              <w:rPr>
                <w:b/>
                <w:bCs/>
                <w:color w:val="261E2D"/>
                <w:sz w:val="18"/>
                <w:szCs w:val="18"/>
              </w:rPr>
              <w:t>What it means in practice</w:t>
            </w:r>
          </w:p>
        </w:tc>
      </w:tr>
      <w:tr w:rsidR="006D408C" w14:paraId="4AD997F0" w14:textId="77777777" w:rsidTr="00FE78DB">
        <w:tblPrEx>
          <w:tblCellMar>
            <w:top w:w="0" w:type="dxa"/>
            <w:bottom w:w="0" w:type="dxa"/>
          </w:tblCellMar>
        </w:tblPrEx>
        <w:tc>
          <w:tcPr>
            <w:tcW w:w="2200" w:type="dxa"/>
            <w:tcMar>
              <w:top w:w="80" w:type="dxa"/>
              <w:left w:w="110" w:type="dxa"/>
              <w:bottom w:w="80" w:type="dxa"/>
              <w:right w:w="110" w:type="dxa"/>
            </w:tcMar>
          </w:tcPr>
          <w:p w14:paraId="57975AEB" w14:textId="77777777" w:rsidR="006D408C" w:rsidRDefault="006D408C" w:rsidP="00FE78DB">
            <w:pPr>
              <w:spacing w:line="250" w:lineRule="auto"/>
            </w:pPr>
            <w:r>
              <w:rPr>
                <w:b/>
                <w:bCs/>
                <w:sz w:val="18"/>
                <w:szCs w:val="18"/>
              </w:rPr>
              <w:t>16%</w:t>
            </w:r>
          </w:p>
        </w:tc>
        <w:tc>
          <w:tcPr>
            <w:tcW w:w="6800" w:type="dxa"/>
            <w:tcMar>
              <w:top w:w="80" w:type="dxa"/>
              <w:left w:w="110" w:type="dxa"/>
              <w:bottom w:w="80" w:type="dxa"/>
              <w:right w:w="110" w:type="dxa"/>
            </w:tcMar>
          </w:tcPr>
          <w:p w14:paraId="6487DA96" w14:textId="68DCD00C" w:rsidR="006D408C" w:rsidRDefault="006D408C" w:rsidP="00FE78DB">
            <w:pPr>
              <w:spacing w:line="250" w:lineRule="auto"/>
            </w:pPr>
            <w:r>
              <w:rPr>
                <w:sz w:val="18"/>
                <w:szCs w:val="18"/>
              </w:rPr>
              <w:t xml:space="preserve">16% of all maternal deaths worldwide are caused by high blood pressure disorders in pregnancy. That was roughly 42,000 women in 2023, making it the second most common cause of maternal death in the world.</w:t>
            </w:r>
          </w:p>
        </w:tc>
      </w:tr>
      <w:tr w:rsidR="006D408C" w14:paraId="787BE2E8" w14:textId="77777777" w:rsidTr="00FE78DB">
        <w:tblPrEx>
          <w:tblCellMar>
            <w:top w:w="0" w:type="dxa"/>
            <w:bottom w:w="0" w:type="dxa"/>
          </w:tblCellMar>
        </w:tblPrEx>
        <w:tc>
          <w:tcPr>
            <w:tcW w:w="2200" w:type="dxa"/>
            <w:shd w:val="clear" w:color="auto" w:fill="FAF8F9"/>
            <w:tcMar>
              <w:top w:w="80" w:type="dxa"/>
              <w:left w:w="110" w:type="dxa"/>
              <w:bottom w:w="80" w:type="dxa"/>
              <w:right w:w="110" w:type="dxa"/>
            </w:tcMar>
          </w:tcPr>
          <w:p w14:paraId="18A6BE29" w14:textId="77777777" w:rsidR="006D408C" w:rsidRDefault="006D408C" w:rsidP="00FE78DB">
            <w:pPr>
              <w:spacing w:line="250" w:lineRule="auto"/>
            </w:pPr>
            <w:r>
              <w:rPr>
                <w:b/>
                <w:bCs/>
                <w:sz w:val="18"/>
                <w:szCs w:val="18"/>
              </w:rPr>
              <w:t>4.80%</w:t>
            </w:r>
          </w:p>
        </w:tc>
        <w:tc>
          <w:tcPr>
            <w:tcW w:w="6800" w:type="dxa"/>
            <w:shd w:val="clear" w:color="auto" w:fill="FAF8F9"/>
            <w:tcMar>
              <w:top w:w="80" w:type="dxa"/>
              <w:left w:w="110" w:type="dxa"/>
              <w:bottom w:w="80" w:type="dxa"/>
              <w:right w:w="110" w:type="dxa"/>
            </w:tcMar>
          </w:tcPr>
          <w:p w14:paraId="4FD9FAEB" w14:textId="40C3A23F" w:rsidR="006D408C" w:rsidRDefault="006D408C" w:rsidP="00FE78DB">
            <w:pPr>
              <w:spacing w:line="250" w:lineRule="auto"/>
            </w:pPr>
            <w:r>
              <w:rPr>
                <w:sz w:val="18"/>
                <w:szCs w:val="18"/>
              </w:rPr>
              <w:t>Under five per cent of pregnancies in Saudi Arabia develop preeclampsia — about one woman in every twenty-one.</w:t>
            </w:r>
          </w:p>
        </w:tc>
      </w:tr>
      <w:tr w:rsidR="006D408C" w14:paraId="3A715A96" w14:textId="77777777" w:rsidTr="00FE78DB">
        <w:tblPrEx>
          <w:tblCellMar>
            <w:top w:w="0" w:type="dxa"/>
            <w:bottom w:w="0" w:type="dxa"/>
          </w:tblCellMar>
        </w:tblPrEx>
        <w:tc>
          <w:tcPr>
            <w:tcW w:w="2200" w:type="dxa"/>
            <w:tcMar>
              <w:top w:w="80" w:type="dxa"/>
              <w:left w:w="110" w:type="dxa"/>
              <w:bottom w:w="80" w:type="dxa"/>
              <w:right w:w="110" w:type="dxa"/>
            </w:tcMar>
          </w:tcPr>
          <w:p w14:paraId="43BCE0CE" w14:textId="77777777" w:rsidR="006D408C" w:rsidRDefault="006D408C" w:rsidP="00FE78DB">
            <w:pPr>
              <w:spacing w:line="250" w:lineRule="auto"/>
            </w:pPr>
            <w:r>
              <w:rPr>
                <w:b/>
                <w:bCs/>
                <w:sz w:val="18"/>
                <w:szCs w:val="18"/>
              </w:rPr>
              <w:t>27%</w:t>
            </w:r>
          </w:p>
        </w:tc>
        <w:tc>
          <w:tcPr>
            <w:tcW w:w="6800" w:type="dxa"/>
            <w:tcMar>
              <w:top w:w="80" w:type="dxa"/>
              <w:left w:w="110" w:type="dxa"/>
              <w:bottom w:w="80" w:type="dxa"/>
              <w:right w:w="110" w:type="dxa"/>
            </w:tcMar>
          </w:tcPr>
          <w:p w14:paraId="400928DC" w14:textId="77777777" w:rsidR="006D408C" w:rsidRDefault="006D408C" w:rsidP="00FE78DB">
            <w:pPr>
              <w:spacing w:line="250" w:lineRule="auto"/>
            </w:pPr>
            <w:r>
              <w:rPr>
                <w:sz w:val="18"/>
                <w:szCs w:val="18"/>
              </w:rPr>
              <w:t>Only about a quarter of Saudi women know what preeclampsia is. Put the other way: roughly three in four have never heard of the condition that affects one in twenty-one of them.</w:t>
            </w:r>
          </w:p>
        </w:tc>
      </w:tr>
      <w:tr w:rsidR="006D408C" w14:paraId="4C84C6A4" w14:textId="77777777" w:rsidTr="00FE78DB">
        <w:tblPrEx>
          <w:tblCellMar>
            <w:top w:w="0" w:type="dxa"/>
            <w:bottom w:w="0" w:type="dxa"/>
          </w:tblCellMar>
        </w:tblPrEx>
        <w:tc>
          <w:tcPr>
            <w:tcW w:w="2200" w:type="dxa"/>
            <w:shd w:val="clear" w:color="auto" w:fill="FAF8F9"/>
            <w:tcMar>
              <w:top w:w="80" w:type="dxa"/>
              <w:left w:w="110" w:type="dxa"/>
              <w:bottom w:w="80" w:type="dxa"/>
              <w:right w:w="110" w:type="dxa"/>
            </w:tcMar>
          </w:tcPr>
          <w:p w14:paraId="29ACFE17" w14:textId="77777777" w:rsidR="006D408C" w:rsidRDefault="006D408C" w:rsidP="00FE78DB">
            <w:pPr>
              <w:spacing w:line="250" w:lineRule="auto"/>
            </w:pPr>
            <w:r>
              <w:rPr>
                <w:b/>
                <w:bCs/>
                <w:sz w:val="18"/>
                <w:szCs w:val="18"/>
              </w:rPr>
              <w:t>&gt; 60%</w:t>
            </w:r>
          </w:p>
        </w:tc>
        <w:tc>
          <w:tcPr>
            <w:tcW w:w="6800" w:type="dxa"/>
            <w:shd w:val="clear" w:color="auto" w:fill="FAF8F9"/>
            <w:tcMar>
              <w:top w:w="80" w:type="dxa"/>
              <w:left w:w="110" w:type="dxa"/>
              <w:bottom w:w="80" w:type="dxa"/>
              <w:right w:w="110" w:type="dxa"/>
            </w:tcMar>
          </w:tcPr>
          <w:p w14:paraId="6C9C8AC6" w14:textId="08079F99" w:rsidR="006D408C" w:rsidRDefault="006D408C" w:rsidP="00FE78DB">
            <w:pPr>
              <w:spacing w:line="250" w:lineRule="auto"/>
            </w:pPr>
            <w:r>
              <w:rPr>
                <w:sz w:val="18"/>
                <w:szCs w:val="18"/>
              </w:rPr>
              <w:t xml:space="preserve">When preventive treatment is started early, severe (preterm) preeclampsia falls by more than 60%. The treatment is inexpensive and taken by mouth — but it only works if the woman is identified as high-risk early, before about sixteen weeks of pregnancy.</w:t>
            </w:r>
          </w:p>
        </w:tc>
      </w:tr>
    </w:tbl>
    <w:p w14:paraId="1CC54D09" w14:textId="77777777" w:rsidR="006D408C" w:rsidRDefault="006D408C" w:rsidP="006D408C">
      <w:pPr>
        <w:pBdr>
          <w:left w:val="single" w:sz="14" w:space="0" w:color="3B2F45"/>
        </w:pBdr>
        <w:shd w:val="clear" w:color="auto" w:fill="E1EBE0"/>
        <w:spacing w:before="140" w:after="160" w:line="290" w:lineRule="auto"/>
        <w:ind w:left="280" w:right="280"/>
      </w:pPr>
      <w:r>
        <w:rPr>
          <w:b/>
          <w:bCs/>
          <w:color w:val="261E2D"/>
        </w:rPr>
        <w:t>Taken together: the condition is common, it is dangerous, and we already know how to reduce it — but most women have never heard of it, and the prevention only works if she is identified early enough. The missing step is knowing who is at risk, early. That is a prediction problem, and it is the problem this project addresses.</w:t>
      </w:r>
    </w:p>
    <w:p w14:paraId="4EB21A55" w14:textId="77777777" w:rsidR="00E82FC3" w:rsidRDefault="00000000">
      <w:pPr>
        <w:pStyle w:val="Heading2"/>
        <w:spacing w:before="260" w:after="110"/>
      </w:pPr>
      <w:r>
        <w:rPr>
          <w:b/>
          <w:bCs/>
          <w:color w:val="3B2F45"/>
          <w:sz w:val="23"/>
          <w:szCs w:val="23"/>
        </w:rPr>
        <w:t>2.4 The clinical pathway for the first task</w:t>
      </w:r>
    </w:p>
    <w:p w14:paraId="21A9105D" w14:textId="77777777" w:rsidR="00E82FC3" w:rsidRDefault="00000000">
      <w:pPr>
        <w:spacing w:after="130" w:line="280" w:lineRule="auto"/>
      </w:pPr>
      <w:r>
        <w:t>Preeclampsia is the first clinical task, and its care pathway determines where a prediction can legitimately sit. Two risk decisions are made, both in the first trimester, before any diagnosis is possible.</w:t>
      </w:r>
    </w:p>
    <w:p w14:paraId="6DE57F52" w14:textId="77777777" w:rsidR="00E82FC3" w:rsidRDefault="00000000">
      <w:pPr>
        <w:spacing w:before="200" w:after="60"/>
        <w:jc w:val="center"/>
      </w:pPr>
      <w:r>
        <w:rPr>
          <w:noProof/>
        </w:rPr>
        <w:drawing>
          <wp:inline distT="0" distB="0" distL="0" distR="0" wp14:anchorId="034C4DE7" wp14:editId="21554646">
            <wp:extent cx="6286500" cy="2324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86500" cy="2324100"/>
                    </a:xfrm>
                    <a:prstGeom prst="rect">
                      <a:avLst/>
                    </a:prstGeom>
                  </pic:spPr>
                </pic:pic>
              </a:graphicData>
            </a:graphic>
          </wp:inline>
        </w:drawing>
      </w:r>
    </w:p>
    <w:p w14:paraId="18526E31" w14:textId="77777777" w:rsidR="00E82FC3" w:rsidRDefault="00000000">
      <w:pPr>
        <w:spacing w:after="200"/>
        <w:jc w:val="center"/>
      </w:pPr>
      <w:r>
        <w:rPr>
          <w:i/>
          <w:iCs/>
          <w:color w:val="6E6478"/>
          <w:sz w:val="18"/>
          <w:szCs w:val="18"/>
        </w:rPr>
        <w:t>Figure 1. The antenatal care pathway for preeclampsia, with the points at which a risk decision is made.</w:t>
      </w:r>
    </w:p>
    <w:p w14:paraId="155539B3" w14:textId="77777777" w:rsidR="00E82FC3" w:rsidRDefault="00000000">
      <w:pPr>
        <w:pStyle w:val="Heading2"/>
        <w:spacing w:before="260" w:after="110"/>
      </w:pPr>
      <w:r>
        <w:rPr>
          <w:b/>
          <w:bCs/>
          <w:color w:val="3B2F45"/>
          <w:sz w:val="23"/>
          <w:szCs w:val="23"/>
        </w:rPr>
        <w:t>2.5 Risk and diagnosis are different claims</w:t>
      </w:r>
    </w:p>
    <w:p w14:paraId="01934240" w14:textId="77777777" w:rsidR="00E82FC3" w:rsidRDefault="00000000">
      <w:pPr>
        <w:spacing w:after="130" w:line="280" w:lineRule="auto"/>
      </w:pPr>
      <w:r>
        <w:t>A prediction made at 11–14 weeks is a statement about probability, not a diagnosis. Preeclampsia cannot be diagnosed before 20 weeks under any guideline. This distinction constrains what the framework may output and how that output may be described.</w:t>
      </w:r>
    </w:p>
    <w:p w14:paraId="096149E6" w14:textId="77777777" w:rsidR="00E82FC3" w:rsidRDefault="00000000">
      <w:pPr>
        <w:spacing w:before="200" w:after="60"/>
        <w:jc w:val="center"/>
      </w:pPr>
      <w:r>
        <w:rPr>
          <w:noProof/>
        </w:rPr>
        <w:lastRenderedPageBreak/>
        <w:drawing>
          <wp:inline distT="0" distB="0" distL="0" distR="0" wp14:anchorId="5F75BD7A" wp14:editId="6E6E1BD3">
            <wp:extent cx="5852160" cy="2367465"/>
            <wp:effectExtent l="0" t="0" r="0" b="0"/>
            <wp:docPr id="1468018225" name="Picture 1468018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868876" cy="2374228"/>
                    </a:xfrm>
                    <a:prstGeom prst="rect">
                      <a:avLst/>
                    </a:prstGeom>
                  </pic:spPr>
                </pic:pic>
              </a:graphicData>
            </a:graphic>
          </wp:inline>
        </w:drawing>
      </w:r>
    </w:p>
    <w:p w14:paraId="745CBC51" w14:textId="77777777" w:rsidR="00E82FC3" w:rsidRDefault="00000000">
      <w:pPr>
        <w:spacing w:after="200"/>
        <w:jc w:val="center"/>
      </w:pPr>
      <w:r>
        <w:rPr>
          <w:i/>
          <w:iCs/>
          <w:color w:val="6E6478"/>
          <w:sz w:val="18"/>
          <w:szCs w:val="18"/>
        </w:rPr>
        <w:t>Figure 2. Four distinct stages. BADIRA operates at the screening stage and never reaches diagnosis.</w:t>
      </w:r>
    </w:p>
    <w:p w14:paraId="24B16ADF" w14:textId="77777777" w:rsidR="00E82FC3" w:rsidRDefault="00000000">
      <w:pPr>
        <w:pStyle w:val="Heading1"/>
        <w:spacing w:before="360" w:after="150"/>
      </w:pPr>
      <w:r>
        <w:rPr>
          <w:b/>
          <w:bCs/>
          <w:color w:val="261E2D"/>
          <w:sz w:val="28"/>
          <w:szCs w:val="28"/>
        </w:rPr>
        <w:t>3. The Proposed Framework</w:t>
      </w:r>
    </w:p>
    <w:p w14:paraId="455DBD69" w14:textId="77777777" w:rsidR="00E82FC3" w:rsidRDefault="00000000">
      <w:pPr>
        <w:pStyle w:val="Heading2"/>
        <w:spacing w:before="260" w:after="110"/>
      </w:pPr>
      <w:r>
        <w:rPr>
          <w:b/>
          <w:bCs/>
          <w:color w:val="3B2F45"/>
          <w:sz w:val="23"/>
          <w:szCs w:val="23"/>
        </w:rPr>
        <w:t>3.1 Master definition</w:t>
      </w:r>
    </w:p>
    <w:p w14:paraId="38383B2A" w14:textId="6FAE0089" w:rsidR="00E82FC3" w:rsidRDefault="00000000">
      <w:pPr>
        <w:pBdr>
          <w:left w:val="single" w:sz="14" w:space="0" w:color="3B2F45"/>
        </w:pBdr>
        <w:shd w:val="clear" w:color="auto" w:fill="E1EBE0"/>
        <w:spacing w:before="140" w:after="160" w:line="290" w:lineRule="auto"/>
        <w:ind w:left="280" w:right="280"/>
      </w:pPr>
      <w:r>
        <w:rPr>
          <w:b/>
          <w:bCs/>
          <w:color w:val="261E2D"/>
        </w:rPr>
        <w:t xml:space="preserve">BADIRA is a self-adaptive framework for predicting the risk of pregnancy complications. It builds a standardized Woman Schema, profiles the available training data, uses both to select a suitable model and prediction settings, and returns a risk prediction over time together with a confidence score and an explanation of why the prediction is trustworthy.</w:t>
      </w:r>
    </w:p>
    <w:p w14:paraId="604281D0" w14:textId="77777777" w:rsidR="00E82FC3" w:rsidRDefault="00000000">
      <w:pPr>
        <w:pStyle w:val="Heading2"/>
        <w:spacing w:before="260" w:after="110"/>
      </w:pPr>
      <w:r>
        <w:rPr>
          <w:b/>
          <w:bCs/>
          <w:color w:val="3B2F45"/>
          <w:sz w:val="23"/>
          <w:szCs w:val="23"/>
        </w:rPr>
        <w:t>3.2 Architecture and pipeline</w:t>
      </w:r>
    </w:p>
    <w:p w14:paraId="727AF44E" w14:textId="77777777" w:rsidR="00E82FC3" w:rsidRDefault="00000000">
      <w:pPr>
        <w:spacing w:before="200" w:after="60"/>
        <w:jc w:val="center"/>
      </w:pPr>
      <w:r>
        <w:rPr>
          <w:noProof/>
        </w:rPr>
        <w:drawing>
          <wp:inline distT="0" distB="0" distL="0" distR="0" wp14:anchorId="7A42D4B7" wp14:editId="56E99B7E">
            <wp:extent cx="5339511" cy="3802380"/>
            <wp:effectExtent l="0" t="0" r="0" b="7620"/>
            <wp:docPr id="1639276239" name="Picture 1639276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52084" cy="3811334"/>
                    </a:xfrm>
                    <a:prstGeom prst="rect">
                      <a:avLst/>
                    </a:prstGeom>
                  </pic:spPr>
                </pic:pic>
              </a:graphicData>
            </a:graphic>
          </wp:inline>
        </w:drawing>
      </w:r>
    </w:p>
    <w:p w14:paraId="71FB5C2E" w14:textId="77777777" w:rsidR="00E82FC3" w:rsidRDefault="00000000">
      <w:pPr>
        <w:spacing w:after="200"/>
        <w:jc w:val="center"/>
      </w:pPr>
      <w:r>
        <w:rPr>
          <w:i/>
          <w:iCs/>
          <w:color w:val="6E6478"/>
          <w:sz w:val="18"/>
          <w:szCs w:val="18"/>
        </w:rPr>
        <w:t>Figure 3. The BADIRA pipeline, from available information to final evaluation on untouched test data.</w:t>
      </w:r>
    </w:p>
    <w:p w14:paraId="530C36B0" w14:textId="77777777" w:rsidR="00E82FC3" w:rsidRDefault="00000000">
      <w:pPr>
        <w:pStyle w:val="Heading2"/>
        <w:spacing w:before="260" w:after="110"/>
      </w:pPr>
      <w:r>
        <w:rPr>
          <w:b/>
          <w:bCs/>
          <w:color w:val="3B2F45"/>
          <w:sz w:val="23"/>
          <w:szCs w:val="23"/>
        </w:rPr>
        <w:lastRenderedPageBreak/>
        <w:t>3.3 Self-adaptation</w:t>
      </w:r>
    </w:p>
    <w:p w14:paraId="169AE006" w14:textId="123F78DD" w:rsidR="00E82FC3" w:rsidRDefault="00000000">
      <w:pPr>
        <w:spacing w:after="130" w:line="280" w:lineRule="auto"/>
      </w:pPr>
      <w:r>
        <w:t xml:space="preserve">The framework’s adaptive behavior is a closed loop rather than a single decision. A new dataset, or a new clinical task, re-enters the loop at the profiling stage and may produce a different model selection.</w:t>
      </w:r>
    </w:p>
    <w:p w14:paraId="4E90F0BD" w14:textId="324EBFCE" w:rsidR="00E82FC3" w:rsidRDefault="006D408C">
      <w:pPr>
        <w:spacing w:before="200" w:after="60"/>
        <w:jc w:val="center"/>
      </w:pPr>
      <w:r>
        <w:rPr>
          <w:noProof/>
        </w:rPr>
        <w:drawing>
          <wp:inline distT="0" distB="0" distL="0" distR="0" wp14:anchorId="122104E6" wp14:editId="0C253E4C">
            <wp:extent cx="5829300" cy="2685011"/>
            <wp:effectExtent l="0" t="0" r="0" b="1270"/>
            <wp:docPr id="503689490" name="Picture 503689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36413" cy="2688287"/>
                    </a:xfrm>
                    <a:prstGeom prst="rect">
                      <a:avLst/>
                    </a:prstGeom>
                  </pic:spPr>
                </pic:pic>
              </a:graphicData>
            </a:graphic>
          </wp:inline>
        </w:drawing>
      </w:r>
    </w:p>
    <w:p w14:paraId="29706318" w14:textId="77777777" w:rsidR="00E82FC3" w:rsidRDefault="00000000">
      <w:pPr>
        <w:spacing w:after="200"/>
        <w:jc w:val="center"/>
      </w:pPr>
      <w:r>
        <w:rPr>
          <w:i/>
          <w:iCs/>
          <w:color w:val="6E6478"/>
          <w:sz w:val="18"/>
          <w:szCs w:val="18"/>
        </w:rPr>
        <w:t>Figure 4. The self-adaptation loop. Measured data characteristics drive model selection.</w:t>
      </w:r>
    </w:p>
    <w:p w14:paraId="579660CA" w14:textId="77777777" w:rsidR="00E82FC3" w:rsidRDefault="00000000">
      <w:pPr>
        <w:pStyle w:val="Heading2"/>
        <w:spacing w:before="260" w:after="110"/>
      </w:pPr>
      <w:r>
        <w:rPr>
          <w:b/>
          <w:bCs/>
          <w:color w:val="3B2F45"/>
          <w:sz w:val="23"/>
          <w:szCs w:val="23"/>
        </w:rPr>
        <w:t>3.4 The Woman Schema</w:t>
      </w:r>
    </w:p>
    <w:p w14:paraId="3F0C13C1" w14:textId="026FB66B" w:rsidR="00E82FC3" w:rsidRDefault="00000000">
      <w:pPr>
        <w:spacing w:after="130" w:line="280" w:lineRule="auto"/>
      </w:pPr>
      <w:r>
        <w:t xml:space="preserve">The Woman Schema standardizes what is known about each woman, across six profiling dimensions, before any model is chosen. The six dimensions are basic information, pregnancy history, previous complications, health history, the current pregnancy and risk background. The schema defines both what the framework requires of a dataset and what it can accept when a field is unavailable; every clinical field corresponds to a factor in published risk criteria.</w:t>
      </w:r>
    </w:p>
    <w:p w14:paraId="00769747" w14:textId="77777777" w:rsidR="00E82FC3" w:rsidRDefault="00000000">
      <w:pPr>
        <w:pStyle w:val="Heading2"/>
        <w:spacing w:before="260" w:after="110"/>
      </w:pPr>
      <w:r>
        <w:rPr>
          <w:b/>
          <w:bCs/>
          <w:color w:val="3B2F45"/>
          <w:sz w:val="23"/>
          <w:szCs w:val="23"/>
        </w:rPr>
        <w:t>3.5 The Data Profiler</w:t>
      </w:r>
    </w:p>
    <w:p w14:paraId="60961E56" w14:textId="77777777" w:rsidR="00E82FC3" w:rsidRDefault="00000000">
      <w:pPr>
        <w:spacing w:after="130" w:line="280" w:lineRule="auto"/>
      </w:pPr>
      <w:r>
        <w:t>The Data Profiler is the component that makes the framework adaptive. It measures the training data along six dimensions, and its output is the evidence on which model selection rests.</w:t>
      </w:r>
    </w:p>
    <w:p w14:paraId="7A16B523" w14:textId="77777777" w:rsidR="00E82FC3" w:rsidRDefault="00000000">
      <w:pPr>
        <w:spacing w:before="200" w:after="60"/>
        <w:jc w:val="center"/>
      </w:pPr>
      <w:r>
        <w:rPr>
          <w:noProof/>
        </w:rPr>
        <w:lastRenderedPageBreak/>
        <w:drawing>
          <wp:inline distT="0" distB="0" distL="0" distR="0" wp14:anchorId="5BCDA2B3" wp14:editId="7AE78C55">
            <wp:extent cx="6286500" cy="3076575"/>
            <wp:effectExtent l="0" t="0" r="0" b="0"/>
            <wp:docPr id="1161591555" name="Picture 1161591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86500" cy="3076575"/>
                    </a:xfrm>
                    <a:prstGeom prst="rect">
                      <a:avLst/>
                    </a:prstGeom>
                  </pic:spPr>
                </pic:pic>
              </a:graphicData>
            </a:graphic>
          </wp:inline>
        </w:drawing>
      </w:r>
    </w:p>
    <w:p w14:paraId="542FFA99" w14:textId="77777777" w:rsidR="00E82FC3" w:rsidRDefault="00000000">
      <w:pPr>
        <w:spacing w:after="200"/>
        <w:jc w:val="center"/>
      </w:pPr>
      <w:r>
        <w:rPr>
          <w:i/>
          <w:iCs/>
          <w:color w:val="6E6478"/>
          <w:sz w:val="18"/>
          <w:szCs w:val="18"/>
        </w:rPr>
        <w:t>Figure 5. The Data Profiler: six dimensions measured on the training data.</w:t>
      </w:r>
    </w:p>
    <w:tbl>
      <w:tblPr>
        <w:tblW w:w="900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2300"/>
        <w:gridCol w:w="6700"/>
      </w:tblGrid>
      <w:tr w:rsidR="00E82FC3" w14:paraId="039394CC" w14:textId="77777777">
        <w:tblPrEx>
          <w:tblCellMar>
            <w:top w:w="0" w:type="dxa"/>
            <w:bottom w:w="0" w:type="dxa"/>
          </w:tblCellMar>
        </w:tblPrEx>
        <w:trPr>
          <w:tblHeader/>
        </w:trPr>
        <w:tc>
          <w:tcPr>
            <w:tcW w:w="2300" w:type="dxa"/>
            <w:shd w:val="clear" w:color="auto" w:fill="EFE7EC"/>
            <w:tcMar>
              <w:top w:w="80" w:type="dxa"/>
              <w:left w:w="110" w:type="dxa"/>
              <w:bottom w:w="80" w:type="dxa"/>
              <w:right w:w="110" w:type="dxa"/>
            </w:tcMar>
          </w:tcPr>
          <w:p w14:paraId="4FAD9539" w14:textId="77777777" w:rsidR="00E82FC3" w:rsidRDefault="00000000">
            <w:pPr>
              <w:spacing w:line="250" w:lineRule="auto"/>
            </w:pPr>
            <w:r>
              <w:rPr>
                <w:b/>
                <w:bCs/>
                <w:color w:val="261E2D"/>
                <w:sz w:val="18"/>
                <w:szCs w:val="18"/>
              </w:rPr>
              <w:t>Dimension</w:t>
            </w:r>
          </w:p>
        </w:tc>
        <w:tc>
          <w:tcPr>
            <w:tcW w:w="6700" w:type="dxa"/>
            <w:shd w:val="clear" w:color="auto" w:fill="EFE7EC"/>
            <w:tcMar>
              <w:top w:w="80" w:type="dxa"/>
              <w:left w:w="110" w:type="dxa"/>
              <w:bottom w:w="80" w:type="dxa"/>
              <w:right w:w="110" w:type="dxa"/>
            </w:tcMar>
          </w:tcPr>
          <w:p w14:paraId="51429D26" w14:textId="77777777" w:rsidR="00E82FC3" w:rsidRDefault="00000000">
            <w:pPr>
              <w:spacing w:line="250" w:lineRule="auto"/>
            </w:pPr>
            <w:r>
              <w:rPr>
                <w:b/>
                <w:bCs/>
                <w:color w:val="261E2D"/>
                <w:sz w:val="18"/>
                <w:szCs w:val="18"/>
              </w:rPr>
              <w:t>Why it changes the modelling decision</w:t>
            </w:r>
          </w:p>
        </w:tc>
      </w:tr>
      <w:tr w:rsidR="00E82FC3" w14:paraId="7AC7AB3A" w14:textId="77777777">
        <w:tblPrEx>
          <w:tblCellMar>
            <w:top w:w="0" w:type="dxa"/>
            <w:bottom w:w="0" w:type="dxa"/>
          </w:tblCellMar>
        </w:tblPrEx>
        <w:tc>
          <w:tcPr>
            <w:tcW w:w="2300" w:type="dxa"/>
            <w:tcMar>
              <w:top w:w="80" w:type="dxa"/>
              <w:left w:w="110" w:type="dxa"/>
              <w:bottom w:w="80" w:type="dxa"/>
              <w:right w:w="110" w:type="dxa"/>
            </w:tcMar>
          </w:tcPr>
          <w:p w14:paraId="4FC00F5B" w14:textId="77777777" w:rsidR="00E82FC3" w:rsidRDefault="00000000">
            <w:pPr>
              <w:spacing w:line="250" w:lineRule="auto"/>
            </w:pPr>
            <w:r>
              <w:rPr>
                <w:b/>
                <w:bCs/>
                <w:sz w:val="18"/>
                <w:szCs w:val="18"/>
              </w:rPr>
              <w:t>Imbalance signature</w:t>
            </w:r>
          </w:p>
        </w:tc>
        <w:tc>
          <w:tcPr>
            <w:tcW w:w="6700" w:type="dxa"/>
            <w:tcMar>
              <w:top w:w="80" w:type="dxa"/>
              <w:left w:w="110" w:type="dxa"/>
              <w:bottom w:w="80" w:type="dxa"/>
              <w:right w:w="110" w:type="dxa"/>
            </w:tcMar>
          </w:tcPr>
          <w:p w14:paraId="1619E735" w14:textId="77777777" w:rsidR="00E82FC3" w:rsidRDefault="00000000">
            <w:pPr>
              <w:spacing w:line="250" w:lineRule="auto"/>
            </w:pPr>
            <w:r>
              <w:rPr>
                <w:sz w:val="18"/>
                <w:szCs w:val="18"/>
              </w:rPr>
              <w:t>Determines whether resampling, cost-sensitive learning or threshold adjustment is required, and makes accuracy an inappropriate evaluation metric.</w:t>
            </w:r>
          </w:p>
        </w:tc>
      </w:tr>
      <w:tr w:rsidR="00E82FC3" w14:paraId="19E7FC8B" w14:textId="77777777">
        <w:tblPrEx>
          <w:tblCellMar>
            <w:top w:w="0" w:type="dxa"/>
            <w:bottom w:w="0" w:type="dxa"/>
          </w:tblCellMar>
        </w:tblPrEx>
        <w:tc>
          <w:tcPr>
            <w:tcW w:w="2300" w:type="dxa"/>
            <w:shd w:val="clear" w:color="auto" w:fill="FAF8F9"/>
            <w:tcMar>
              <w:top w:w="80" w:type="dxa"/>
              <w:left w:w="110" w:type="dxa"/>
              <w:bottom w:w="80" w:type="dxa"/>
              <w:right w:w="110" w:type="dxa"/>
            </w:tcMar>
          </w:tcPr>
          <w:p w14:paraId="5900BB24" w14:textId="77777777" w:rsidR="00E82FC3" w:rsidRDefault="00000000">
            <w:pPr>
              <w:spacing w:line="250" w:lineRule="auto"/>
            </w:pPr>
            <w:r>
              <w:rPr>
                <w:b/>
                <w:bCs/>
                <w:sz w:val="18"/>
                <w:szCs w:val="18"/>
              </w:rPr>
              <w:t>Missingness mechanism</w:t>
            </w:r>
          </w:p>
        </w:tc>
        <w:tc>
          <w:tcPr>
            <w:tcW w:w="6700" w:type="dxa"/>
            <w:shd w:val="clear" w:color="auto" w:fill="FAF8F9"/>
            <w:tcMar>
              <w:top w:w="80" w:type="dxa"/>
              <w:left w:w="110" w:type="dxa"/>
              <w:bottom w:w="80" w:type="dxa"/>
              <w:right w:w="110" w:type="dxa"/>
            </w:tcMar>
          </w:tcPr>
          <w:p w14:paraId="0C1843A6" w14:textId="77777777" w:rsidR="00E82FC3" w:rsidRDefault="00000000">
            <w:pPr>
              <w:spacing w:line="250" w:lineRule="auto"/>
            </w:pPr>
            <w:r>
              <w:rPr>
                <w:sz w:val="18"/>
                <w:szCs w:val="18"/>
              </w:rPr>
              <w:t>Distinguishes data missing at random from data missing for a reason. The second case can bias a model in ways imputation will not correct.</w:t>
            </w:r>
          </w:p>
        </w:tc>
      </w:tr>
      <w:tr w:rsidR="00E82FC3" w14:paraId="779F51B5" w14:textId="77777777">
        <w:tblPrEx>
          <w:tblCellMar>
            <w:top w:w="0" w:type="dxa"/>
            <w:bottom w:w="0" w:type="dxa"/>
          </w:tblCellMar>
        </w:tblPrEx>
        <w:tc>
          <w:tcPr>
            <w:tcW w:w="2300" w:type="dxa"/>
            <w:tcMar>
              <w:top w:w="80" w:type="dxa"/>
              <w:left w:w="110" w:type="dxa"/>
              <w:bottom w:w="80" w:type="dxa"/>
              <w:right w:w="110" w:type="dxa"/>
            </w:tcMar>
          </w:tcPr>
          <w:p w14:paraId="73D00DAD" w14:textId="77777777" w:rsidR="00E82FC3" w:rsidRDefault="00000000">
            <w:pPr>
              <w:spacing w:line="250" w:lineRule="auto"/>
            </w:pPr>
            <w:r>
              <w:rPr>
                <w:b/>
                <w:bCs/>
                <w:sz w:val="18"/>
                <w:szCs w:val="18"/>
              </w:rPr>
              <w:t>Shift vulnerability</w:t>
            </w:r>
          </w:p>
        </w:tc>
        <w:tc>
          <w:tcPr>
            <w:tcW w:w="6700" w:type="dxa"/>
            <w:tcMar>
              <w:top w:w="80" w:type="dxa"/>
              <w:left w:w="110" w:type="dxa"/>
              <w:bottom w:w="80" w:type="dxa"/>
              <w:right w:w="110" w:type="dxa"/>
            </w:tcMar>
          </w:tcPr>
          <w:p w14:paraId="0FA993FF" w14:textId="77777777" w:rsidR="00E82FC3" w:rsidRDefault="00000000">
            <w:pPr>
              <w:spacing w:line="250" w:lineRule="auto"/>
            </w:pPr>
            <w:r>
              <w:rPr>
                <w:sz w:val="18"/>
                <w:szCs w:val="18"/>
              </w:rPr>
              <w:t>Predicts how far performance will transfer to a different population, site or period — the central question for a model trained abroad and deployed locally.</w:t>
            </w:r>
          </w:p>
        </w:tc>
      </w:tr>
      <w:tr w:rsidR="00E82FC3" w14:paraId="74F7BA87" w14:textId="77777777">
        <w:tblPrEx>
          <w:tblCellMar>
            <w:top w:w="0" w:type="dxa"/>
            <w:bottom w:w="0" w:type="dxa"/>
          </w:tblCellMar>
        </w:tblPrEx>
        <w:tc>
          <w:tcPr>
            <w:tcW w:w="2300" w:type="dxa"/>
            <w:shd w:val="clear" w:color="auto" w:fill="FAF8F9"/>
            <w:tcMar>
              <w:top w:w="80" w:type="dxa"/>
              <w:left w:w="110" w:type="dxa"/>
              <w:bottom w:w="80" w:type="dxa"/>
              <w:right w:w="110" w:type="dxa"/>
            </w:tcMar>
          </w:tcPr>
          <w:p w14:paraId="360E962C" w14:textId="77777777" w:rsidR="00E82FC3" w:rsidRDefault="00000000">
            <w:pPr>
              <w:spacing w:line="250" w:lineRule="auto"/>
            </w:pPr>
            <w:r>
              <w:rPr>
                <w:b/>
                <w:bCs/>
                <w:sz w:val="18"/>
                <w:szCs w:val="18"/>
              </w:rPr>
              <w:t>Temporal structure</w:t>
            </w:r>
          </w:p>
        </w:tc>
        <w:tc>
          <w:tcPr>
            <w:tcW w:w="6700" w:type="dxa"/>
            <w:shd w:val="clear" w:color="auto" w:fill="FAF8F9"/>
            <w:tcMar>
              <w:top w:w="80" w:type="dxa"/>
              <w:left w:w="110" w:type="dxa"/>
              <w:bottom w:w="80" w:type="dxa"/>
              <w:right w:w="110" w:type="dxa"/>
            </w:tcMar>
          </w:tcPr>
          <w:p w14:paraId="68A3F4EB" w14:textId="77777777" w:rsidR="00E82FC3" w:rsidRDefault="00000000">
            <w:pPr>
              <w:spacing w:line="250" w:lineRule="auto"/>
            </w:pPr>
            <w:r>
              <w:rPr>
                <w:sz w:val="18"/>
                <w:szCs w:val="18"/>
              </w:rPr>
              <w:t>Determines whether a time-to-event model is appropriate and what the prediction horizon can be. Information that accumulates across visits cannot be modelled as a single snapshot.</w:t>
            </w:r>
          </w:p>
        </w:tc>
      </w:tr>
      <w:tr w:rsidR="00E82FC3" w14:paraId="724513EB" w14:textId="77777777">
        <w:tblPrEx>
          <w:tblCellMar>
            <w:top w:w="0" w:type="dxa"/>
            <w:bottom w:w="0" w:type="dxa"/>
          </w:tblCellMar>
        </w:tblPrEx>
        <w:tc>
          <w:tcPr>
            <w:tcW w:w="2300" w:type="dxa"/>
            <w:tcMar>
              <w:top w:w="80" w:type="dxa"/>
              <w:left w:w="110" w:type="dxa"/>
              <w:bottom w:w="80" w:type="dxa"/>
              <w:right w:w="110" w:type="dxa"/>
            </w:tcMar>
          </w:tcPr>
          <w:p w14:paraId="5EBBC11B" w14:textId="77777777" w:rsidR="00E82FC3" w:rsidRDefault="00000000">
            <w:pPr>
              <w:spacing w:line="250" w:lineRule="auto"/>
            </w:pPr>
            <w:r>
              <w:rPr>
                <w:b/>
                <w:bCs/>
                <w:sz w:val="18"/>
                <w:szCs w:val="18"/>
              </w:rPr>
              <w:t>Dataset scale</w:t>
            </w:r>
          </w:p>
        </w:tc>
        <w:tc>
          <w:tcPr>
            <w:tcW w:w="6700" w:type="dxa"/>
            <w:tcMar>
              <w:top w:w="80" w:type="dxa"/>
              <w:left w:w="110" w:type="dxa"/>
              <w:bottom w:w="80" w:type="dxa"/>
              <w:right w:w="110" w:type="dxa"/>
            </w:tcMar>
          </w:tcPr>
          <w:p w14:paraId="63EC1095" w14:textId="77777777" w:rsidR="00E82FC3" w:rsidRDefault="00000000">
            <w:pPr>
              <w:spacing w:line="250" w:lineRule="auto"/>
            </w:pPr>
            <w:r>
              <w:rPr>
                <w:sz w:val="18"/>
                <w:szCs w:val="18"/>
              </w:rPr>
              <w:t>The number of complication cases, not the number of women, sets the ceiling on model complexity.</w:t>
            </w:r>
          </w:p>
        </w:tc>
      </w:tr>
      <w:tr w:rsidR="00E82FC3" w14:paraId="31B29CBA" w14:textId="77777777">
        <w:tblPrEx>
          <w:tblCellMar>
            <w:top w:w="0" w:type="dxa"/>
            <w:bottom w:w="0" w:type="dxa"/>
          </w:tblCellMar>
        </w:tblPrEx>
        <w:tc>
          <w:tcPr>
            <w:tcW w:w="2300" w:type="dxa"/>
            <w:shd w:val="clear" w:color="auto" w:fill="FAF8F9"/>
            <w:tcMar>
              <w:top w:w="80" w:type="dxa"/>
              <w:left w:w="110" w:type="dxa"/>
              <w:bottom w:w="80" w:type="dxa"/>
              <w:right w:w="110" w:type="dxa"/>
            </w:tcMar>
          </w:tcPr>
          <w:p w14:paraId="5F1A1EDF" w14:textId="77777777" w:rsidR="00E82FC3" w:rsidRDefault="00000000">
            <w:pPr>
              <w:spacing w:line="250" w:lineRule="auto"/>
            </w:pPr>
            <w:r>
              <w:rPr>
                <w:b/>
                <w:bCs/>
                <w:sz w:val="18"/>
                <w:szCs w:val="18"/>
              </w:rPr>
              <w:t>Threat / perturbation profile</w:t>
            </w:r>
          </w:p>
        </w:tc>
        <w:tc>
          <w:tcPr>
            <w:tcW w:w="6700" w:type="dxa"/>
            <w:shd w:val="clear" w:color="auto" w:fill="FAF8F9"/>
            <w:tcMar>
              <w:top w:w="80" w:type="dxa"/>
              <w:left w:w="110" w:type="dxa"/>
              <w:bottom w:w="80" w:type="dxa"/>
              <w:right w:w="110" w:type="dxa"/>
            </w:tcMar>
          </w:tcPr>
          <w:p w14:paraId="081F3EA3" w14:textId="77777777" w:rsidR="00E82FC3" w:rsidRDefault="00000000">
            <w:pPr>
              <w:spacing w:line="250" w:lineRule="auto"/>
            </w:pPr>
            <w:r>
              <w:rPr>
                <w:sz w:val="18"/>
                <w:szCs w:val="18"/>
              </w:rPr>
              <w:t>Identifies which inputs the prediction is most sensitive to, and therefore where measurement error or adversarial variation would do most damage.</w:t>
            </w:r>
          </w:p>
        </w:tc>
      </w:tr>
    </w:tbl>
    <w:p w14:paraId="2C33572D" w14:textId="77777777" w:rsidR="00E82FC3" w:rsidRDefault="00000000">
      <w:pPr>
        <w:pStyle w:val="Heading2"/>
        <w:spacing w:before="260" w:after="110"/>
      </w:pPr>
      <w:r>
        <w:rPr>
          <w:b/>
          <w:bCs/>
          <w:color w:val="3B2F45"/>
          <w:sz w:val="23"/>
          <w:szCs w:val="23"/>
        </w:rPr>
        <w:t>3.6 Outputs</w:t>
      </w:r>
    </w:p>
    <w:p w14:paraId="48A41763" w14:textId="77777777" w:rsidR="00E82FC3" w:rsidRDefault="00000000">
      <w:pPr>
        <w:spacing w:after="130" w:line="280" w:lineRule="auto"/>
      </w:pPr>
      <w:r>
        <w:t>The framework returns three things together. Reporting a risk without a confidence score and an explanation would be a weaker output than reporting nothing, because it invites a confidence the model has not earned.</w:t>
      </w:r>
    </w:p>
    <w:tbl>
      <w:tblPr>
        <w:tblW w:w="900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2300"/>
        <w:gridCol w:w="6700"/>
      </w:tblGrid>
      <w:tr w:rsidR="00E82FC3" w14:paraId="32578050" w14:textId="77777777">
        <w:tblPrEx>
          <w:tblCellMar>
            <w:top w:w="0" w:type="dxa"/>
            <w:bottom w:w="0" w:type="dxa"/>
          </w:tblCellMar>
        </w:tblPrEx>
        <w:trPr>
          <w:tblHeader/>
        </w:trPr>
        <w:tc>
          <w:tcPr>
            <w:tcW w:w="2300" w:type="dxa"/>
            <w:shd w:val="clear" w:color="auto" w:fill="EFE7EC"/>
            <w:tcMar>
              <w:top w:w="80" w:type="dxa"/>
              <w:left w:w="110" w:type="dxa"/>
              <w:bottom w:w="80" w:type="dxa"/>
              <w:right w:w="110" w:type="dxa"/>
            </w:tcMar>
          </w:tcPr>
          <w:p w14:paraId="5A221A17" w14:textId="77777777" w:rsidR="00E82FC3" w:rsidRDefault="00000000">
            <w:pPr>
              <w:spacing w:line="250" w:lineRule="auto"/>
            </w:pPr>
            <w:r>
              <w:rPr>
                <w:b/>
                <w:bCs/>
                <w:color w:val="261E2D"/>
                <w:sz w:val="18"/>
                <w:szCs w:val="18"/>
              </w:rPr>
              <w:t>Output</w:t>
            </w:r>
          </w:p>
        </w:tc>
        <w:tc>
          <w:tcPr>
            <w:tcW w:w="6700" w:type="dxa"/>
            <w:shd w:val="clear" w:color="auto" w:fill="EFE7EC"/>
            <w:tcMar>
              <w:top w:w="80" w:type="dxa"/>
              <w:left w:w="110" w:type="dxa"/>
              <w:bottom w:w="80" w:type="dxa"/>
              <w:right w:w="110" w:type="dxa"/>
            </w:tcMar>
          </w:tcPr>
          <w:p w14:paraId="694FB820" w14:textId="77777777" w:rsidR="00E82FC3" w:rsidRDefault="00000000">
            <w:pPr>
              <w:spacing w:line="250" w:lineRule="auto"/>
            </w:pPr>
            <w:r>
              <w:rPr>
                <w:b/>
                <w:bCs/>
                <w:color w:val="261E2D"/>
                <w:sz w:val="18"/>
                <w:szCs w:val="18"/>
              </w:rPr>
              <w:t>What it is</w:t>
            </w:r>
          </w:p>
        </w:tc>
      </w:tr>
      <w:tr w:rsidR="00E82FC3" w14:paraId="26508EA2" w14:textId="77777777">
        <w:tblPrEx>
          <w:tblCellMar>
            <w:top w:w="0" w:type="dxa"/>
            <w:bottom w:w="0" w:type="dxa"/>
          </w:tblCellMar>
        </w:tblPrEx>
        <w:tc>
          <w:tcPr>
            <w:tcW w:w="2300" w:type="dxa"/>
            <w:tcMar>
              <w:top w:w="80" w:type="dxa"/>
              <w:left w:w="110" w:type="dxa"/>
              <w:bottom w:w="80" w:type="dxa"/>
              <w:right w:w="110" w:type="dxa"/>
            </w:tcMar>
          </w:tcPr>
          <w:p w14:paraId="61E24AFC" w14:textId="77777777" w:rsidR="00E82FC3" w:rsidRDefault="00000000">
            <w:pPr>
              <w:spacing w:line="250" w:lineRule="auto"/>
            </w:pPr>
            <w:r>
              <w:rPr>
                <w:b/>
                <w:bCs/>
                <w:sz w:val="18"/>
                <w:szCs w:val="18"/>
              </w:rPr>
              <w:t>Risk prediction over time</w:t>
            </w:r>
          </w:p>
        </w:tc>
        <w:tc>
          <w:tcPr>
            <w:tcW w:w="6700" w:type="dxa"/>
            <w:tcMar>
              <w:top w:w="80" w:type="dxa"/>
              <w:left w:w="110" w:type="dxa"/>
              <w:bottom w:w="80" w:type="dxa"/>
              <w:right w:w="110" w:type="dxa"/>
            </w:tcMar>
          </w:tcPr>
          <w:p w14:paraId="4163A227" w14:textId="77777777" w:rsidR="00E82FC3" w:rsidRDefault="00000000">
            <w:pPr>
              <w:spacing w:line="250" w:lineRule="auto"/>
            </w:pPr>
            <w:r>
              <w:rPr>
                <w:sz w:val="18"/>
                <w:szCs w:val="18"/>
              </w:rPr>
              <w:t>A trajectory rather than a single figure. Because information accumulates across pregnancy and the outcome has a timing as well as an occurrence, the prediction is framed as time to event.</w:t>
            </w:r>
          </w:p>
        </w:tc>
      </w:tr>
      <w:tr w:rsidR="00E82FC3" w14:paraId="74367EBC" w14:textId="77777777">
        <w:tblPrEx>
          <w:tblCellMar>
            <w:top w:w="0" w:type="dxa"/>
            <w:bottom w:w="0" w:type="dxa"/>
          </w:tblCellMar>
        </w:tblPrEx>
        <w:tc>
          <w:tcPr>
            <w:tcW w:w="2300" w:type="dxa"/>
            <w:shd w:val="clear" w:color="auto" w:fill="FAF8F9"/>
            <w:tcMar>
              <w:top w:w="80" w:type="dxa"/>
              <w:left w:w="110" w:type="dxa"/>
              <w:bottom w:w="80" w:type="dxa"/>
              <w:right w:w="110" w:type="dxa"/>
            </w:tcMar>
          </w:tcPr>
          <w:p w14:paraId="7B7C95DE" w14:textId="77777777" w:rsidR="00E82FC3" w:rsidRDefault="00000000">
            <w:pPr>
              <w:spacing w:line="250" w:lineRule="auto"/>
            </w:pPr>
            <w:r>
              <w:rPr>
                <w:b/>
                <w:bCs/>
                <w:sz w:val="18"/>
                <w:szCs w:val="18"/>
              </w:rPr>
              <w:t>Confidence score</w:t>
            </w:r>
          </w:p>
        </w:tc>
        <w:tc>
          <w:tcPr>
            <w:tcW w:w="6700" w:type="dxa"/>
            <w:shd w:val="clear" w:color="auto" w:fill="FAF8F9"/>
            <w:tcMar>
              <w:top w:w="80" w:type="dxa"/>
              <w:left w:w="110" w:type="dxa"/>
              <w:bottom w:w="80" w:type="dxa"/>
              <w:right w:w="110" w:type="dxa"/>
            </w:tcMar>
          </w:tcPr>
          <w:p w14:paraId="758E6E9D" w14:textId="77777777" w:rsidR="00E82FC3" w:rsidRDefault="00000000">
            <w:pPr>
              <w:spacing w:line="250" w:lineRule="auto"/>
            </w:pPr>
            <w:r>
              <w:rPr>
                <w:sz w:val="18"/>
                <w:szCs w:val="18"/>
              </w:rPr>
              <w:t>A statement of how far the prediction should be trusted, derived from the data profile and the model’s own calibration.</w:t>
            </w:r>
          </w:p>
        </w:tc>
      </w:tr>
      <w:tr w:rsidR="00E82FC3" w14:paraId="729BE39B" w14:textId="77777777">
        <w:tblPrEx>
          <w:tblCellMar>
            <w:top w:w="0" w:type="dxa"/>
            <w:bottom w:w="0" w:type="dxa"/>
          </w:tblCellMar>
        </w:tblPrEx>
        <w:tc>
          <w:tcPr>
            <w:tcW w:w="2300" w:type="dxa"/>
            <w:tcMar>
              <w:top w:w="80" w:type="dxa"/>
              <w:left w:w="110" w:type="dxa"/>
              <w:bottom w:w="80" w:type="dxa"/>
              <w:right w:w="110" w:type="dxa"/>
            </w:tcMar>
          </w:tcPr>
          <w:p w14:paraId="69A8DC51" w14:textId="77777777" w:rsidR="00E82FC3" w:rsidRDefault="00000000">
            <w:pPr>
              <w:spacing w:line="250" w:lineRule="auto"/>
            </w:pPr>
            <w:r>
              <w:rPr>
                <w:b/>
                <w:bCs/>
                <w:sz w:val="18"/>
                <w:szCs w:val="18"/>
              </w:rPr>
              <w:t>Explanation</w:t>
            </w:r>
          </w:p>
        </w:tc>
        <w:tc>
          <w:tcPr>
            <w:tcW w:w="6700" w:type="dxa"/>
            <w:tcMar>
              <w:top w:w="80" w:type="dxa"/>
              <w:left w:w="110" w:type="dxa"/>
              <w:bottom w:w="80" w:type="dxa"/>
              <w:right w:w="110" w:type="dxa"/>
            </w:tcMar>
          </w:tcPr>
          <w:p w14:paraId="0E191088" w14:textId="77777777" w:rsidR="00E82FC3" w:rsidRDefault="00000000">
            <w:pPr>
              <w:spacing w:line="250" w:lineRule="auto"/>
            </w:pPr>
            <w:r>
              <w:rPr>
                <w:sz w:val="18"/>
                <w:szCs w:val="18"/>
              </w:rPr>
              <w:t>The basis for the prediction, expressed so that a clinician can interrogate it and a non-specialist can follow it.</w:t>
            </w:r>
          </w:p>
        </w:tc>
      </w:tr>
    </w:tbl>
    <w:p w14:paraId="258935D3" w14:textId="77777777" w:rsidR="00E82FC3" w:rsidRDefault="00000000">
      <w:pPr>
        <w:pStyle w:val="Heading2"/>
        <w:spacing w:before="260" w:after="110"/>
      </w:pPr>
      <w:r>
        <w:rPr>
          <w:b/>
          <w:bCs/>
          <w:color w:val="3B2F45"/>
          <w:sz w:val="23"/>
          <w:szCs w:val="23"/>
        </w:rPr>
        <w:lastRenderedPageBreak/>
        <w:t>3.7 The data separation rule</w:t>
      </w:r>
    </w:p>
    <w:p w14:paraId="1BE2B107" w14:textId="77777777" w:rsidR="00E82FC3" w:rsidRDefault="00000000">
      <w:pPr>
        <w:spacing w:before="200" w:after="60"/>
        <w:jc w:val="center"/>
      </w:pPr>
      <w:r>
        <w:rPr>
          <w:noProof/>
        </w:rPr>
        <w:drawing>
          <wp:inline distT="0" distB="0" distL="0" distR="0" wp14:anchorId="1FD00C9C" wp14:editId="0B808FC5">
            <wp:extent cx="5715000" cy="1828800"/>
            <wp:effectExtent l="0" t="0" r="0" b="0"/>
            <wp:docPr id="895796333" name="Picture 895796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828800"/>
                    </a:xfrm>
                    <a:prstGeom prst="rect">
                      <a:avLst/>
                    </a:prstGeom>
                  </pic:spPr>
                </pic:pic>
              </a:graphicData>
            </a:graphic>
          </wp:inline>
        </w:drawing>
      </w:r>
    </w:p>
    <w:p w14:paraId="62AE170F" w14:textId="2CB96270" w:rsidR="00E82FC3" w:rsidRDefault="00000000">
      <w:pPr>
        <w:spacing w:after="200"/>
        <w:jc w:val="center"/>
      </w:pPr>
      <w:r>
        <w:rPr>
          <w:i/>
          <w:iCs/>
          <w:color w:val="6E6478"/>
          <w:sz w:val="18"/>
          <w:szCs w:val="18"/>
        </w:rPr>
        <w:t xml:space="preserve">Figure 6. Training data builds the profiles and drives every configuration decision. Test data is untouched.</w:t>
      </w:r>
    </w:p>
    <w:p w14:paraId="4BB77928" w14:textId="663D8D34" w:rsidR="00E82FC3" w:rsidRDefault="00000000">
      <w:pPr>
        <w:spacing w:after="130" w:line="280" w:lineRule="auto"/>
      </w:pPr>
      <w:r>
        <w:t>This rule is what makes the reported performance meaningful. Because BADIRA uses the data profile to select the model, any contact with the test data would leak into the model-selection decision itself.</w:t>
      </w:r>
    </w:p>
    <w:p w14:paraId="58AFE426" w14:textId="77777777" w:rsidR="00E82FC3" w:rsidRDefault="00000000">
      <w:pPr>
        <w:pStyle w:val="Heading1"/>
        <w:spacing w:before="360" w:after="150"/>
      </w:pPr>
      <w:r>
        <w:rPr>
          <w:b/>
          <w:bCs/>
          <w:color w:val="261E2D"/>
          <w:sz w:val="28"/>
          <w:szCs w:val="28"/>
        </w:rPr>
        <w:t>4. Goals and Objectives</w:t>
      </w:r>
    </w:p>
    <w:p w14:paraId="6ED05FDE" w14:textId="77777777" w:rsidR="00E82FC3" w:rsidRDefault="00000000">
      <w:pPr>
        <w:pStyle w:val="Heading2"/>
        <w:spacing w:before="260" w:after="110"/>
      </w:pPr>
      <w:r>
        <w:rPr>
          <w:b/>
          <w:bCs/>
          <w:color w:val="3B2F45"/>
          <w:sz w:val="23"/>
          <w:szCs w:val="23"/>
        </w:rPr>
        <w:t>4.1 Main goal</w:t>
      </w:r>
    </w:p>
    <w:p w14:paraId="4AFAAE3A" w14:textId="77777777" w:rsidR="00E82FC3" w:rsidRDefault="00000000">
      <w:pPr>
        <w:spacing w:after="130" w:line="280" w:lineRule="auto"/>
      </w:pPr>
      <w:r>
        <w:t>To build a self-adaptive prediction framework that can understand the quality of the available data, select a suitable prediction model, predict pregnancy complication risk over time, provide a confidence score, explain why the prediction is trustworthy, and work across different pregnancy complications.</w:t>
      </w:r>
    </w:p>
    <w:p w14:paraId="0DFAB42D" w14:textId="77777777" w:rsidR="00E82FC3" w:rsidRDefault="00000000">
      <w:pPr>
        <w:pStyle w:val="Heading2"/>
        <w:spacing w:before="260" w:after="110"/>
      </w:pPr>
      <w:r>
        <w:rPr>
          <w:b/>
          <w:bCs/>
          <w:color w:val="3B2F45"/>
          <w:sz w:val="23"/>
          <w:szCs w:val="23"/>
        </w:rPr>
        <w:t>4.2 Objectives</w:t>
      </w:r>
    </w:p>
    <w:tbl>
      <w:tblPr>
        <w:tblW w:w="900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700"/>
        <w:gridCol w:w="4500"/>
        <w:gridCol w:w="3800"/>
      </w:tblGrid>
      <w:tr w:rsidR="00E82FC3" w14:paraId="707A8730" w14:textId="77777777">
        <w:tblPrEx>
          <w:tblCellMar>
            <w:top w:w="0" w:type="dxa"/>
            <w:bottom w:w="0" w:type="dxa"/>
          </w:tblCellMar>
        </w:tblPrEx>
        <w:trPr>
          <w:tblHeader/>
        </w:trPr>
        <w:tc>
          <w:tcPr>
            <w:tcW w:w="700" w:type="dxa"/>
            <w:shd w:val="clear" w:color="auto" w:fill="EFE7EC"/>
            <w:tcMar>
              <w:top w:w="80" w:type="dxa"/>
              <w:left w:w="110" w:type="dxa"/>
              <w:bottom w:w="80" w:type="dxa"/>
              <w:right w:w="110" w:type="dxa"/>
            </w:tcMar>
          </w:tcPr>
          <w:p w14:paraId="65DED24D" w14:textId="77777777" w:rsidR="00E82FC3" w:rsidRDefault="00000000">
            <w:pPr>
              <w:spacing w:line="250" w:lineRule="auto"/>
            </w:pPr>
            <w:r>
              <w:rPr>
                <w:b/>
                <w:bCs/>
                <w:color w:val="261E2D"/>
                <w:sz w:val="18"/>
                <w:szCs w:val="18"/>
              </w:rPr>
              <w:t>#</w:t>
            </w:r>
          </w:p>
        </w:tc>
        <w:tc>
          <w:tcPr>
            <w:tcW w:w="4500" w:type="dxa"/>
            <w:shd w:val="clear" w:color="auto" w:fill="EFE7EC"/>
            <w:tcMar>
              <w:top w:w="80" w:type="dxa"/>
              <w:left w:w="110" w:type="dxa"/>
              <w:bottom w:w="80" w:type="dxa"/>
              <w:right w:w="110" w:type="dxa"/>
            </w:tcMar>
          </w:tcPr>
          <w:p w14:paraId="3036B767" w14:textId="77777777" w:rsidR="00E82FC3" w:rsidRDefault="00000000">
            <w:pPr>
              <w:spacing w:line="250" w:lineRule="auto"/>
            </w:pPr>
            <w:r>
              <w:rPr>
                <w:b/>
                <w:bCs/>
                <w:color w:val="261E2D"/>
                <w:sz w:val="18"/>
                <w:szCs w:val="18"/>
              </w:rPr>
              <w:t>Objective</w:t>
            </w:r>
          </w:p>
        </w:tc>
        <w:tc>
          <w:tcPr>
            <w:tcW w:w="3800" w:type="dxa"/>
            <w:shd w:val="clear" w:color="auto" w:fill="EFE7EC"/>
            <w:tcMar>
              <w:top w:w="80" w:type="dxa"/>
              <w:left w:w="110" w:type="dxa"/>
              <w:bottom w:w="80" w:type="dxa"/>
              <w:right w:w="110" w:type="dxa"/>
            </w:tcMar>
          </w:tcPr>
          <w:p w14:paraId="3E26C5AE" w14:textId="77777777" w:rsidR="00E82FC3" w:rsidRDefault="00000000">
            <w:pPr>
              <w:spacing w:line="250" w:lineRule="auto"/>
            </w:pPr>
            <w:r>
              <w:rPr>
                <w:b/>
                <w:bCs/>
                <w:color w:val="261E2D"/>
                <w:sz w:val="18"/>
                <w:szCs w:val="18"/>
              </w:rPr>
              <w:t>Success indicator</w:t>
            </w:r>
          </w:p>
        </w:tc>
      </w:tr>
      <w:tr w:rsidR="00E82FC3" w14:paraId="65D3157A" w14:textId="77777777">
        <w:tblPrEx>
          <w:tblCellMar>
            <w:top w:w="0" w:type="dxa"/>
            <w:bottom w:w="0" w:type="dxa"/>
          </w:tblCellMar>
        </w:tblPrEx>
        <w:tc>
          <w:tcPr>
            <w:tcW w:w="700" w:type="dxa"/>
            <w:tcMar>
              <w:top w:w="80" w:type="dxa"/>
              <w:left w:w="110" w:type="dxa"/>
              <w:bottom w:w="80" w:type="dxa"/>
              <w:right w:w="110" w:type="dxa"/>
            </w:tcMar>
          </w:tcPr>
          <w:p w14:paraId="27A13A9E" w14:textId="77777777" w:rsidR="00E82FC3" w:rsidRDefault="00000000">
            <w:pPr>
              <w:spacing w:line="250" w:lineRule="auto"/>
            </w:pPr>
            <w:r>
              <w:rPr>
                <w:b/>
                <w:bCs/>
                <w:sz w:val="18"/>
                <w:szCs w:val="18"/>
              </w:rPr>
              <w:t>O1</w:t>
            </w:r>
          </w:p>
        </w:tc>
        <w:tc>
          <w:tcPr>
            <w:tcW w:w="4500" w:type="dxa"/>
            <w:tcMar>
              <w:top w:w="80" w:type="dxa"/>
              <w:left w:w="110" w:type="dxa"/>
              <w:bottom w:w="80" w:type="dxa"/>
              <w:right w:w="110" w:type="dxa"/>
            </w:tcMar>
          </w:tcPr>
          <w:p w14:paraId="6F5294BD" w14:textId="77777777" w:rsidR="00E82FC3" w:rsidRDefault="00000000">
            <w:pPr>
              <w:spacing w:line="250" w:lineRule="auto"/>
            </w:pPr>
            <w:r>
              <w:rPr>
                <w:sz w:val="18"/>
                <w:szCs w:val="18"/>
              </w:rPr>
              <w:t>Define the Woman Schema and validate it against published clinical risk criteria</w:t>
            </w:r>
          </w:p>
        </w:tc>
        <w:tc>
          <w:tcPr>
            <w:tcW w:w="3800" w:type="dxa"/>
            <w:tcMar>
              <w:top w:w="80" w:type="dxa"/>
              <w:left w:w="110" w:type="dxa"/>
              <w:bottom w:w="80" w:type="dxa"/>
              <w:right w:w="110" w:type="dxa"/>
            </w:tcMar>
          </w:tcPr>
          <w:p w14:paraId="4E211297" w14:textId="77777777" w:rsidR="00E82FC3" w:rsidRDefault="00000000">
            <w:pPr>
              <w:spacing w:line="250" w:lineRule="auto"/>
            </w:pPr>
            <w:r>
              <w:rPr>
                <w:sz w:val="18"/>
                <w:szCs w:val="18"/>
              </w:rPr>
              <w:t>Schema reviewed by the clinical collaborator and mapped to the SMFM risk-factor checklist</w:t>
            </w:r>
          </w:p>
        </w:tc>
      </w:tr>
      <w:tr w:rsidR="00E82FC3" w14:paraId="147E148C" w14:textId="77777777">
        <w:tblPrEx>
          <w:tblCellMar>
            <w:top w:w="0" w:type="dxa"/>
            <w:bottom w:w="0" w:type="dxa"/>
          </w:tblCellMar>
        </w:tblPrEx>
        <w:tc>
          <w:tcPr>
            <w:tcW w:w="700" w:type="dxa"/>
            <w:shd w:val="clear" w:color="auto" w:fill="FAF8F9"/>
            <w:tcMar>
              <w:top w:w="80" w:type="dxa"/>
              <w:left w:w="110" w:type="dxa"/>
              <w:bottom w:w="80" w:type="dxa"/>
              <w:right w:w="110" w:type="dxa"/>
            </w:tcMar>
          </w:tcPr>
          <w:p w14:paraId="6DEBD55D" w14:textId="77777777" w:rsidR="00E82FC3" w:rsidRDefault="00000000">
            <w:pPr>
              <w:spacing w:line="250" w:lineRule="auto"/>
            </w:pPr>
            <w:r>
              <w:rPr>
                <w:b/>
                <w:bCs/>
                <w:sz w:val="18"/>
                <w:szCs w:val="18"/>
              </w:rPr>
              <w:t>O2</w:t>
            </w:r>
          </w:p>
        </w:tc>
        <w:tc>
          <w:tcPr>
            <w:tcW w:w="4500" w:type="dxa"/>
            <w:shd w:val="clear" w:color="auto" w:fill="FAF8F9"/>
            <w:tcMar>
              <w:top w:w="80" w:type="dxa"/>
              <w:left w:w="110" w:type="dxa"/>
              <w:bottom w:w="80" w:type="dxa"/>
              <w:right w:w="110" w:type="dxa"/>
            </w:tcMar>
          </w:tcPr>
          <w:p w14:paraId="0B654E25" w14:textId="77777777" w:rsidR="00E82FC3" w:rsidRDefault="00000000">
            <w:pPr>
              <w:spacing w:line="250" w:lineRule="auto"/>
            </w:pPr>
            <w:r>
              <w:rPr>
                <w:sz w:val="18"/>
                <w:szCs w:val="18"/>
              </w:rPr>
              <w:t>Implement the Data Profiler across all six dimensions</w:t>
            </w:r>
          </w:p>
        </w:tc>
        <w:tc>
          <w:tcPr>
            <w:tcW w:w="3800" w:type="dxa"/>
            <w:shd w:val="clear" w:color="auto" w:fill="FAF8F9"/>
            <w:tcMar>
              <w:top w:w="80" w:type="dxa"/>
              <w:left w:w="110" w:type="dxa"/>
              <w:bottom w:w="80" w:type="dxa"/>
              <w:right w:w="110" w:type="dxa"/>
            </w:tcMar>
          </w:tcPr>
          <w:p w14:paraId="48739092" w14:textId="77777777" w:rsidR="00E82FC3" w:rsidRDefault="00000000">
            <w:pPr>
              <w:spacing w:line="250" w:lineRule="auto"/>
            </w:pPr>
            <w:r>
              <w:rPr>
                <w:sz w:val="18"/>
                <w:szCs w:val="18"/>
              </w:rPr>
              <w:t>Profiler produces a reproducible profile report for any candidate dataset</w:t>
            </w:r>
          </w:p>
        </w:tc>
      </w:tr>
      <w:tr w:rsidR="00E82FC3" w14:paraId="4D483DFD" w14:textId="77777777">
        <w:tblPrEx>
          <w:tblCellMar>
            <w:top w:w="0" w:type="dxa"/>
            <w:bottom w:w="0" w:type="dxa"/>
          </w:tblCellMar>
        </w:tblPrEx>
        <w:tc>
          <w:tcPr>
            <w:tcW w:w="700" w:type="dxa"/>
            <w:tcMar>
              <w:top w:w="80" w:type="dxa"/>
              <w:left w:w="110" w:type="dxa"/>
              <w:bottom w:w="80" w:type="dxa"/>
              <w:right w:w="110" w:type="dxa"/>
            </w:tcMar>
          </w:tcPr>
          <w:p w14:paraId="43E6FABA" w14:textId="77777777" w:rsidR="00E82FC3" w:rsidRDefault="00000000">
            <w:pPr>
              <w:spacing w:line="250" w:lineRule="auto"/>
            </w:pPr>
            <w:r>
              <w:rPr>
                <w:b/>
                <w:bCs/>
                <w:sz w:val="18"/>
                <w:szCs w:val="18"/>
              </w:rPr>
              <w:t>O3</w:t>
            </w:r>
          </w:p>
        </w:tc>
        <w:tc>
          <w:tcPr>
            <w:tcW w:w="4500" w:type="dxa"/>
            <w:tcMar>
              <w:top w:w="80" w:type="dxa"/>
              <w:left w:w="110" w:type="dxa"/>
              <w:bottom w:w="80" w:type="dxa"/>
              <w:right w:w="110" w:type="dxa"/>
            </w:tcMar>
          </w:tcPr>
          <w:p w14:paraId="0F2D906F" w14:textId="77777777" w:rsidR="00E82FC3" w:rsidRDefault="00000000">
            <w:pPr>
              <w:spacing w:line="250" w:lineRule="auto"/>
            </w:pPr>
            <w:r>
              <w:rPr>
                <w:sz w:val="18"/>
                <w:szCs w:val="18"/>
              </w:rPr>
              <w:t>Define and implement the model-selection policy that maps a data profile to a model and configuration</w:t>
            </w:r>
          </w:p>
        </w:tc>
        <w:tc>
          <w:tcPr>
            <w:tcW w:w="3800" w:type="dxa"/>
            <w:tcMar>
              <w:top w:w="80" w:type="dxa"/>
              <w:left w:w="110" w:type="dxa"/>
              <w:bottom w:w="80" w:type="dxa"/>
              <w:right w:w="110" w:type="dxa"/>
            </w:tcMar>
          </w:tcPr>
          <w:p w14:paraId="620AA426" w14:textId="77777777" w:rsidR="00E82FC3" w:rsidRDefault="00000000">
            <w:pPr>
              <w:spacing w:line="250" w:lineRule="auto"/>
            </w:pPr>
            <w:r>
              <w:rPr>
                <w:sz w:val="18"/>
                <w:szCs w:val="18"/>
              </w:rPr>
              <w:t>Selection decisions are reproducible and justified by the profile, not chosen by hand</w:t>
            </w:r>
          </w:p>
        </w:tc>
      </w:tr>
      <w:tr w:rsidR="00E82FC3" w14:paraId="78863FD8" w14:textId="77777777">
        <w:tblPrEx>
          <w:tblCellMar>
            <w:top w:w="0" w:type="dxa"/>
            <w:bottom w:w="0" w:type="dxa"/>
          </w:tblCellMar>
        </w:tblPrEx>
        <w:tc>
          <w:tcPr>
            <w:tcW w:w="700" w:type="dxa"/>
            <w:shd w:val="clear" w:color="auto" w:fill="FAF8F9"/>
            <w:tcMar>
              <w:top w:w="80" w:type="dxa"/>
              <w:left w:w="110" w:type="dxa"/>
              <w:bottom w:w="80" w:type="dxa"/>
              <w:right w:w="110" w:type="dxa"/>
            </w:tcMar>
          </w:tcPr>
          <w:p w14:paraId="677EFA3C" w14:textId="77777777" w:rsidR="00E82FC3" w:rsidRDefault="00000000">
            <w:pPr>
              <w:spacing w:line="250" w:lineRule="auto"/>
            </w:pPr>
            <w:r>
              <w:rPr>
                <w:b/>
                <w:bCs/>
                <w:sz w:val="18"/>
                <w:szCs w:val="18"/>
              </w:rPr>
              <w:t>O4</w:t>
            </w:r>
          </w:p>
        </w:tc>
        <w:tc>
          <w:tcPr>
            <w:tcW w:w="4500" w:type="dxa"/>
            <w:shd w:val="clear" w:color="auto" w:fill="FAF8F9"/>
            <w:tcMar>
              <w:top w:w="80" w:type="dxa"/>
              <w:left w:w="110" w:type="dxa"/>
              <w:bottom w:w="80" w:type="dxa"/>
              <w:right w:w="110" w:type="dxa"/>
            </w:tcMar>
          </w:tcPr>
          <w:p w14:paraId="0D52BC26" w14:textId="77777777" w:rsidR="00E82FC3" w:rsidRDefault="00000000">
            <w:pPr>
              <w:spacing w:line="250" w:lineRule="auto"/>
            </w:pPr>
            <w:r>
              <w:rPr>
                <w:sz w:val="18"/>
                <w:szCs w:val="18"/>
              </w:rPr>
              <w:t>Obtain a dataset with sufficient schema coverage and complication case count</w:t>
            </w:r>
          </w:p>
        </w:tc>
        <w:tc>
          <w:tcPr>
            <w:tcW w:w="3800" w:type="dxa"/>
            <w:shd w:val="clear" w:color="auto" w:fill="FAF8F9"/>
            <w:tcMar>
              <w:top w:w="80" w:type="dxa"/>
              <w:left w:w="110" w:type="dxa"/>
              <w:bottom w:w="80" w:type="dxa"/>
              <w:right w:w="110" w:type="dxa"/>
            </w:tcMar>
          </w:tcPr>
          <w:p w14:paraId="3A08A3F2" w14:textId="77777777" w:rsidR="00E82FC3" w:rsidRDefault="00000000">
            <w:pPr>
              <w:spacing w:line="250" w:lineRule="auto"/>
            </w:pPr>
            <w:r>
              <w:rPr>
                <w:sz w:val="18"/>
                <w:szCs w:val="18"/>
              </w:rPr>
              <w:t>Executed data use agreement and data in hand</w:t>
            </w:r>
          </w:p>
        </w:tc>
      </w:tr>
      <w:tr w:rsidR="00E82FC3" w14:paraId="57B4D95B" w14:textId="77777777">
        <w:tblPrEx>
          <w:tblCellMar>
            <w:top w:w="0" w:type="dxa"/>
            <w:bottom w:w="0" w:type="dxa"/>
          </w:tblCellMar>
        </w:tblPrEx>
        <w:tc>
          <w:tcPr>
            <w:tcW w:w="700" w:type="dxa"/>
            <w:tcMar>
              <w:top w:w="80" w:type="dxa"/>
              <w:left w:w="110" w:type="dxa"/>
              <w:bottom w:w="80" w:type="dxa"/>
              <w:right w:w="110" w:type="dxa"/>
            </w:tcMar>
          </w:tcPr>
          <w:p w14:paraId="514C45DE" w14:textId="77777777" w:rsidR="00E82FC3" w:rsidRDefault="00000000">
            <w:pPr>
              <w:spacing w:line="250" w:lineRule="auto"/>
            </w:pPr>
            <w:r>
              <w:rPr>
                <w:b/>
                <w:bCs/>
                <w:sz w:val="18"/>
                <w:szCs w:val="18"/>
              </w:rPr>
              <w:t>O5</w:t>
            </w:r>
          </w:p>
        </w:tc>
        <w:tc>
          <w:tcPr>
            <w:tcW w:w="4500" w:type="dxa"/>
            <w:tcMar>
              <w:top w:w="80" w:type="dxa"/>
              <w:left w:w="110" w:type="dxa"/>
              <w:bottom w:w="80" w:type="dxa"/>
              <w:right w:w="110" w:type="dxa"/>
            </w:tcMar>
          </w:tcPr>
          <w:p w14:paraId="76212DFC" w14:textId="77777777" w:rsidR="00E82FC3" w:rsidRDefault="00000000">
            <w:pPr>
              <w:spacing w:line="250" w:lineRule="auto"/>
            </w:pPr>
            <w:r>
              <w:rPr>
                <w:sz w:val="18"/>
                <w:szCs w:val="18"/>
              </w:rPr>
              <w:t>Produce risk-over-time predictions with a confidence score and an explanation</w:t>
            </w:r>
          </w:p>
        </w:tc>
        <w:tc>
          <w:tcPr>
            <w:tcW w:w="3800" w:type="dxa"/>
            <w:tcMar>
              <w:top w:w="80" w:type="dxa"/>
              <w:left w:w="110" w:type="dxa"/>
              <w:bottom w:w="80" w:type="dxa"/>
              <w:right w:w="110" w:type="dxa"/>
            </w:tcMar>
          </w:tcPr>
          <w:p w14:paraId="71EE22AA" w14:textId="77777777" w:rsidR="00E82FC3" w:rsidRDefault="00000000">
            <w:pPr>
              <w:spacing w:line="250" w:lineRule="auto"/>
            </w:pPr>
            <w:r>
              <w:rPr>
                <w:sz w:val="18"/>
                <w:szCs w:val="18"/>
              </w:rPr>
              <w:t>All three outputs generated together for the preeclampsia task</w:t>
            </w:r>
          </w:p>
        </w:tc>
      </w:tr>
      <w:tr w:rsidR="00E82FC3" w14:paraId="6686374D" w14:textId="77777777">
        <w:tblPrEx>
          <w:tblCellMar>
            <w:top w:w="0" w:type="dxa"/>
            <w:bottom w:w="0" w:type="dxa"/>
          </w:tblCellMar>
        </w:tblPrEx>
        <w:tc>
          <w:tcPr>
            <w:tcW w:w="700" w:type="dxa"/>
            <w:shd w:val="clear" w:color="auto" w:fill="FAF8F9"/>
            <w:tcMar>
              <w:top w:w="80" w:type="dxa"/>
              <w:left w:w="110" w:type="dxa"/>
              <w:bottom w:w="80" w:type="dxa"/>
              <w:right w:w="110" w:type="dxa"/>
            </w:tcMar>
          </w:tcPr>
          <w:p w14:paraId="50034CCD" w14:textId="77777777" w:rsidR="00E82FC3" w:rsidRDefault="00000000">
            <w:pPr>
              <w:spacing w:line="250" w:lineRule="auto"/>
            </w:pPr>
            <w:r>
              <w:rPr>
                <w:b/>
                <w:bCs/>
                <w:sz w:val="18"/>
                <w:szCs w:val="18"/>
              </w:rPr>
              <w:t>O6</w:t>
            </w:r>
          </w:p>
        </w:tc>
        <w:tc>
          <w:tcPr>
            <w:tcW w:w="4500" w:type="dxa"/>
            <w:shd w:val="clear" w:color="auto" w:fill="FAF8F9"/>
            <w:tcMar>
              <w:top w:w="80" w:type="dxa"/>
              <w:left w:w="110" w:type="dxa"/>
              <w:bottom w:w="80" w:type="dxa"/>
              <w:right w:w="110" w:type="dxa"/>
            </w:tcMar>
          </w:tcPr>
          <w:p w14:paraId="29A63F06" w14:textId="77777777" w:rsidR="00E82FC3" w:rsidRDefault="00000000">
            <w:pPr>
              <w:spacing w:line="250" w:lineRule="auto"/>
            </w:pPr>
            <w:r>
              <w:rPr>
                <w:sz w:val="18"/>
                <w:szCs w:val="18"/>
              </w:rPr>
              <w:t>Evaluate on untouched test data and report performance honestly</w:t>
            </w:r>
          </w:p>
        </w:tc>
        <w:tc>
          <w:tcPr>
            <w:tcW w:w="3800" w:type="dxa"/>
            <w:shd w:val="clear" w:color="auto" w:fill="FAF8F9"/>
            <w:tcMar>
              <w:top w:w="80" w:type="dxa"/>
              <w:left w:w="110" w:type="dxa"/>
              <w:bottom w:w="80" w:type="dxa"/>
              <w:right w:w="110" w:type="dxa"/>
            </w:tcMar>
          </w:tcPr>
          <w:p w14:paraId="69CC87E4" w14:textId="77777777" w:rsidR="00E82FC3" w:rsidRDefault="00000000">
            <w:pPr>
              <w:spacing w:line="250" w:lineRule="auto"/>
            </w:pPr>
            <w:r>
              <w:rPr>
                <w:sz w:val="18"/>
                <w:szCs w:val="18"/>
              </w:rPr>
              <w:t>Detection rate reported with its false-positive rate and the population trained on</w:t>
            </w:r>
          </w:p>
        </w:tc>
      </w:tr>
      <w:tr w:rsidR="00E82FC3" w14:paraId="4951F080" w14:textId="77777777">
        <w:tblPrEx>
          <w:tblCellMar>
            <w:top w:w="0" w:type="dxa"/>
            <w:bottom w:w="0" w:type="dxa"/>
          </w:tblCellMar>
        </w:tblPrEx>
        <w:tc>
          <w:tcPr>
            <w:tcW w:w="700" w:type="dxa"/>
            <w:tcMar>
              <w:top w:w="80" w:type="dxa"/>
              <w:left w:w="110" w:type="dxa"/>
              <w:bottom w:w="80" w:type="dxa"/>
              <w:right w:w="110" w:type="dxa"/>
            </w:tcMar>
          </w:tcPr>
          <w:p w14:paraId="46048061" w14:textId="77777777" w:rsidR="00E82FC3" w:rsidRDefault="00000000">
            <w:pPr>
              <w:spacing w:line="250" w:lineRule="auto"/>
            </w:pPr>
            <w:r>
              <w:rPr>
                <w:b/>
                <w:bCs/>
                <w:sz w:val="18"/>
                <w:szCs w:val="18"/>
              </w:rPr>
              <w:t>O7</w:t>
            </w:r>
          </w:p>
        </w:tc>
        <w:tc>
          <w:tcPr>
            <w:tcW w:w="4500" w:type="dxa"/>
            <w:tcMar>
              <w:top w:w="80" w:type="dxa"/>
              <w:left w:w="110" w:type="dxa"/>
              <w:bottom w:w="80" w:type="dxa"/>
              <w:right w:w="110" w:type="dxa"/>
            </w:tcMar>
          </w:tcPr>
          <w:p w14:paraId="35BDE94C" w14:textId="77777777" w:rsidR="00E82FC3" w:rsidRDefault="00000000">
            <w:pPr>
              <w:spacing w:line="250" w:lineRule="auto"/>
            </w:pPr>
            <w:r>
              <w:rPr>
                <w:sz w:val="18"/>
                <w:szCs w:val="18"/>
              </w:rPr>
              <w:t>Demonstrate adaptability by repeating the process for preterm birth and GDM</w:t>
            </w:r>
          </w:p>
        </w:tc>
        <w:tc>
          <w:tcPr>
            <w:tcW w:w="3800" w:type="dxa"/>
            <w:tcMar>
              <w:top w:w="80" w:type="dxa"/>
              <w:left w:w="110" w:type="dxa"/>
              <w:bottom w:w="80" w:type="dxa"/>
              <w:right w:w="110" w:type="dxa"/>
            </w:tcMar>
          </w:tcPr>
          <w:p w14:paraId="51ABDD34" w14:textId="77777777" w:rsidR="00E82FC3" w:rsidRDefault="00000000">
            <w:pPr>
              <w:spacing w:line="250" w:lineRule="auto"/>
            </w:pPr>
            <w:r>
              <w:rPr>
                <w:sz w:val="18"/>
                <w:szCs w:val="18"/>
              </w:rPr>
              <w:t>The framework runs end to end on all three tasks without redesign</w:t>
            </w:r>
          </w:p>
        </w:tc>
      </w:tr>
    </w:tbl>
    <w:p w14:paraId="67844BD1" w14:textId="77777777" w:rsidR="00E82FC3" w:rsidRDefault="00000000">
      <w:pPr>
        <w:pStyle w:val="Heading1"/>
        <w:spacing w:before="360" w:after="150"/>
      </w:pPr>
      <w:r>
        <w:rPr>
          <w:b/>
          <w:bCs/>
          <w:color w:val="261E2D"/>
          <w:sz w:val="28"/>
          <w:szCs w:val="28"/>
        </w:rPr>
        <w:t>5. The Three Clinical Tasks</w:t>
      </w:r>
    </w:p>
    <w:p w14:paraId="595D91A7" w14:textId="77777777" w:rsidR="00E82FC3" w:rsidRDefault="00000000">
      <w:pPr>
        <w:spacing w:after="130" w:line="280" w:lineRule="auto"/>
      </w:pPr>
      <w:r>
        <w:t>The same framework is applied to all three complications. What changes is the data and the prediction target.</w:t>
      </w:r>
    </w:p>
    <w:p w14:paraId="75A98FC0" w14:textId="77777777" w:rsidR="00E82FC3" w:rsidRDefault="00000000">
      <w:pPr>
        <w:spacing w:before="200" w:after="60"/>
        <w:jc w:val="center"/>
      </w:pPr>
      <w:r>
        <w:rPr>
          <w:noProof/>
        </w:rPr>
        <w:lastRenderedPageBreak/>
        <w:drawing>
          <wp:inline distT="0" distB="0" distL="0" distR="0" wp14:anchorId="5E183CE6" wp14:editId="19519D16">
            <wp:extent cx="6149340" cy="2580859"/>
            <wp:effectExtent l="0" t="0" r="3810" b="0"/>
            <wp:docPr id="1374529582" name="Picture 1374529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55002" cy="2583235"/>
                    </a:xfrm>
                    <a:prstGeom prst="rect">
                      <a:avLst/>
                    </a:prstGeom>
                  </pic:spPr>
                </pic:pic>
              </a:graphicData>
            </a:graphic>
          </wp:inline>
        </w:drawing>
      </w:r>
    </w:p>
    <w:p w14:paraId="04FCC206" w14:textId="73771D1C" w:rsidR="00E82FC3" w:rsidRDefault="00000000">
      <w:pPr>
        <w:spacing w:after="200"/>
        <w:jc w:val="center"/>
      </w:pPr>
      <w:r>
        <w:rPr>
          <w:i/>
          <w:iCs/>
          <w:color w:val="6E6478"/>
          <w:sz w:val="18"/>
          <w:szCs w:val="18"/>
        </w:rPr>
        <w:t xml:space="preserve">Figure 7. The three clinical tasks. Preeclampsia is the first test case.</w:t>
      </w:r>
    </w:p>
    <w:p w14:paraId="4FC9610D" w14:textId="77777777" w:rsidR="00E82FC3" w:rsidRDefault="00000000">
      <w:pPr>
        <w:pStyle w:val="Heading1"/>
        <w:spacing w:before="360" w:after="150"/>
      </w:pPr>
      <w:r>
        <w:rPr>
          <w:b/>
          <w:bCs/>
          <w:color w:val="261E2D"/>
          <w:sz w:val="28"/>
          <w:szCs w:val="28"/>
        </w:rPr>
        <w:t>6. Project Deliverables</w:t>
      </w:r>
    </w:p>
    <w:tbl>
      <w:tblPr>
        <w:tblW w:w="900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2600"/>
        <w:gridCol w:w="6400"/>
      </w:tblGrid>
      <w:tr w:rsidR="00E82FC3" w14:paraId="38F2CB3F" w14:textId="77777777">
        <w:tblPrEx>
          <w:tblCellMar>
            <w:top w:w="0" w:type="dxa"/>
            <w:bottom w:w="0" w:type="dxa"/>
          </w:tblCellMar>
        </w:tblPrEx>
        <w:trPr>
          <w:tblHeader/>
        </w:trPr>
        <w:tc>
          <w:tcPr>
            <w:tcW w:w="2600" w:type="dxa"/>
            <w:shd w:val="clear" w:color="auto" w:fill="EFE7EC"/>
            <w:tcMar>
              <w:top w:w="80" w:type="dxa"/>
              <w:left w:w="110" w:type="dxa"/>
              <w:bottom w:w="80" w:type="dxa"/>
              <w:right w:w="110" w:type="dxa"/>
            </w:tcMar>
          </w:tcPr>
          <w:p w14:paraId="7B9D054A" w14:textId="77777777" w:rsidR="00E82FC3" w:rsidRDefault="00000000">
            <w:pPr>
              <w:spacing w:line="250" w:lineRule="auto"/>
            </w:pPr>
            <w:r>
              <w:rPr>
                <w:b/>
                <w:bCs/>
                <w:color w:val="261E2D"/>
                <w:sz w:val="18"/>
                <w:szCs w:val="18"/>
              </w:rPr>
              <w:t>Deliverable</w:t>
            </w:r>
          </w:p>
        </w:tc>
        <w:tc>
          <w:tcPr>
            <w:tcW w:w="6400" w:type="dxa"/>
            <w:shd w:val="clear" w:color="auto" w:fill="EFE7EC"/>
            <w:tcMar>
              <w:top w:w="80" w:type="dxa"/>
              <w:left w:w="110" w:type="dxa"/>
              <w:bottom w:w="80" w:type="dxa"/>
              <w:right w:w="110" w:type="dxa"/>
            </w:tcMar>
          </w:tcPr>
          <w:p w14:paraId="51E0D25B" w14:textId="77777777" w:rsidR="00E82FC3" w:rsidRDefault="00000000">
            <w:pPr>
              <w:spacing w:line="250" w:lineRule="auto"/>
            </w:pPr>
            <w:r>
              <w:rPr>
                <w:b/>
                <w:bCs/>
                <w:color w:val="261E2D"/>
                <w:sz w:val="18"/>
                <w:szCs w:val="18"/>
              </w:rPr>
              <w:t>Description</w:t>
            </w:r>
          </w:p>
        </w:tc>
      </w:tr>
      <w:tr w:rsidR="00E82FC3" w14:paraId="152AF9DB" w14:textId="77777777">
        <w:tblPrEx>
          <w:tblCellMar>
            <w:top w:w="0" w:type="dxa"/>
            <w:bottom w:w="0" w:type="dxa"/>
          </w:tblCellMar>
        </w:tblPrEx>
        <w:tc>
          <w:tcPr>
            <w:tcW w:w="2600" w:type="dxa"/>
            <w:tcMar>
              <w:top w:w="80" w:type="dxa"/>
              <w:left w:w="110" w:type="dxa"/>
              <w:bottom w:w="80" w:type="dxa"/>
              <w:right w:w="110" w:type="dxa"/>
            </w:tcMar>
          </w:tcPr>
          <w:p w14:paraId="556BEFBA" w14:textId="77777777" w:rsidR="00E82FC3" w:rsidRDefault="00000000">
            <w:pPr>
              <w:spacing w:line="250" w:lineRule="auto"/>
            </w:pPr>
            <w:r>
              <w:rPr>
                <w:b/>
                <w:bCs/>
                <w:sz w:val="18"/>
                <w:szCs w:val="18"/>
              </w:rPr>
              <w:t>Woman Schema specification</w:t>
            </w:r>
          </w:p>
        </w:tc>
        <w:tc>
          <w:tcPr>
            <w:tcW w:w="6400" w:type="dxa"/>
            <w:tcMar>
              <w:top w:w="80" w:type="dxa"/>
              <w:left w:w="110" w:type="dxa"/>
              <w:bottom w:w="80" w:type="dxa"/>
              <w:right w:w="110" w:type="dxa"/>
            </w:tcMar>
          </w:tcPr>
          <w:p w14:paraId="28D8831F" w14:textId="77777777" w:rsidR="00E82FC3" w:rsidRDefault="00000000">
            <w:pPr>
              <w:spacing w:line="250" w:lineRule="auto"/>
            </w:pPr>
            <w:r>
              <w:rPr>
                <w:sz w:val="18"/>
                <w:szCs w:val="18"/>
              </w:rPr>
              <w:t xml:space="preserve">The standardised profile structure, with every field traced to a published clinical risk criterion.</w:t>
            </w:r>
          </w:p>
        </w:tc>
      </w:tr>
      <w:tr w:rsidR="00E82FC3" w14:paraId="7D54DDA9" w14:textId="77777777">
        <w:tblPrEx>
          <w:tblCellMar>
            <w:top w:w="0" w:type="dxa"/>
            <w:bottom w:w="0" w:type="dxa"/>
          </w:tblCellMar>
        </w:tblPrEx>
        <w:tc>
          <w:tcPr>
            <w:tcW w:w="2600" w:type="dxa"/>
            <w:shd w:val="clear" w:color="auto" w:fill="FAF8F9"/>
            <w:tcMar>
              <w:top w:w="80" w:type="dxa"/>
              <w:left w:w="110" w:type="dxa"/>
              <w:bottom w:w="80" w:type="dxa"/>
              <w:right w:w="110" w:type="dxa"/>
            </w:tcMar>
          </w:tcPr>
          <w:p w14:paraId="2CC005E0" w14:textId="77777777" w:rsidR="00E82FC3" w:rsidRDefault="00000000">
            <w:pPr>
              <w:spacing w:line="250" w:lineRule="auto"/>
            </w:pPr>
            <w:r>
              <w:rPr>
                <w:b/>
                <w:bCs/>
                <w:sz w:val="18"/>
                <w:szCs w:val="18"/>
              </w:rPr>
              <w:t>Data Profiler</w:t>
            </w:r>
          </w:p>
        </w:tc>
        <w:tc>
          <w:tcPr>
            <w:tcW w:w="6400" w:type="dxa"/>
            <w:shd w:val="clear" w:color="auto" w:fill="FAF8F9"/>
            <w:tcMar>
              <w:top w:w="80" w:type="dxa"/>
              <w:left w:w="110" w:type="dxa"/>
              <w:bottom w:w="80" w:type="dxa"/>
              <w:right w:w="110" w:type="dxa"/>
            </w:tcMar>
          </w:tcPr>
          <w:p w14:paraId="5DAE2882" w14:textId="77777777" w:rsidR="00E82FC3" w:rsidRDefault="00000000">
            <w:pPr>
              <w:spacing w:line="250" w:lineRule="auto"/>
            </w:pPr>
            <w:r>
              <w:rPr>
                <w:sz w:val="18"/>
                <w:szCs w:val="18"/>
              </w:rPr>
              <w:t>An implemented component producing a reproducible six-dimension profile of any candidate dataset.</w:t>
            </w:r>
          </w:p>
        </w:tc>
      </w:tr>
      <w:tr w:rsidR="00E82FC3" w14:paraId="30F6164C" w14:textId="77777777">
        <w:tblPrEx>
          <w:tblCellMar>
            <w:top w:w="0" w:type="dxa"/>
            <w:bottom w:w="0" w:type="dxa"/>
          </w:tblCellMar>
        </w:tblPrEx>
        <w:tc>
          <w:tcPr>
            <w:tcW w:w="2600" w:type="dxa"/>
            <w:tcMar>
              <w:top w:w="80" w:type="dxa"/>
              <w:left w:w="110" w:type="dxa"/>
              <w:bottom w:w="80" w:type="dxa"/>
              <w:right w:w="110" w:type="dxa"/>
            </w:tcMar>
          </w:tcPr>
          <w:p w14:paraId="3BC8A5D0" w14:textId="77777777" w:rsidR="00E82FC3" w:rsidRDefault="00000000">
            <w:pPr>
              <w:spacing w:line="250" w:lineRule="auto"/>
            </w:pPr>
            <w:r>
              <w:rPr>
                <w:b/>
                <w:bCs/>
                <w:sz w:val="18"/>
                <w:szCs w:val="18"/>
              </w:rPr>
              <w:t>Model-selection policy</w:t>
            </w:r>
          </w:p>
        </w:tc>
        <w:tc>
          <w:tcPr>
            <w:tcW w:w="6400" w:type="dxa"/>
            <w:tcMar>
              <w:top w:w="80" w:type="dxa"/>
              <w:left w:w="110" w:type="dxa"/>
              <w:bottom w:w="80" w:type="dxa"/>
              <w:right w:w="110" w:type="dxa"/>
            </w:tcMar>
          </w:tcPr>
          <w:p w14:paraId="1B8DFB80" w14:textId="77777777" w:rsidR="00E82FC3" w:rsidRDefault="00000000">
            <w:pPr>
              <w:spacing w:line="250" w:lineRule="auto"/>
            </w:pPr>
            <w:r>
              <w:rPr>
                <w:sz w:val="18"/>
                <w:szCs w:val="18"/>
              </w:rPr>
              <w:t>The documented mapping from data profile to model family and configuration.</w:t>
            </w:r>
          </w:p>
        </w:tc>
      </w:tr>
      <w:tr w:rsidR="00E82FC3" w14:paraId="28771EE2" w14:textId="77777777">
        <w:tblPrEx>
          <w:tblCellMar>
            <w:top w:w="0" w:type="dxa"/>
            <w:bottom w:w="0" w:type="dxa"/>
          </w:tblCellMar>
        </w:tblPrEx>
        <w:tc>
          <w:tcPr>
            <w:tcW w:w="2600" w:type="dxa"/>
            <w:shd w:val="clear" w:color="auto" w:fill="FAF8F9"/>
            <w:tcMar>
              <w:top w:w="80" w:type="dxa"/>
              <w:left w:w="110" w:type="dxa"/>
              <w:bottom w:w="80" w:type="dxa"/>
              <w:right w:w="110" w:type="dxa"/>
            </w:tcMar>
          </w:tcPr>
          <w:p w14:paraId="6BC22F4F" w14:textId="77777777" w:rsidR="00E82FC3" w:rsidRDefault="00000000">
            <w:pPr>
              <w:spacing w:line="250" w:lineRule="auto"/>
            </w:pPr>
            <w:r>
              <w:rPr>
                <w:b/>
                <w:bCs/>
                <w:sz w:val="18"/>
                <w:szCs w:val="18"/>
              </w:rPr>
              <w:t>Prediction module</w:t>
            </w:r>
          </w:p>
        </w:tc>
        <w:tc>
          <w:tcPr>
            <w:tcW w:w="6400" w:type="dxa"/>
            <w:shd w:val="clear" w:color="auto" w:fill="FAF8F9"/>
            <w:tcMar>
              <w:top w:w="80" w:type="dxa"/>
              <w:left w:w="110" w:type="dxa"/>
              <w:bottom w:w="80" w:type="dxa"/>
              <w:right w:w="110" w:type="dxa"/>
            </w:tcMar>
          </w:tcPr>
          <w:p w14:paraId="139DD167" w14:textId="77777777" w:rsidR="00E82FC3" w:rsidRDefault="00000000">
            <w:pPr>
              <w:spacing w:line="250" w:lineRule="auto"/>
            </w:pPr>
            <w:r>
              <w:rPr>
                <w:sz w:val="18"/>
                <w:szCs w:val="18"/>
              </w:rPr>
              <w:t>A time-to-event model producing risk over time, a confidence score and an explanation.</w:t>
            </w:r>
          </w:p>
        </w:tc>
      </w:tr>
      <w:tr w:rsidR="00E82FC3" w14:paraId="0E491BB4" w14:textId="77777777">
        <w:tblPrEx>
          <w:tblCellMar>
            <w:top w:w="0" w:type="dxa"/>
            <w:bottom w:w="0" w:type="dxa"/>
          </w:tblCellMar>
        </w:tblPrEx>
        <w:tc>
          <w:tcPr>
            <w:tcW w:w="2600" w:type="dxa"/>
            <w:tcMar>
              <w:top w:w="80" w:type="dxa"/>
              <w:left w:w="110" w:type="dxa"/>
              <w:bottom w:w="80" w:type="dxa"/>
              <w:right w:w="110" w:type="dxa"/>
            </w:tcMar>
          </w:tcPr>
          <w:p w14:paraId="7CE87BFF" w14:textId="77777777" w:rsidR="00E82FC3" w:rsidRDefault="00000000">
            <w:pPr>
              <w:spacing w:line="250" w:lineRule="auto"/>
            </w:pPr>
            <w:r>
              <w:rPr>
                <w:b/>
                <w:bCs/>
                <w:sz w:val="18"/>
                <w:szCs w:val="18"/>
              </w:rPr>
              <w:t>Evaluation report</w:t>
            </w:r>
          </w:p>
        </w:tc>
        <w:tc>
          <w:tcPr>
            <w:tcW w:w="6400" w:type="dxa"/>
            <w:tcMar>
              <w:top w:w="80" w:type="dxa"/>
              <w:left w:w="110" w:type="dxa"/>
              <w:bottom w:w="80" w:type="dxa"/>
              <w:right w:w="110" w:type="dxa"/>
            </w:tcMar>
          </w:tcPr>
          <w:p w14:paraId="7DE9D2CE" w14:textId="77777777" w:rsidR="00E82FC3" w:rsidRDefault="00000000">
            <w:pPr>
              <w:spacing w:line="250" w:lineRule="auto"/>
            </w:pPr>
            <w:r>
              <w:rPr>
                <w:sz w:val="18"/>
                <w:szCs w:val="18"/>
              </w:rPr>
              <w:t>Performance on untouched test data for each clinical task, with limitations stated.</w:t>
            </w:r>
          </w:p>
        </w:tc>
      </w:tr>
      <w:tr w:rsidR="00E82FC3" w14:paraId="341F7E98" w14:textId="77777777">
        <w:tblPrEx>
          <w:tblCellMar>
            <w:top w:w="0" w:type="dxa"/>
            <w:bottom w:w="0" w:type="dxa"/>
          </w:tblCellMar>
        </w:tblPrEx>
        <w:tc>
          <w:tcPr>
            <w:tcW w:w="2600" w:type="dxa"/>
            <w:shd w:val="clear" w:color="auto" w:fill="FAF8F9"/>
            <w:tcMar>
              <w:top w:w="80" w:type="dxa"/>
              <w:left w:w="110" w:type="dxa"/>
              <w:bottom w:w="80" w:type="dxa"/>
              <w:right w:w="110" w:type="dxa"/>
            </w:tcMar>
          </w:tcPr>
          <w:p w14:paraId="25B88D67" w14:textId="77777777" w:rsidR="00E82FC3" w:rsidRDefault="00000000">
            <w:pPr>
              <w:spacing w:line="250" w:lineRule="auto"/>
            </w:pPr>
            <w:r>
              <w:rPr>
                <w:b/>
                <w:bCs/>
                <w:sz w:val="18"/>
                <w:szCs w:val="18"/>
              </w:rPr>
              <w:t>Working prototype</w:t>
            </w:r>
          </w:p>
        </w:tc>
        <w:tc>
          <w:tcPr>
            <w:tcW w:w="6400" w:type="dxa"/>
            <w:shd w:val="clear" w:color="auto" w:fill="FAF8F9"/>
            <w:tcMar>
              <w:top w:w="80" w:type="dxa"/>
              <w:left w:w="110" w:type="dxa"/>
              <w:bottom w:w="80" w:type="dxa"/>
              <w:right w:w="110" w:type="dxa"/>
            </w:tcMar>
          </w:tcPr>
          <w:p w14:paraId="3415670F" w14:textId="77777777" w:rsidR="00E82FC3" w:rsidRDefault="00000000">
            <w:pPr>
              <w:spacing w:line="250" w:lineRule="auto"/>
            </w:pPr>
            <w:r>
              <w:rPr>
                <w:sz w:val="18"/>
                <w:szCs w:val="18"/>
              </w:rPr>
              <w:t>A bilingual Arabic/English mobile-first interface demonstrating how the framework’s outputs are presented to a non-specialist user.</w:t>
            </w:r>
          </w:p>
        </w:tc>
      </w:tr>
    </w:tbl>
    <w:p w14:paraId="37486662" w14:textId="77777777" w:rsidR="00E82FC3" w:rsidRDefault="00000000">
      <w:pPr>
        <w:spacing w:after="130" w:line="280" w:lineRule="auto"/>
      </w:pPr>
      <w:r>
        <w:rPr>
          <w:color w:val="5E5566"/>
        </w:rPr>
        <w:t>A working bilingual prototype has already been built and is publicly deployed. It demonstrates the three product stages and the presentation of the framework’s outputs, with the risk reading currently shown as a clearly labelled simulation because no model is yet connected. The prototype is a demonstration of the interface, not of the framework; the framework is the subject of this proposal.</w:t>
      </w:r>
    </w:p>
    <w:p w14:paraId="6F8C9D48" w14:textId="77777777" w:rsidR="00E82FC3" w:rsidRDefault="00000000">
      <w:pPr>
        <w:pStyle w:val="Heading1"/>
        <w:spacing w:before="360" w:after="150"/>
      </w:pPr>
      <w:r>
        <w:rPr>
          <w:b/>
          <w:bCs/>
          <w:color w:val="261E2D"/>
          <w:sz w:val="28"/>
          <w:szCs w:val="28"/>
        </w:rPr>
        <w:t>7. Methodology</w:t>
      </w:r>
    </w:p>
    <w:p w14:paraId="06AC133D" w14:textId="5A2F80BF" w:rsidR="00E82FC3" w:rsidRDefault="00000000">
      <w:pPr>
        <w:pStyle w:val="Heading2"/>
        <w:spacing w:before="260" w:after="110"/>
      </w:pPr>
      <w:r>
        <w:rPr>
          <w:b/>
          <w:bCs/>
          <w:color w:val="3B2F45"/>
          <w:sz w:val="23"/>
          <w:szCs w:val="23"/>
        </w:rPr>
        <w:t xml:space="preserve">7.1 Data acquisition</w:t>
      </w:r>
    </w:p>
    <w:p w14:paraId="126AAC82" w14:textId="77777777" w:rsidR="00E82FC3" w:rsidRDefault="00000000">
      <w:pPr>
        <w:spacing w:after="130" w:line="280" w:lineRule="auto"/>
      </w:pPr>
      <w:r>
        <w:t>Candidate datasets are assessed on two criteria that pull in opposite directions: how much of the Woman Schema each can fill, and how many actual complication cases it contains. Row count is not sample size.</w:t>
      </w:r>
    </w:p>
    <w:tbl>
      <w:tblPr>
        <w:tblW w:w="900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2300"/>
        <w:gridCol w:w="1500"/>
        <w:gridCol w:w="1900"/>
        <w:gridCol w:w="3300"/>
      </w:tblGrid>
      <w:tr w:rsidR="00E82FC3" w14:paraId="534CE68C" w14:textId="77777777">
        <w:tblPrEx>
          <w:tblCellMar>
            <w:top w:w="0" w:type="dxa"/>
            <w:bottom w:w="0" w:type="dxa"/>
          </w:tblCellMar>
        </w:tblPrEx>
        <w:trPr>
          <w:tblHeader/>
        </w:trPr>
        <w:tc>
          <w:tcPr>
            <w:tcW w:w="2300" w:type="dxa"/>
            <w:shd w:val="clear" w:color="auto" w:fill="EFE7EC"/>
            <w:tcMar>
              <w:top w:w="80" w:type="dxa"/>
              <w:left w:w="110" w:type="dxa"/>
              <w:bottom w:w="80" w:type="dxa"/>
              <w:right w:w="110" w:type="dxa"/>
            </w:tcMar>
          </w:tcPr>
          <w:p w14:paraId="2168A430" w14:textId="77777777" w:rsidR="00E82FC3" w:rsidRDefault="00000000">
            <w:pPr>
              <w:spacing w:line="250" w:lineRule="auto"/>
            </w:pPr>
            <w:r>
              <w:rPr>
                <w:b/>
                <w:bCs/>
                <w:color w:val="261E2D"/>
                <w:sz w:val="18"/>
                <w:szCs w:val="18"/>
              </w:rPr>
              <w:t>Dataset</w:t>
            </w:r>
          </w:p>
        </w:tc>
        <w:tc>
          <w:tcPr>
            <w:tcW w:w="1500" w:type="dxa"/>
            <w:shd w:val="clear" w:color="auto" w:fill="EFE7EC"/>
            <w:tcMar>
              <w:top w:w="80" w:type="dxa"/>
              <w:left w:w="110" w:type="dxa"/>
              <w:bottom w:w="80" w:type="dxa"/>
              <w:right w:w="110" w:type="dxa"/>
            </w:tcMar>
          </w:tcPr>
          <w:p w14:paraId="466F7850" w14:textId="77777777" w:rsidR="00E82FC3" w:rsidRDefault="00000000">
            <w:pPr>
              <w:spacing w:line="250" w:lineRule="auto"/>
            </w:pPr>
            <w:r>
              <w:rPr>
                <w:b/>
                <w:bCs/>
                <w:color w:val="261E2D"/>
                <w:sz w:val="18"/>
                <w:szCs w:val="18"/>
              </w:rPr>
              <w:t>Women</w:t>
            </w:r>
          </w:p>
        </w:tc>
        <w:tc>
          <w:tcPr>
            <w:tcW w:w="1900" w:type="dxa"/>
            <w:shd w:val="clear" w:color="auto" w:fill="EFE7EC"/>
            <w:tcMar>
              <w:top w:w="80" w:type="dxa"/>
              <w:left w:w="110" w:type="dxa"/>
              <w:bottom w:w="80" w:type="dxa"/>
              <w:right w:w="110" w:type="dxa"/>
            </w:tcMar>
          </w:tcPr>
          <w:p w14:paraId="3D677BB7" w14:textId="77777777" w:rsidR="00E82FC3" w:rsidRDefault="00000000">
            <w:pPr>
              <w:spacing w:line="250" w:lineRule="auto"/>
            </w:pPr>
            <w:r>
              <w:rPr>
                <w:b/>
                <w:bCs/>
                <w:color w:val="261E2D"/>
                <w:sz w:val="18"/>
                <w:szCs w:val="18"/>
              </w:rPr>
              <w:t>Cases (est.)</w:t>
            </w:r>
          </w:p>
        </w:tc>
        <w:tc>
          <w:tcPr>
            <w:tcW w:w="3300" w:type="dxa"/>
            <w:shd w:val="clear" w:color="auto" w:fill="EFE7EC"/>
            <w:tcMar>
              <w:top w:w="80" w:type="dxa"/>
              <w:left w:w="110" w:type="dxa"/>
              <w:bottom w:w="80" w:type="dxa"/>
              <w:right w:w="110" w:type="dxa"/>
            </w:tcMar>
          </w:tcPr>
          <w:p w14:paraId="4601EF7A" w14:textId="77777777" w:rsidR="00E82FC3" w:rsidRDefault="00000000">
            <w:pPr>
              <w:spacing w:line="250" w:lineRule="auto"/>
            </w:pPr>
            <w:r>
              <w:rPr>
                <w:b/>
                <w:bCs/>
                <w:color w:val="261E2D"/>
                <w:sz w:val="18"/>
                <w:szCs w:val="18"/>
              </w:rPr>
              <w:t>Assessment</w:t>
            </w:r>
          </w:p>
        </w:tc>
      </w:tr>
      <w:tr w:rsidR="00E82FC3" w14:paraId="649E1134" w14:textId="77777777">
        <w:tblPrEx>
          <w:tblCellMar>
            <w:top w:w="0" w:type="dxa"/>
            <w:bottom w:w="0" w:type="dxa"/>
          </w:tblCellMar>
        </w:tblPrEx>
        <w:tc>
          <w:tcPr>
            <w:tcW w:w="2300" w:type="dxa"/>
            <w:tcMar>
              <w:top w:w="80" w:type="dxa"/>
              <w:left w:w="110" w:type="dxa"/>
              <w:bottom w:w="80" w:type="dxa"/>
              <w:right w:w="110" w:type="dxa"/>
            </w:tcMar>
          </w:tcPr>
          <w:p w14:paraId="483570C9" w14:textId="77777777" w:rsidR="00E82FC3" w:rsidRDefault="00000000">
            <w:pPr>
              <w:spacing w:line="250" w:lineRule="auto"/>
            </w:pPr>
            <w:r>
              <w:rPr>
                <w:b/>
                <w:bCs/>
                <w:sz w:val="18"/>
                <w:szCs w:val="18"/>
              </w:rPr>
              <w:t>MFMU HRA (NICHD)</w:t>
            </w:r>
          </w:p>
        </w:tc>
        <w:tc>
          <w:tcPr>
            <w:tcW w:w="1500" w:type="dxa"/>
            <w:tcMar>
              <w:top w:w="80" w:type="dxa"/>
              <w:left w:w="110" w:type="dxa"/>
              <w:bottom w:w="80" w:type="dxa"/>
              <w:right w:w="110" w:type="dxa"/>
            </w:tcMar>
          </w:tcPr>
          <w:p w14:paraId="4534A663" w14:textId="77777777" w:rsidR="00E82FC3" w:rsidRDefault="00000000">
            <w:pPr>
              <w:spacing w:line="250" w:lineRule="auto"/>
            </w:pPr>
            <w:r>
              <w:rPr>
                <w:sz w:val="18"/>
                <w:szCs w:val="18"/>
              </w:rPr>
              <w:t>2,539</w:t>
            </w:r>
          </w:p>
        </w:tc>
        <w:tc>
          <w:tcPr>
            <w:tcW w:w="1900" w:type="dxa"/>
            <w:tcMar>
              <w:top w:w="80" w:type="dxa"/>
              <w:left w:w="110" w:type="dxa"/>
              <w:bottom w:w="80" w:type="dxa"/>
              <w:right w:w="110" w:type="dxa"/>
            </w:tcMar>
          </w:tcPr>
          <w:p w14:paraId="0FDFF5DD" w14:textId="77777777" w:rsidR="00E82FC3" w:rsidRDefault="00000000">
            <w:pPr>
              <w:spacing w:line="250" w:lineRule="auto"/>
            </w:pPr>
            <w:r>
              <w:rPr>
                <w:sz w:val="18"/>
                <w:szCs w:val="18"/>
              </w:rPr>
              <w:t>High — enriched</w:t>
            </w:r>
          </w:p>
        </w:tc>
        <w:tc>
          <w:tcPr>
            <w:tcW w:w="3300" w:type="dxa"/>
            <w:tcMar>
              <w:top w:w="80" w:type="dxa"/>
              <w:left w:w="110" w:type="dxa"/>
              <w:bottom w:w="80" w:type="dxa"/>
              <w:right w:w="110" w:type="dxa"/>
            </w:tcMar>
          </w:tcPr>
          <w:p w14:paraId="1DE7E738" w14:textId="77777777" w:rsidR="00E82FC3" w:rsidRDefault="00000000">
            <w:pPr>
              <w:spacing w:line="250" w:lineRule="auto"/>
            </w:pPr>
            <w:r>
              <w:rPr>
                <w:sz w:val="18"/>
                <w:szCs w:val="18"/>
              </w:rPr>
              <w:t xml:space="preserve">Randomised trial, four high-risk strata including 606 women with previous preeclampsia. Adjudicated outcome.</w:t>
            </w:r>
          </w:p>
        </w:tc>
      </w:tr>
      <w:tr w:rsidR="00E82FC3" w14:paraId="1724F775" w14:textId="77777777">
        <w:tblPrEx>
          <w:tblCellMar>
            <w:top w:w="0" w:type="dxa"/>
            <w:bottom w:w="0" w:type="dxa"/>
          </w:tblCellMar>
        </w:tblPrEx>
        <w:tc>
          <w:tcPr>
            <w:tcW w:w="2300" w:type="dxa"/>
            <w:shd w:val="clear" w:color="auto" w:fill="FAF8F9"/>
            <w:tcMar>
              <w:top w:w="80" w:type="dxa"/>
              <w:left w:w="110" w:type="dxa"/>
              <w:bottom w:w="80" w:type="dxa"/>
              <w:right w:w="110" w:type="dxa"/>
            </w:tcMar>
          </w:tcPr>
          <w:p w14:paraId="1F06EB22" w14:textId="77777777" w:rsidR="00E82FC3" w:rsidRDefault="00000000">
            <w:pPr>
              <w:spacing w:line="250" w:lineRule="auto"/>
            </w:pPr>
            <w:r>
              <w:rPr>
                <w:b/>
                <w:bCs/>
                <w:sz w:val="18"/>
                <w:szCs w:val="18"/>
              </w:rPr>
              <w:lastRenderedPageBreak/>
              <w:t>MFMU LRA (NICHD)</w:t>
            </w:r>
          </w:p>
        </w:tc>
        <w:tc>
          <w:tcPr>
            <w:tcW w:w="1500" w:type="dxa"/>
            <w:shd w:val="clear" w:color="auto" w:fill="FAF8F9"/>
            <w:tcMar>
              <w:top w:w="80" w:type="dxa"/>
              <w:left w:w="110" w:type="dxa"/>
              <w:bottom w:w="80" w:type="dxa"/>
              <w:right w:w="110" w:type="dxa"/>
            </w:tcMar>
          </w:tcPr>
          <w:p w14:paraId="677738C3" w14:textId="77777777" w:rsidR="00E82FC3" w:rsidRDefault="00000000">
            <w:pPr>
              <w:spacing w:line="250" w:lineRule="auto"/>
            </w:pPr>
            <w:r>
              <w:rPr>
                <w:sz w:val="18"/>
                <w:szCs w:val="18"/>
              </w:rPr>
              <w:t>3,135</w:t>
            </w:r>
          </w:p>
        </w:tc>
        <w:tc>
          <w:tcPr>
            <w:tcW w:w="1900" w:type="dxa"/>
            <w:shd w:val="clear" w:color="auto" w:fill="FAF8F9"/>
            <w:tcMar>
              <w:top w:w="80" w:type="dxa"/>
              <w:left w:w="110" w:type="dxa"/>
              <w:bottom w:w="80" w:type="dxa"/>
              <w:right w:w="110" w:type="dxa"/>
            </w:tcMar>
          </w:tcPr>
          <w:p w14:paraId="63C980A2" w14:textId="77777777" w:rsidR="00E82FC3" w:rsidRDefault="00000000">
            <w:pPr>
              <w:spacing w:line="250" w:lineRule="auto"/>
            </w:pPr>
            <w:r>
              <w:rPr>
                <w:sz w:val="18"/>
                <w:szCs w:val="18"/>
              </w:rPr>
              <w:t>Moderate</w:t>
            </w:r>
          </w:p>
        </w:tc>
        <w:tc>
          <w:tcPr>
            <w:tcW w:w="3300" w:type="dxa"/>
            <w:shd w:val="clear" w:color="auto" w:fill="FAF8F9"/>
            <w:tcMar>
              <w:top w:w="80" w:type="dxa"/>
              <w:left w:w="110" w:type="dxa"/>
              <w:bottom w:w="80" w:type="dxa"/>
              <w:right w:w="110" w:type="dxa"/>
            </w:tcMar>
          </w:tcPr>
          <w:p w14:paraId="4458A0FE" w14:textId="77777777" w:rsidR="00E82FC3" w:rsidRDefault="00000000">
            <w:pPr>
              <w:spacing w:line="250" w:lineRule="auto"/>
            </w:pPr>
            <w:r>
              <w:rPr>
                <w:sz w:val="18"/>
                <w:szCs w:val="18"/>
              </w:rPr>
              <w:t xml:space="preserve">Randomised trial, normotensive nulliparous, enrolled 13–26 weeks. Adjudicated outcome.</w:t>
            </w:r>
          </w:p>
        </w:tc>
      </w:tr>
      <w:tr w:rsidR="00E82FC3" w14:paraId="517A7151" w14:textId="77777777">
        <w:tblPrEx>
          <w:tblCellMar>
            <w:top w:w="0" w:type="dxa"/>
            <w:bottom w:w="0" w:type="dxa"/>
          </w:tblCellMar>
        </w:tblPrEx>
        <w:tc>
          <w:tcPr>
            <w:tcW w:w="2300" w:type="dxa"/>
            <w:tcMar>
              <w:top w:w="80" w:type="dxa"/>
              <w:left w:w="110" w:type="dxa"/>
              <w:bottom w:w="80" w:type="dxa"/>
              <w:right w:w="110" w:type="dxa"/>
            </w:tcMar>
          </w:tcPr>
          <w:p w14:paraId="00360C6A" w14:textId="77777777" w:rsidR="00E82FC3" w:rsidRDefault="00000000">
            <w:pPr>
              <w:spacing w:line="250" w:lineRule="auto"/>
            </w:pPr>
            <w:r>
              <w:rPr>
                <w:b/>
                <w:bCs/>
                <w:sz w:val="18"/>
                <w:szCs w:val="18"/>
              </w:rPr>
              <w:t>nuMoM2b (NICHD)</w:t>
            </w:r>
          </w:p>
        </w:tc>
        <w:tc>
          <w:tcPr>
            <w:tcW w:w="1500" w:type="dxa"/>
            <w:tcMar>
              <w:top w:w="80" w:type="dxa"/>
              <w:left w:w="110" w:type="dxa"/>
              <w:bottom w:w="80" w:type="dxa"/>
              <w:right w:w="110" w:type="dxa"/>
            </w:tcMar>
          </w:tcPr>
          <w:p w14:paraId="3486E7DF" w14:textId="77777777" w:rsidR="00E82FC3" w:rsidRDefault="00000000">
            <w:pPr>
              <w:spacing w:line="250" w:lineRule="auto"/>
            </w:pPr>
            <w:r>
              <w:rPr>
                <w:sz w:val="18"/>
                <w:szCs w:val="18"/>
              </w:rPr>
              <w:t>10,037</w:t>
            </w:r>
          </w:p>
        </w:tc>
        <w:tc>
          <w:tcPr>
            <w:tcW w:w="1900" w:type="dxa"/>
            <w:tcMar>
              <w:top w:w="80" w:type="dxa"/>
              <w:left w:w="110" w:type="dxa"/>
              <w:bottom w:w="80" w:type="dxa"/>
              <w:right w:w="110" w:type="dxa"/>
            </w:tcMar>
          </w:tcPr>
          <w:p w14:paraId="367A13AE" w14:textId="77777777" w:rsidR="00E82FC3" w:rsidRDefault="00000000">
            <w:pPr>
              <w:spacing w:line="250" w:lineRule="auto"/>
            </w:pPr>
            <w:r>
              <w:rPr>
                <w:sz w:val="18"/>
                <w:szCs w:val="18"/>
              </w:rPr>
              <w:t>Several hundred+</w:t>
            </w:r>
          </w:p>
        </w:tc>
        <w:tc>
          <w:tcPr>
            <w:tcW w:w="3300" w:type="dxa"/>
            <w:tcMar>
              <w:top w:w="80" w:type="dxa"/>
              <w:left w:w="110" w:type="dxa"/>
              <w:bottom w:w="80" w:type="dxa"/>
              <w:right w:w="110" w:type="dxa"/>
            </w:tcMar>
          </w:tcPr>
          <w:p w14:paraId="0451CEE2" w14:textId="77777777" w:rsidR="00E82FC3" w:rsidRDefault="00000000">
            <w:pPr>
              <w:spacing w:line="250" w:lineRule="auto"/>
            </w:pPr>
            <w:r>
              <w:rPr>
                <w:sz w:val="18"/>
                <w:szCs w:val="18"/>
              </w:rPr>
              <w:t>Three antenatal visits plus delivery, so genuine temporal structure. Nulliparous by design, so six schema fields are structurally absent.</w:t>
            </w:r>
          </w:p>
        </w:tc>
      </w:tr>
      <w:tr w:rsidR="00E82FC3" w14:paraId="6E4482DB" w14:textId="77777777">
        <w:tblPrEx>
          <w:tblCellMar>
            <w:top w:w="0" w:type="dxa"/>
            <w:bottom w:w="0" w:type="dxa"/>
          </w:tblCellMar>
        </w:tblPrEx>
        <w:tc>
          <w:tcPr>
            <w:tcW w:w="2300" w:type="dxa"/>
            <w:shd w:val="clear" w:color="auto" w:fill="FAF8F9"/>
            <w:tcMar>
              <w:top w:w="80" w:type="dxa"/>
              <w:left w:w="110" w:type="dxa"/>
              <w:bottom w:w="80" w:type="dxa"/>
              <w:right w:w="110" w:type="dxa"/>
            </w:tcMar>
          </w:tcPr>
          <w:p w14:paraId="615A19A0" w14:textId="77777777" w:rsidR="00E82FC3" w:rsidRDefault="00000000">
            <w:pPr>
              <w:spacing w:line="250" w:lineRule="auto"/>
            </w:pPr>
            <w:r>
              <w:rPr>
                <w:b/>
                <w:bCs/>
                <w:sz w:val="18"/>
                <w:szCs w:val="18"/>
              </w:rPr>
              <w:t>RAHMA</w:t>
            </w:r>
          </w:p>
        </w:tc>
        <w:tc>
          <w:tcPr>
            <w:tcW w:w="1500" w:type="dxa"/>
            <w:shd w:val="clear" w:color="auto" w:fill="FAF8F9"/>
            <w:tcMar>
              <w:top w:w="80" w:type="dxa"/>
              <w:left w:w="110" w:type="dxa"/>
              <w:bottom w:w="80" w:type="dxa"/>
              <w:right w:w="110" w:type="dxa"/>
            </w:tcMar>
          </w:tcPr>
          <w:p w14:paraId="5895E9DD" w14:textId="77777777" w:rsidR="00E82FC3" w:rsidRDefault="00000000">
            <w:pPr>
              <w:spacing w:line="250" w:lineRule="auto"/>
            </w:pPr>
            <w:r>
              <w:rPr>
                <w:sz w:val="18"/>
                <w:szCs w:val="18"/>
              </w:rPr>
              <w:t>14,568</w:t>
            </w:r>
          </w:p>
        </w:tc>
        <w:tc>
          <w:tcPr>
            <w:tcW w:w="1900" w:type="dxa"/>
            <w:shd w:val="clear" w:color="auto" w:fill="FAF8F9"/>
            <w:tcMar>
              <w:top w:w="80" w:type="dxa"/>
              <w:left w:w="110" w:type="dxa"/>
              <w:bottom w:w="80" w:type="dxa"/>
              <w:right w:w="110" w:type="dxa"/>
            </w:tcMar>
          </w:tcPr>
          <w:p w14:paraId="0A399BDB" w14:textId="77777777" w:rsidR="00E82FC3" w:rsidRDefault="00000000">
            <w:pPr>
              <w:spacing w:line="250" w:lineRule="auto"/>
            </w:pPr>
            <w:r>
              <w:rPr>
                <w:sz w:val="18"/>
                <w:szCs w:val="18"/>
              </w:rPr>
              <w:t>~175</w:t>
            </w:r>
          </w:p>
        </w:tc>
        <w:tc>
          <w:tcPr>
            <w:tcW w:w="3300" w:type="dxa"/>
            <w:shd w:val="clear" w:color="auto" w:fill="FAF8F9"/>
            <w:tcMar>
              <w:top w:w="80" w:type="dxa"/>
              <w:left w:w="110" w:type="dxa"/>
              <w:bottom w:w="80" w:type="dxa"/>
              <w:right w:w="110" w:type="dxa"/>
            </w:tcMar>
          </w:tcPr>
          <w:p w14:paraId="5F1CC87E" w14:textId="77777777" w:rsidR="00E82FC3" w:rsidRDefault="00000000">
            <w:pPr>
              <w:spacing w:line="250" w:lineRule="auto"/>
            </w:pPr>
            <w:r>
              <w:rPr>
                <w:sz w:val="18"/>
                <w:szCs w:val="18"/>
              </w:rPr>
              <w:t>Saudi, three Riyadh hospital types. Best population match; 1.2% preeclampsia. Access measured in years.</w:t>
            </w:r>
          </w:p>
        </w:tc>
      </w:tr>
      <w:tr w:rsidR="00E82FC3" w14:paraId="2F6E8549" w14:textId="77777777">
        <w:tblPrEx>
          <w:tblCellMar>
            <w:top w:w="0" w:type="dxa"/>
            <w:bottom w:w="0" w:type="dxa"/>
          </w:tblCellMar>
        </w:tblPrEx>
        <w:tc>
          <w:tcPr>
            <w:tcW w:w="2300" w:type="dxa"/>
            <w:tcMar>
              <w:top w:w="80" w:type="dxa"/>
              <w:left w:w="110" w:type="dxa"/>
              <w:bottom w:w="80" w:type="dxa"/>
              <w:right w:w="110" w:type="dxa"/>
            </w:tcMar>
          </w:tcPr>
          <w:p w14:paraId="555CF9C7" w14:textId="77777777" w:rsidR="00E82FC3" w:rsidRDefault="00000000">
            <w:pPr>
              <w:spacing w:line="250" w:lineRule="auto"/>
            </w:pPr>
            <w:r>
              <w:rPr>
                <w:b/>
                <w:bCs/>
                <w:sz w:val="18"/>
                <w:szCs w:val="18"/>
              </w:rPr>
              <w:t xml:space="preserve">Mutaba'ah (UAE)</w:t>
            </w:r>
          </w:p>
        </w:tc>
        <w:tc>
          <w:tcPr>
            <w:tcW w:w="1500" w:type="dxa"/>
            <w:tcMar>
              <w:top w:w="80" w:type="dxa"/>
              <w:left w:w="110" w:type="dxa"/>
              <w:bottom w:w="80" w:type="dxa"/>
              <w:right w:w="110" w:type="dxa"/>
            </w:tcMar>
          </w:tcPr>
          <w:p w14:paraId="6AE7289F" w14:textId="77777777" w:rsidR="00E82FC3" w:rsidRDefault="00000000">
            <w:pPr>
              <w:spacing w:line="250" w:lineRule="auto"/>
            </w:pPr>
            <w:r>
              <w:rPr>
                <w:sz w:val="18"/>
                <w:szCs w:val="18"/>
              </w:rPr>
              <w:t>13,000+</w:t>
            </w:r>
          </w:p>
        </w:tc>
        <w:tc>
          <w:tcPr>
            <w:tcW w:w="1900" w:type="dxa"/>
            <w:tcMar>
              <w:top w:w="80" w:type="dxa"/>
              <w:left w:w="110" w:type="dxa"/>
              <w:bottom w:w="80" w:type="dxa"/>
              <w:right w:w="110" w:type="dxa"/>
            </w:tcMar>
          </w:tcPr>
          <w:p w14:paraId="410E5A17" w14:textId="77777777" w:rsidR="00E82FC3" w:rsidRDefault="00000000">
            <w:pPr>
              <w:spacing w:line="250" w:lineRule="auto"/>
            </w:pPr>
            <w:r>
              <w:rPr>
                <w:sz w:val="18"/>
                <w:szCs w:val="18"/>
              </w:rPr>
              <w:t>Unknown</w:t>
            </w:r>
          </w:p>
        </w:tc>
        <w:tc>
          <w:tcPr>
            <w:tcW w:w="3300" w:type="dxa"/>
            <w:tcMar>
              <w:top w:w="80" w:type="dxa"/>
              <w:left w:w="110" w:type="dxa"/>
              <w:bottom w:w="80" w:type="dxa"/>
              <w:right w:w="110" w:type="dxa"/>
            </w:tcMar>
          </w:tcPr>
          <w:p w14:paraId="5EA307C9" w14:textId="77777777" w:rsidR="00E82FC3" w:rsidRDefault="00000000">
            <w:pPr>
              <w:spacing w:line="250" w:lineRule="auto"/>
            </w:pPr>
            <w:r>
              <w:rPr>
                <w:sz w:val="18"/>
                <w:szCs w:val="18"/>
              </w:rPr>
              <w:t>Arab population recruited at approximately 12 weeks. Collaboration request required.</w:t>
            </w:r>
          </w:p>
        </w:tc>
      </w:tr>
    </w:tbl>
    <w:p w14:paraId="3DFBFE23" w14:textId="77777777" w:rsidR="00E82FC3" w:rsidRDefault="00000000">
      <w:pPr>
        <w:spacing w:after="130" w:line="280" w:lineRule="auto"/>
      </w:pPr>
      <w:r>
        <w:t>The three NICHD datasets are held in one repository and can be requested through a single application and data use agreement. They are also profile-diverse, which is useful in itself: a framework that claims to adapt to data conditions should be demonstrated on datasets whose conditions actually differ.</w:t>
      </w:r>
    </w:p>
    <w:p w14:paraId="45FBAD6C" w14:textId="46D8AD77" w:rsidR="00E82FC3" w:rsidRDefault="00000000" w:rsidP="00AB5F52">
      <w:pPr>
        <w:pStyle w:val="Heading1"/>
        <w:spacing w:before="360" w:after="150"/>
      </w:pPr>
      <w:r>
        <w:rPr>
          <w:b/>
          <w:bCs/>
          <w:color w:val="261E2D"/>
          <w:sz w:val="28"/>
          <w:szCs w:val="28"/>
        </w:rPr>
        <w:t>8. Project Timeline</w:t>
      </w:r>
    </w:p>
    <w:tbl>
      <w:tblPr>
        <w:tblW w:w="900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1400"/>
        <w:gridCol w:w="2700"/>
        <w:gridCol w:w="3300"/>
        <w:gridCol w:w="1600"/>
      </w:tblGrid>
      <w:tr w:rsidR="00E82FC3" w14:paraId="61D09CA6" w14:textId="77777777">
        <w:tblPrEx>
          <w:tblCellMar>
            <w:top w:w="0" w:type="dxa"/>
            <w:bottom w:w="0" w:type="dxa"/>
          </w:tblCellMar>
        </w:tblPrEx>
        <w:trPr>
          <w:tblHeader/>
        </w:trPr>
        <w:tc>
          <w:tcPr>
            <w:tcW w:w="1400" w:type="dxa"/>
            <w:shd w:val="clear" w:color="auto" w:fill="EFE7EC"/>
            <w:tcMar>
              <w:top w:w="80" w:type="dxa"/>
              <w:left w:w="110" w:type="dxa"/>
              <w:bottom w:w="80" w:type="dxa"/>
              <w:right w:w="110" w:type="dxa"/>
            </w:tcMar>
          </w:tcPr>
          <w:p w14:paraId="6338D017" w14:textId="77777777" w:rsidR="00E82FC3" w:rsidRDefault="00000000">
            <w:pPr>
              <w:spacing w:line="250" w:lineRule="auto"/>
            </w:pPr>
            <w:r>
              <w:rPr>
                <w:b/>
                <w:bCs/>
                <w:color w:val="261E2D"/>
                <w:sz w:val="18"/>
                <w:szCs w:val="18"/>
              </w:rPr>
              <w:t>Phase</w:t>
            </w:r>
          </w:p>
        </w:tc>
        <w:tc>
          <w:tcPr>
            <w:tcW w:w="2700" w:type="dxa"/>
            <w:shd w:val="clear" w:color="auto" w:fill="EFE7EC"/>
            <w:tcMar>
              <w:top w:w="80" w:type="dxa"/>
              <w:left w:w="110" w:type="dxa"/>
              <w:bottom w:w="80" w:type="dxa"/>
              <w:right w:w="110" w:type="dxa"/>
            </w:tcMar>
          </w:tcPr>
          <w:p w14:paraId="1593E39E" w14:textId="77777777" w:rsidR="00E82FC3" w:rsidRDefault="00000000">
            <w:pPr>
              <w:spacing w:line="250" w:lineRule="auto"/>
            </w:pPr>
            <w:r>
              <w:rPr>
                <w:b/>
                <w:bCs/>
                <w:color w:val="261E2D"/>
                <w:sz w:val="18"/>
                <w:szCs w:val="18"/>
              </w:rPr>
              <w:t>Activity</w:t>
            </w:r>
          </w:p>
        </w:tc>
        <w:tc>
          <w:tcPr>
            <w:tcW w:w="3300" w:type="dxa"/>
            <w:shd w:val="clear" w:color="auto" w:fill="EFE7EC"/>
            <w:tcMar>
              <w:top w:w="80" w:type="dxa"/>
              <w:left w:w="110" w:type="dxa"/>
              <w:bottom w:w="80" w:type="dxa"/>
              <w:right w:w="110" w:type="dxa"/>
            </w:tcMar>
          </w:tcPr>
          <w:p w14:paraId="658FCF08" w14:textId="77777777" w:rsidR="00E82FC3" w:rsidRDefault="00000000">
            <w:pPr>
              <w:spacing w:line="250" w:lineRule="auto"/>
            </w:pPr>
            <w:r>
              <w:rPr>
                <w:b/>
                <w:bCs/>
                <w:color w:val="261E2D"/>
                <w:sz w:val="18"/>
                <w:szCs w:val="18"/>
              </w:rPr>
              <w:t>Output</w:t>
            </w:r>
          </w:p>
        </w:tc>
        <w:tc>
          <w:tcPr>
            <w:tcW w:w="1600" w:type="dxa"/>
            <w:shd w:val="clear" w:color="auto" w:fill="EFE7EC"/>
            <w:tcMar>
              <w:top w:w="80" w:type="dxa"/>
              <w:left w:w="110" w:type="dxa"/>
              <w:bottom w:w="80" w:type="dxa"/>
              <w:right w:w="110" w:type="dxa"/>
            </w:tcMar>
          </w:tcPr>
          <w:p w14:paraId="59064D4E" w14:textId="77777777" w:rsidR="00E82FC3" w:rsidRDefault="00000000">
            <w:pPr>
              <w:spacing w:line="250" w:lineRule="auto"/>
            </w:pPr>
            <w:r>
              <w:rPr>
                <w:b/>
                <w:bCs/>
                <w:color w:val="261E2D"/>
                <w:sz w:val="18"/>
                <w:szCs w:val="18"/>
              </w:rPr>
              <w:t>Status</w:t>
            </w:r>
          </w:p>
        </w:tc>
      </w:tr>
      <w:tr w:rsidR="00E82FC3" w14:paraId="49214DDB" w14:textId="77777777">
        <w:tblPrEx>
          <w:tblCellMar>
            <w:top w:w="0" w:type="dxa"/>
            <w:bottom w:w="0" w:type="dxa"/>
          </w:tblCellMar>
        </w:tblPrEx>
        <w:tc>
          <w:tcPr>
            <w:tcW w:w="1400" w:type="dxa"/>
            <w:shd w:val="clear" w:color="auto" w:fill="E1EBE0"/>
            <w:tcMar>
              <w:top w:w="80" w:type="dxa"/>
              <w:left w:w="110" w:type="dxa"/>
              <w:bottom w:w="80" w:type="dxa"/>
              <w:right w:w="110" w:type="dxa"/>
            </w:tcMar>
          </w:tcPr>
          <w:p w14:paraId="1B167B0D" w14:textId="77777777" w:rsidR="00E82FC3" w:rsidRDefault="00000000">
            <w:pPr>
              <w:spacing w:line="250" w:lineRule="auto"/>
            </w:pPr>
            <w:r>
              <w:rPr>
                <w:b/>
                <w:bCs/>
                <w:sz w:val="18"/>
                <w:szCs w:val="18"/>
              </w:rPr>
              <w:t>Phase 1</w:t>
            </w:r>
          </w:p>
        </w:tc>
        <w:tc>
          <w:tcPr>
            <w:tcW w:w="2700" w:type="dxa"/>
            <w:shd w:val="clear" w:color="auto" w:fill="E1EBE0"/>
            <w:tcMar>
              <w:top w:w="80" w:type="dxa"/>
              <w:left w:w="110" w:type="dxa"/>
              <w:bottom w:w="80" w:type="dxa"/>
              <w:right w:w="110" w:type="dxa"/>
            </w:tcMar>
          </w:tcPr>
          <w:p w14:paraId="487B6708" w14:textId="77777777" w:rsidR="00E82FC3" w:rsidRDefault="00000000">
            <w:pPr>
              <w:spacing w:line="250" w:lineRule="auto"/>
            </w:pPr>
            <w:r>
              <w:rPr>
                <w:sz w:val="18"/>
                <w:szCs w:val="18"/>
              </w:rPr>
              <w:t>Clinical grounding, schema definition, dataset scouting</w:t>
            </w:r>
          </w:p>
        </w:tc>
        <w:tc>
          <w:tcPr>
            <w:tcW w:w="3300" w:type="dxa"/>
            <w:shd w:val="clear" w:color="auto" w:fill="E1EBE0"/>
            <w:tcMar>
              <w:top w:w="80" w:type="dxa"/>
              <w:left w:w="110" w:type="dxa"/>
              <w:bottom w:w="80" w:type="dxa"/>
              <w:right w:w="110" w:type="dxa"/>
            </w:tcMar>
          </w:tcPr>
          <w:p w14:paraId="412C786B" w14:textId="2C198275" w:rsidR="00E82FC3" w:rsidRDefault="00000000">
            <w:pPr>
              <w:spacing w:line="250" w:lineRule="auto"/>
            </w:pPr>
            <w:r>
              <w:rPr>
                <w:sz w:val="18"/>
                <w:szCs w:val="18"/>
              </w:rPr>
              <w:t>Clinical task specification; Woman Schema; ranked dataset shortlist</w:t>
            </w:r>
          </w:p>
        </w:tc>
        <w:tc>
          <w:tcPr>
            <w:tcW w:w="1600" w:type="dxa"/>
            <w:shd w:val="clear" w:color="auto" w:fill="E1EBE0"/>
            <w:tcMar>
              <w:top w:w="80" w:type="dxa"/>
              <w:left w:w="110" w:type="dxa"/>
              <w:bottom w:w="80" w:type="dxa"/>
              <w:right w:w="110" w:type="dxa"/>
            </w:tcMar>
          </w:tcPr>
          <w:p w14:paraId="62148AE5" w14:textId="77777777" w:rsidR="00E82FC3" w:rsidRDefault="00000000">
            <w:pPr>
              <w:spacing w:line="250" w:lineRule="auto"/>
            </w:pPr>
            <w:r>
              <w:rPr>
                <w:sz w:val="18"/>
                <w:szCs w:val="18"/>
              </w:rPr>
              <w:t>In progress</w:t>
            </w:r>
          </w:p>
        </w:tc>
      </w:tr>
      <w:tr w:rsidR="00E82FC3" w14:paraId="05970563" w14:textId="77777777">
        <w:tblPrEx>
          <w:tblCellMar>
            <w:top w:w="0" w:type="dxa"/>
            <w:bottom w:w="0" w:type="dxa"/>
          </w:tblCellMar>
        </w:tblPrEx>
        <w:tc>
          <w:tcPr>
            <w:tcW w:w="1400" w:type="dxa"/>
            <w:shd w:val="clear" w:color="auto" w:fill="FAF8F9"/>
            <w:tcMar>
              <w:top w:w="80" w:type="dxa"/>
              <w:left w:w="110" w:type="dxa"/>
              <w:bottom w:w="80" w:type="dxa"/>
              <w:right w:w="110" w:type="dxa"/>
            </w:tcMar>
          </w:tcPr>
          <w:p w14:paraId="1DB49C28" w14:textId="77777777" w:rsidR="00E82FC3" w:rsidRDefault="00000000">
            <w:pPr>
              <w:spacing w:line="250" w:lineRule="auto"/>
            </w:pPr>
            <w:r>
              <w:rPr>
                <w:b/>
                <w:bCs/>
                <w:sz w:val="18"/>
                <w:szCs w:val="18"/>
              </w:rPr>
              <w:t>Phase 2</w:t>
            </w:r>
          </w:p>
        </w:tc>
        <w:tc>
          <w:tcPr>
            <w:tcW w:w="2700" w:type="dxa"/>
            <w:shd w:val="clear" w:color="auto" w:fill="FAF8F9"/>
            <w:tcMar>
              <w:top w:w="80" w:type="dxa"/>
              <w:left w:w="110" w:type="dxa"/>
              <w:bottom w:w="80" w:type="dxa"/>
              <w:right w:w="110" w:type="dxa"/>
            </w:tcMar>
          </w:tcPr>
          <w:p w14:paraId="34D77CF4" w14:textId="77777777" w:rsidR="00E82FC3" w:rsidRDefault="00000000">
            <w:pPr>
              <w:spacing w:line="250" w:lineRule="auto"/>
            </w:pPr>
            <w:r>
              <w:rPr>
                <w:sz w:val="18"/>
                <w:szCs w:val="18"/>
              </w:rPr>
              <w:t>Data access; Data Profiler implementation</w:t>
            </w:r>
          </w:p>
        </w:tc>
        <w:tc>
          <w:tcPr>
            <w:tcW w:w="3300" w:type="dxa"/>
            <w:shd w:val="clear" w:color="auto" w:fill="FAF8F9"/>
            <w:tcMar>
              <w:top w:w="80" w:type="dxa"/>
              <w:left w:w="110" w:type="dxa"/>
              <w:bottom w:w="80" w:type="dxa"/>
              <w:right w:w="110" w:type="dxa"/>
            </w:tcMar>
          </w:tcPr>
          <w:p w14:paraId="49E16EFD" w14:textId="77777777" w:rsidR="00E82FC3" w:rsidRDefault="00000000">
            <w:pPr>
              <w:spacing w:line="250" w:lineRule="auto"/>
            </w:pPr>
            <w:r>
              <w:rPr>
                <w:sz w:val="18"/>
                <w:szCs w:val="18"/>
              </w:rPr>
              <w:t>Executed data use agreement; profiler producing reproducible profile reports</w:t>
            </w:r>
          </w:p>
        </w:tc>
        <w:tc>
          <w:tcPr>
            <w:tcW w:w="1600" w:type="dxa"/>
            <w:shd w:val="clear" w:color="auto" w:fill="FAF8F9"/>
            <w:tcMar>
              <w:top w:w="80" w:type="dxa"/>
              <w:left w:w="110" w:type="dxa"/>
              <w:bottom w:w="80" w:type="dxa"/>
              <w:right w:w="110" w:type="dxa"/>
            </w:tcMar>
          </w:tcPr>
          <w:p w14:paraId="686BAB49" w14:textId="77777777" w:rsidR="00E82FC3" w:rsidRDefault="00000000">
            <w:pPr>
              <w:spacing w:line="250" w:lineRule="auto"/>
            </w:pPr>
            <w:r>
              <w:rPr>
                <w:sz w:val="18"/>
                <w:szCs w:val="18"/>
              </w:rPr>
              <w:t>Next</w:t>
            </w:r>
          </w:p>
        </w:tc>
      </w:tr>
      <w:tr w:rsidR="00E82FC3" w14:paraId="1B5F4E30" w14:textId="77777777">
        <w:tblPrEx>
          <w:tblCellMar>
            <w:top w:w="0" w:type="dxa"/>
            <w:bottom w:w="0" w:type="dxa"/>
          </w:tblCellMar>
        </w:tblPrEx>
        <w:tc>
          <w:tcPr>
            <w:tcW w:w="1400" w:type="dxa"/>
            <w:tcMar>
              <w:top w:w="80" w:type="dxa"/>
              <w:left w:w="110" w:type="dxa"/>
              <w:bottom w:w="80" w:type="dxa"/>
              <w:right w:w="110" w:type="dxa"/>
            </w:tcMar>
          </w:tcPr>
          <w:p w14:paraId="0DB64FBB" w14:textId="77777777" w:rsidR="00E82FC3" w:rsidRDefault="00000000">
            <w:pPr>
              <w:spacing w:line="250" w:lineRule="auto"/>
            </w:pPr>
            <w:r>
              <w:rPr>
                <w:b/>
                <w:bCs/>
                <w:sz w:val="18"/>
                <w:szCs w:val="18"/>
              </w:rPr>
              <w:t>Phase 3</w:t>
            </w:r>
          </w:p>
        </w:tc>
        <w:tc>
          <w:tcPr>
            <w:tcW w:w="2700" w:type="dxa"/>
            <w:tcMar>
              <w:top w:w="80" w:type="dxa"/>
              <w:left w:w="110" w:type="dxa"/>
              <w:bottom w:w="80" w:type="dxa"/>
              <w:right w:w="110" w:type="dxa"/>
            </w:tcMar>
          </w:tcPr>
          <w:p w14:paraId="261D6538" w14:textId="77777777" w:rsidR="00E82FC3" w:rsidRDefault="00000000">
            <w:pPr>
              <w:spacing w:line="250" w:lineRule="auto"/>
            </w:pPr>
            <w:r>
              <w:rPr>
                <w:sz w:val="18"/>
                <w:szCs w:val="18"/>
              </w:rPr>
              <w:t>Model-selection policy and prediction module</w:t>
            </w:r>
          </w:p>
        </w:tc>
        <w:tc>
          <w:tcPr>
            <w:tcW w:w="3300" w:type="dxa"/>
            <w:tcMar>
              <w:top w:w="80" w:type="dxa"/>
              <w:left w:w="110" w:type="dxa"/>
              <w:bottom w:w="80" w:type="dxa"/>
              <w:right w:w="110" w:type="dxa"/>
            </w:tcMar>
          </w:tcPr>
          <w:p w14:paraId="50C0D63B" w14:textId="77777777" w:rsidR="00E82FC3" w:rsidRDefault="00000000">
            <w:pPr>
              <w:spacing w:line="250" w:lineRule="auto"/>
            </w:pPr>
            <w:r>
              <w:rPr>
                <w:sz w:val="18"/>
                <w:szCs w:val="18"/>
              </w:rPr>
              <w:t>Selection policy; time-to-event model; confidence and explanation outputs</w:t>
            </w:r>
          </w:p>
        </w:tc>
        <w:tc>
          <w:tcPr>
            <w:tcW w:w="1600" w:type="dxa"/>
            <w:tcMar>
              <w:top w:w="80" w:type="dxa"/>
              <w:left w:w="110" w:type="dxa"/>
              <w:bottom w:w="80" w:type="dxa"/>
              <w:right w:w="110" w:type="dxa"/>
            </w:tcMar>
          </w:tcPr>
          <w:p w14:paraId="10E77AD1" w14:textId="77777777" w:rsidR="00E82FC3" w:rsidRDefault="00000000">
            <w:pPr>
              <w:spacing w:line="250" w:lineRule="auto"/>
            </w:pPr>
            <w:r>
              <w:rPr>
                <w:sz w:val="18"/>
                <w:szCs w:val="18"/>
              </w:rPr>
              <w:t>Planned</w:t>
            </w:r>
          </w:p>
        </w:tc>
      </w:tr>
      <w:tr w:rsidR="00E82FC3" w14:paraId="7EB23DBC" w14:textId="77777777">
        <w:tblPrEx>
          <w:tblCellMar>
            <w:top w:w="0" w:type="dxa"/>
            <w:bottom w:w="0" w:type="dxa"/>
          </w:tblCellMar>
        </w:tblPrEx>
        <w:tc>
          <w:tcPr>
            <w:tcW w:w="1400" w:type="dxa"/>
            <w:shd w:val="clear" w:color="auto" w:fill="FAF8F9"/>
            <w:tcMar>
              <w:top w:w="80" w:type="dxa"/>
              <w:left w:w="110" w:type="dxa"/>
              <w:bottom w:w="80" w:type="dxa"/>
              <w:right w:w="110" w:type="dxa"/>
            </w:tcMar>
          </w:tcPr>
          <w:p w14:paraId="32474C00" w14:textId="77777777" w:rsidR="00E82FC3" w:rsidRDefault="00000000">
            <w:pPr>
              <w:spacing w:line="250" w:lineRule="auto"/>
            </w:pPr>
            <w:r>
              <w:rPr>
                <w:b/>
                <w:bCs/>
                <w:sz w:val="18"/>
                <w:szCs w:val="18"/>
              </w:rPr>
              <w:t>Phase 4</w:t>
            </w:r>
          </w:p>
        </w:tc>
        <w:tc>
          <w:tcPr>
            <w:tcW w:w="2700" w:type="dxa"/>
            <w:shd w:val="clear" w:color="auto" w:fill="FAF8F9"/>
            <w:tcMar>
              <w:top w:w="80" w:type="dxa"/>
              <w:left w:w="110" w:type="dxa"/>
              <w:bottom w:w="80" w:type="dxa"/>
              <w:right w:w="110" w:type="dxa"/>
            </w:tcMar>
          </w:tcPr>
          <w:p w14:paraId="743B5731" w14:textId="77777777" w:rsidR="00E82FC3" w:rsidRDefault="00000000">
            <w:pPr>
              <w:spacing w:line="250" w:lineRule="auto"/>
            </w:pPr>
            <w:r>
              <w:rPr>
                <w:sz w:val="18"/>
                <w:szCs w:val="18"/>
              </w:rPr>
              <w:t>Evaluation and extension to further tasks</w:t>
            </w:r>
          </w:p>
        </w:tc>
        <w:tc>
          <w:tcPr>
            <w:tcW w:w="3300" w:type="dxa"/>
            <w:shd w:val="clear" w:color="auto" w:fill="FAF8F9"/>
            <w:tcMar>
              <w:top w:w="80" w:type="dxa"/>
              <w:left w:w="110" w:type="dxa"/>
              <w:bottom w:w="80" w:type="dxa"/>
              <w:right w:w="110" w:type="dxa"/>
            </w:tcMar>
          </w:tcPr>
          <w:p w14:paraId="238CDFAC" w14:textId="77777777" w:rsidR="00E82FC3" w:rsidRDefault="00000000">
            <w:pPr>
              <w:spacing w:line="250" w:lineRule="auto"/>
            </w:pPr>
            <w:r>
              <w:rPr>
                <w:sz w:val="18"/>
                <w:szCs w:val="18"/>
              </w:rPr>
              <w:t>Evaluation report for preeclampsia; pipeline repeated for preterm birth and GDM</w:t>
            </w:r>
          </w:p>
        </w:tc>
        <w:tc>
          <w:tcPr>
            <w:tcW w:w="1600" w:type="dxa"/>
            <w:shd w:val="clear" w:color="auto" w:fill="FAF8F9"/>
            <w:tcMar>
              <w:top w:w="80" w:type="dxa"/>
              <w:left w:w="110" w:type="dxa"/>
              <w:bottom w:w="80" w:type="dxa"/>
              <w:right w:w="110" w:type="dxa"/>
            </w:tcMar>
          </w:tcPr>
          <w:p w14:paraId="6E6DA079" w14:textId="77777777" w:rsidR="00E82FC3" w:rsidRDefault="00000000">
            <w:pPr>
              <w:spacing w:line="250" w:lineRule="auto"/>
            </w:pPr>
            <w:r>
              <w:rPr>
                <w:sz w:val="18"/>
                <w:szCs w:val="18"/>
              </w:rPr>
              <w:t>Planned</w:t>
            </w:r>
          </w:p>
        </w:tc>
      </w:tr>
    </w:tbl>
    <w:p>
      <w:pPr>
        <w:pStyle w:val="Heading1"/>
        <w:spacing w:before="360" w:after="150"/>
      </w:pPr>
      <w:r>
        <w:rPr>
          <w:b/>
          <w:bCs/>
          <w:color w:val="261E2D"/>
          <w:sz w:val="28"/>
          <w:szCs w:val="28"/>
        </w:rPr>
        <w:t xml:space="preserve">9. Feasibility Assessment</w:t>
      </w:r>
    </w:p>
    <w:p>
      <w:pPr>
        <w:spacing w:after="130" w:line="280" w:lineRule="auto"/>
      </w:pPr>
      <w:r>
        <w:t xml:space="preserve">BADIRA is a Senior Project I research framework, not a product being taken to market. Feasibility is therefore assessed against what a two-student team, supervised at Effat University, can build, run and defend within one academic year. Each dimension below carries a verdict and the evidence behind it.</w:t>
      </w:r>
    </w:p>
    <w:tbl>
      <w:tblPr>
        <w:tblW w:w="900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1700"/>
        <w:gridCol w:w="1500"/>
        <w:gridCol w:w="5800"/>
      </w:tblGrid>
      <w:tr>
        <w:tblPrEx>
          <w:tblCellMar>
            <w:top w:w="0" w:type="dxa"/>
            <w:bottom w:w="0" w:type="dxa"/>
          </w:tblCellMar>
        </w:tblPrEx>
        <w:trPr>
          <w:tblHeader/>
        </w:trPr>
        <w:tc>
          <w:tcPr>
            <w:tcW w:w="1700" w:type="dxa"/>
            <w:shd w:val="clear" w:color="auto" w:fill="EFE7EC"/>
            <w:tcMar>
              <w:top w:w="80" w:type="dxa"/>
              <w:left w:w="110" w:type="dxa"/>
              <w:bottom w:w="80" w:type="dxa"/>
              <w:right w:w="110" w:type="dxa"/>
            </w:tcMar>
          </w:tcPr>
          <w:p>
            <w:pPr>
              <w:spacing w:line="250" w:lineRule="auto"/>
            </w:pPr>
            <w:r>
              <w:rPr>
                <w:b/>
                <w:bCs/>
                <w:color w:val="261E2D"/>
                <w:sz w:val="18"/>
                <w:szCs w:val="18"/>
              </w:rPr>
              <w:t xml:space="preserve">Dimension</w:t>
            </w:r>
          </w:p>
        </w:tc>
        <w:tc>
          <w:tcPr>
            <w:tcW w:w="1500" w:type="dxa"/>
            <w:shd w:val="clear" w:color="auto" w:fill="EFE7EC"/>
            <w:tcMar>
              <w:top w:w="80" w:type="dxa"/>
              <w:left w:w="110" w:type="dxa"/>
              <w:bottom w:w="80" w:type="dxa"/>
              <w:right w:w="110" w:type="dxa"/>
            </w:tcMar>
          </w:tcPr>
          <w:p>
            <w:pPr>
              <w:spacing w:line="250" w:lineRule="auto"/>
            </w:pPr>
            <w:r>
              <w:rPr>
                <w:b/>
                <w:bCs/>
                <w:color w:val="261E2D"/>
                <w:sz w:val="18"/>
                <w:szCs w:val="18"/>
              </w:rPr>
              <w:t xml:space="preserve">Verdict</w:t>
            </w:r>
          </w:p>
        </w:tc>
        <w:tc>
          <w:tcPr>
            <w:tcW w:w="5800" w:type="dxa"/>
            <w:shd w:val="clear" w:color="auto" w:fill="EFE7EC"/>
            <w:tcMar>
              <w:top w:w="80" w:type="dxa"/>
              <w:left w:w="110" w:type="dxa"/>
              <w:bottom w:w="80" w:type="dxa"/>
              <w:right w:w="110" w:type="dxa"/>
            </w:tcMar>
          </w:tcPr>
          <w:p>
            <w:pPr>
              <w:spacing w:line="250" w:lineRule="auto"/>
            </w:pPr>
            <w:r>
              <w:rPr>
                <w:b/>
                <w:bCs/>
                <w:color w:val="261E2D"/>
                <w:sz w:val="18"/>
                <w:szCs w:val="18"/>
              </w:rPr>
              <w:t xml:space="preserve">Assessment</w:t>
            </w:r>
          </w:p>
        </w:tc>
      </w:tr>
      <w:tr>
        <w:tblPrEx>
          <w:tblCellMar>
            <w:top w:w="0" w:type="dxa"/>
            <w:bottom w:w="0" w:type="dxa"/>
          </w:tblCellMar>
        </w:tblPrEx>
        <w:tc>
          <w:tcPr>
            <w:tcW w:w="1700" w:type="dxa"/>
            <w:tcMar>
              <w:top w:w="80" w:type="dxa"/>
              <w:left w:w="110" w:type="dxa"/>
              <w:bottom w:w="80" w:type="dxa"/>
              <w:right w:w="110" w:type="dxa"/>
            </w:tcMar>
          </w:tcPr>
          <w:p>
            <w:pPr>
              <w:spacing w:line="250" w:lineRule="auto"/>
            </w:pPr>
            <w:r>
              <w:rPr>
                <w:b/>
                <w:bCs/>
                <w:sz w:val="18"/>
                <w:szCs w:val="18"/>
              </w:rPr>
              <w:t xml:space="preserve">Technical</w:t>
            </w:r>
          </w:p>
        </w:tc>
        <w:tc>
          <w:tcPr>
            <w:tcW w:w="1500" w:type="dxa"/>
            <w:tcMar>
              <w:top w:w="80" w:type="dxa"/>
              <w:left w:w="110" w:type="dxa"/>
              <w:bottom w:w="80" w:type="dxa"/>
              <w:right w:w="110" w:type="dxa"/>
            </w:tcMar>
          </w:tcPr>
          <w:p>
            <w:pPr>
              <w:spacing w:line="250" w:lineRule="auto"/>
            </w:pPr>
            <w:r>
              <w:rPr>
                <w:sz w:val="18"/>
                <w:szCs w:val="18"/>
              </w:rPr>
              <w:t xml:space="preserve">Feasible</w:t>
            </w:r>
          </w:p>
        </w:tc>
        <w:tc>
          <w:tcPr>
            <w:tcW w:w="5800" w:type="dxa"/>
            <w:tcMar>
              <w:top w:w="80" w:type="dxa"/>
              <w:left w:w="110" w:type="dxa"/>
              <w:bottom w:w="80" w:type="dxa"/>
              <w:right w:w="110" w:type="dxa"/>
            </w:tcMar>
          </w:tcPr>
          <w:p>
            <w:pPr>
              <w:spacing w:line="250" w:lineRule="auto"/>
            </w:pPr>
            <w:r>
              <w:rPr>
                <w:sz w:val="18"/>
                <w:szCs w:val="18"/>
              </w:rPr>
              <w:t xml:space="preserve">Every component is standard supervised learning and survival analysis in Python. The model-selection policy is a set of rules over measured profile values, not a learned meta-model, so it can be inspected and reproduced. The models are tabular and train on a laptop; no specialised hardware is required. The output layer is already proven by a working bilingual prototype.</w:t>
            </w:r>
          </w:p>
        </w:tc>
      </w:tr>
      <w:tr>
        <w:tblPrEx>
          <w:tblCellMar>
            <w:top w:w="0" w:type="dxa"/>
            <w:bottom w:w="0" w:type="dxa"/>
          </w:tblCellMar>
        </w:tblPrEx>
        <w:tc>
          <w:tcPr>
            <w:tcW w:w="1700" w:type="dxa"/>
            <w:shd w:val="clear" w:color="auto" w:fill="FAF8F9"/>
            <w:tcMar>
              <w:top w:w="80" w:type="dxa"/>
              <w:left w:w="110" w:type="dxa"/>
              <w:bottom w:w="80" w:type="dxa"/>
              <w:right w:w="110" w:type="dxa"/>
            </w:tcMar>
          </w:tcPr>
          <w:p>
            <w:pPr>
              <w:spacing w:line="250" w:lineRule="auto"/>
            </w:pPr>
            <w:r>
              <w:rPr>
                <w:b/>
                <w:bCs/>
                <w:sz w:val="18"/>
                <w:szCs w:val="18"/>
              </w:rPr>
              <w:t xml:space="preserve">Economic</w:t>
            </w:r>
          </w:p>
        </w:tc>
        <w:tc>
          <w:tcPr>
            <w:tcW w:w="1500" w:type="dxa"/>
            <w:shd w:val="clear" w:color="auto" w:fill="FAF8F9"/>
            <w:tcMar>
              <w:top w:w="80" w:type="dxa"/>
              <w:left w:w="110" w:type="dxa"/>
              <w:bottom w:w="80" w:type="dxa"/>
              <w:right w:w="110" w:type="dxa"/>
            </w:tcMar>
          </w:tcPr>
          <w:p>
            <w:pPr>
              <w:spacing w:line="250" w:lineRule="auto"/>
            </w:pPr>
            <w:r>
              <w:rPr>
                <w:sz w:val="18"/>
                <w:szCs w:val="18"/>
              </w:rPr>
              <w:t xml:space="preserve">Feasible</w:t>
            </w:r>
          </w:p>
        </w:tc>
        <w:tc>
          <w:tcPr>
            <w:tcW w:w="5800" w:type="dxa"/>
            <w:shd w:val="clear" w:color="auto" w:fill="FAF8F9"/>
            <w:tcMar>
              <w:top w:w="80" w:type="dxa"/>
              <w:left w:w="110" w:type="dxa"/>
              <w:bottom w:w="80" w:type="dxa"/>
              <w:right w:w="110" w:type="dxa"/>
            </w:tcMar>
          </w:tcPr>
          <w:p>
            <w:pPr>
              <w:spacing w:line="250" w:lineRule="auto"/>
            </w:pPr>
            <w:r>
              <w:rPr>
                <w:sz w:val="18"/>
                <w:szCs w:val="18"/>
              </w:rPr>
              <w:t xml:space="preserve">No external funding is needed. The datasets pursued are free for academic research, the software stack is open source, and prototype hosting is on a free tier. The cost is student time, which the Senior Project I credit already allocates.</w:t>
            </w:r>
          </w:p>
        </w:tc>
      </w:tr>
      <w:tr>
        <w:tblPrEx>
          <w:tblCellMar>
            <w:top w:w="0" w:type="dxa"/>
            <w:bottom w:w="0" w:type="dxa"/>
          </w:tblCellMar>
        </w:tblPrEx>
        <w:tc>
          <w:tcPr>
            <w:tcW w:w="1700" w:type="dxa"/>
            <w:tcMar>
              <w:top w:w="80" w:type="dxa"/>
              <w:left w:w="110" w:type="dxa"/>
              <w:bottom w:w="80" w:type="dxa"/>
              <w:right w:w="110" w:type="dxa"/>
            </w:tcMar>
          </w:tcPr>
          <w:p>
            <w:pPr>
              <w:spacing w:line="250" w:lineRule="auto"/>
            </w:pPr>
            <w:r>
              <w:rPr>
                <w:b/>
                <w:bCs/>
                <w:sz w:val="18"/>
                <w:szCs w:val="18"/>
              </w:rPr>
              <w:t xml:space="preserve">Legal and ethical</w:t>
            </w:r>
          </w:p>
        </w:tc>
        <w:tc>
          <w:tcPr>
            <w:tcW w:w="1500" w:type="dxa"/>
            <w:tcMar>
              <w:top w:w="80" w:type="dxa"/>
              <w:left w:w="110" w:type="dxa"/>
              <w:bottom w:w="80" w:type="dxa"/>
              <w:right w:w="110" w:type="dxa"/>
            </w:tcMar>
          </w:tcPr>
          <w:p>
            <w:pPr>
              <w:spacing w:line="250" w:lineRule="auto"/>
            </w:pPr>
            <w:r>
              <w:rPr>
                <w:sz w:val="18"/>
                <w:szCs w:val="18"/>
              </w:rPr>
              <w:t xml:space="preserve">Feasible for research use</w:t>
            </w:r>
          </w:p>
        </w:tc>
        <w:tc>
          <w:tcPr>
            <w:tcW w:w="5800" w:type="dxa"/>
            <w:tcMar>
              <w:top w:w="80" w:type="dxa"/>
              <w:left w:w="110" w:type="dxa"/>
              <w:bottom w:w="80" w:type="dxa"/>
              <w:right w:w="110" w:type="dxa"/>
            </w:tcMar>
          </w:tcPr>
          <w:p>
            <w:pPr>
              <w:spacing w:line="250" w:lineRule="auto"/>
            </w:pPr>
            <w:r>
              <w:rPr>
                <w:sz w:val="18"/>
                <w:szCs w:val="18"/>
              </w:rPr>
              <w:t xml:space="preserve">The datasets are de-identified at source and are released under a data use agreement and university ethics clearance rather than purchase. BADIRA reports risk, not diagnosis, and is not being deployed as a medical device. Any future clinical deployment in Saudi Arabia would fall under SFDA rules for Software as a Medical Device and under the Personal Data Protection Law; both are recorded here as conditions on deployment, which is outside the scope of this project.</w:t>
            </w:r>
          </w:p>
        </w:tc>
      </w:tr>
      <w:tr>
        <w:tblPrEx>
          <w:tblCellMar>
            <w:top w:w="0" w:type="dxa"/>
            <w:bottom w:w="0" w:type="dxa"/>
          </w:tblCellMar>
        </w:tblPrEx>
        <w:tc>
          <w:tcPr>
            <w:tcW w:w="1700" w:type="dxa"/>
            <w:shd w:val="clear" w:color="auto" w:fill="FAF8F9"/>
            <w:tcMar>
              <w:top w:w="80" w:type="dxa"/>
              <w:left w:w="110" w:type="dxa"/>
              <w:bottom w:w="80" w:type="dxa"/>
              <w:right w:w="110" w:type="dxa"/>
            </w:tcMar>
          </w:tcPr>
          <w:p>
            <w:pPr>
              <w:spacing w:line="250" w:lineRule="auto"/>
            </w:pPr>
            <w:r>
              <w:rPr>
                <w:b/>
                <w:bCs/>
                <w:sz w:val="18"/>
                <w:szCs w:val="18"/>
              </w:rPr>
              <w:t xml:space="preserve">Operational</w:t>
            </w:r>
          </w:p>
        </w:tc>
        <w:tc>
          <w:tcPr>
            <w:tcW w:w="1500" w:type="dxa"/>
            <w:shd w:val="clear" w:color="auto" w:fill="FAF8F9"/>
            <w:tcMar>
              <w:top w:w="80" w:type="dxa"/>
              <w:left w:w="110" w:type="dxa"/>
              <w:bottom w:w="80" w:type="dxa"/>
              <w:right w:w="110" w:type="dxa"/>
            </w:tcMar>
          </w:tcPr>
          <w:p>
            <w:pPr>
              <w:spacing w:line="250" w:lineRule="auto"/>
            </w:pPr>
            <w:r>
              <w:rPr>
                <w:sz w:val="18"/>
                <w:szCs w:val="18"/>
              </w:rPr>
              <w:t xml:space="preserve">Feasible</w:t>
            </w:r>
          </w:p>
        </w:tc>
        <w:tc>
          <w:tcPr>
            <w:tcW w:w="5800" w:type="dxa"/>
            <w:shd w:val="clear" w:color="auto" w:fill="FAF8F9"/>
            <w:tcMar>
              <w:top w:w="80" w:type="dxa"/>
              <w:left w:w="110" w:type="dxa"/>
              <w:bottom w:w="80" w:type="dxa"/>
              <w:right w:w="110" w:type="dxa"/>
            </w:tcMar>
          </w:tcPr>
          <w:p>
            <w:pPr>
              <w:spacing w:line="250" w:lineRule="auto"/>
            </w:pPr>
            <w:r>
              <w:rPr>
                <w:sz w:val="18"/>
                <w:szCs w:val="18"/>
              </w:rPr>
              <w:t xml:space="preserve">Two students, an academic supervisor (Dr. Naila Marir) and a clinical collaborator (Dr. Rania) cover the technical and clinical review the framework needs. Clinical definitions are taken from published guidelines and checked by the collaborator, so no clinical judgement rests on the students alone.</w:t>
            </w:r>
          </w:p>
        </w:tc>
      </w:tr>
      <w:tr>
        <w:tblPrEx>
          <w:tblCellMar>
            <w:top w:w="0" w:type="dxa"/>
            <w:bottom w:w="0" w:type="dxa"/>
          </w:tblCellMar>
        </w:tblPrEx>
        <w:tc>
          <w:tcPr>
            <w:tcW w:w="1700" w:type="dxa"/>
            <w:tcMar>
              <w:top w:w="80" w:type="dxa"/>
              <w:left w:w="110" w:type="dxa"/>
              <w:bottom w:w="80" w:type="dxa"/>
              <w:right w:w="110" w:type="dxa"/>
            </w:tcMar>
          </w:tcPr>
          <w:p>
            <w:pPr>
              <w:spacing w:line="250" w:lineRule="auto"/>
            </w:pPr>
            <w:r>
              <w:rPr>
                <w:b/>
                <w:bCs/>
                <w:sz w:val="18"/>
                <w:szCs w:val="18"/>
              </w:rPr>
              <w:t xml:space="preserve">Schedule</w:t>
            </w:r>
          </w:p>
        </w:tc>
        <w:tc>
          <w:tcPr>
            <w:tcW w:w="1500" w:type="dxa"/>
            <w:tcMar>
              <w:top w:w="80" w:type="dxa"/>
              <w:left w:w="110" w:type="dxa"/>
              <w:bottom w:w="80" w:type="dxa"/>
              <w:right w:w="110" w:type="dxa"/>
            </w:tcMar>
          </w:tcPr>
          <w:p>
            <w:pPr>
              <w:spacing w:line="250" w:lineRule="auto"/>
            </w:pPr>
            <w:r>
              <w:rPr>
                <w:sz w:val="18"/>
                <w:szCs w:val="18"/>
              </w:rPr>
              <w:t xml:space="preserve">Feasible, but tight</w:t>
            </w:r>
          </w:p>
        </w:tc>
        <w:tc>
          <w:tcPr>
            <w:tcW w:w="5800" w:type="dxa"/>
            <w:tcMar>
              <w:top w:w="80" w:type="dxa"/>
              <w:left w:w="110" w:type="dxa"/>
              <w:bottom w:w="80" w:type="dxa"/>
              <w:right w:w="110" w:type="dxa"/>
            </w:tcMar>
          </w:tcPr>
          <w:p>
            <w:pPr>
              <w:spacing w:line="250" w:lineRule="auto"/>
            </w:pPr>
            <w:r>
              <w:rPr>
                <w:sz w:val="18"/>
                <w:szCs w:val="18"/>
              </w:rPr>
              <w:t xml:space="preserve">The four phases in section 8 fit the academic year. The critical path is data access: the data use agreement is the only step whose timing is not under the team’s control. Three applications are therefore run in parallel, and the Data Profiler and selection policy are developed on public data while they are pending.</w:t>
            </w:r>
          </w:p>
        </w:tc>
      </w:tr>
    </w:tbl>
    <w:p>
      <w:pPr>
        <w:pStyle w:val="Heading2"/>
        <w:spacing w:before="260" w:after="110"/>
      </w:pPr>
      <w:r>
        <w:rPr>
          <w:b/>
          <w:bCs/>
          <w:color w:val="3B2F45"/>
          <w:sz w:val="23"/>
          <w:szCs w:val="23"/>
        </w:rPr>
        <w:t xml:space="preserve">9.1 Resources and cost</w:t>
      </w:r>
    </w:p>
    <w:tbl>
      <w:tblPr>
        <w:tblW w:w="900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2700"/>
        <w:gridCol w:w="3300"/>
        <w:gridCol w:w="3000"/>
      </w:tblGrid>
      <w:tr>
        <w:tblPrEx>
          <w:tblCellMar>
            <w:top w:w="0" w:type="dxa"/>
            <w:bottom w:w="0" w:type="dxa"/>
          </w:tblCellMar>
        </w:tblPrEx>
        <w:trPr>
          <w:tblHeader/>
        </w:trPr>
        <w:tc>
          <w:tcPr>
            <w:tcW w:w="2700" w:type="dxa"/>
            <w:shd w:val="clear" w:color="auto" w:fill="EFE7EC"/>
            <w:tcMar>
              <w:top w:w="80" w:type="dxa"/>
              <w:left w:w="110" w:type="dxa"/>
              <w:bottom w:w="80" w:type="dxa"/>
              <w:right w:w="110" w:type="dxa"/>
            </w:tcMar>
          </w:tcPr>
          <w:p>
            <w:pPr>
              <w:spacing w:line="250" w:lineRule="auto"/>
            </w:pPr>
            <w:r>
              <w:rPr>
                <w:b/>
                <w:bCs/>
                <w:color w:val="261E2D"/>
                <w:sz w:val="18"/>
                <w:szCs w:val="18"/>
              </w:rPr>
              <w:t xml:space="preserve">Resource</w:t>
            </w:r>
          </w:p>
        </w:tc>
        <w:tc>
          <w:tcPr>
            <w:tcW w:w="3300" w:type="dxa"/>
            <w:shd w:val="clear" w:color="auto" w:fill="EFE7EC"/>
            <w:tcMar>
              <w:top w:w="80" w:type="dxa"/>
              <w:left w:w="110" w:type="dxa"/>
              <w:bottom w:w="80" w:type="dxa"/>
              <w:right w:w="110" w:type="dxa"/>
            </w:tcMar>
          </w:tcPr>
          <w:p>
            <w:pPr>
              <w:spacing w:line="250" w:lineRule="auto"/>
            </w:pPr>
            <w:r>
              <w:rPr>
                <w:b/>
                <w:bCs/>
                <w:color w:val="261E2D"/>
                <w:sz w:val="18"/>
                <w:szCs w:val="18"/>
              </w:rPr>
              <w:t xml:space="preserve">Source</w:t>
            </w:r>
          </w:p>
        </w:tc>
        <w:tc>
          <w:tcPr>
            <w:tcW w:w="3000" w:type="dxa"/>
            <w:shd w:val="clear" w:color="auto" w:fill="EFE7EC"/>
            <w:tcMar>
              <w:top w:w="80" w:type="dxa"/>
              <w:left w:w="110" w:type="dxa"/>
              <w:bottom w:w="80" w:type="dxa"/>
              <w:right w:w="110" w:type="dxa"/>
            </w:tcMar>
          </w:tcPr>
          <w:p>
            <w:pPr>
              <w:spacing w:line="250" w:lineRule="auto"/>
            </w:pPr>
            <w:r>
              <w:rPr>
                <w:b/>
                <w:bCs/>
                <w:color w:val="261E2D"/>
                <w:sz w:val="18"/>
                <w:szCs w:val="18"/>
              </w:rPr>
              <w:t xml:space="preserve">Cost</w:t>
            </w:r>
          </w:p>
        </w:tc>
      </w:tr>
      <w:tr>
        <w:tblPrEx>
          <w:tblCellMar>
            <w:top w:w="0" w:type="dxa"/>
            <w:bottom w:w="0" w:type="dxa"/>
          </w:tblCellMar>
        </w:tblPrEx>
        <w:tc>
          <w:tcPr>
            <w:tcW w:w="2700" w:type="dxa"/>
            <w:tcMar>
              <w:top w:w="80" w:type="dxa"/>
              <w:left w:w="110" w:type="dxa"/>
              <w:bottom w:w="80" w:type="dxa"/>
              <w:right w:w="110" w:type="dxa"/>
            </w:tcMar>
          </w:tcPr>
          <w:p>
            <w:pPr>
              <w:spacing w:line="250" w:lineRule="auto"/>
            </w:pPr>
            <w:r>
              <w:rPr>
                <w:b/>
                <w:bCs/>
                <w:sz w:val="18"/>
                <w:szCs w:val="18"/>
              </w:rPr>
              <w:t xml:space="preserve">Datasets</w:t>
            </w:r>
          </w:p>
        </w:tc>
        <w:tc>
          <w:tcPr>
            <w:tcW w:w="3300" w:type="dxa"/>
            <w:tcMar>
              <w:top w:w="80" w:type="dxa"/>
              <w:left w:w="110" w:type="dxa"/>
              <w:bottom w:w="80" w:type="dxa"/>
              <w:right w:w="110" w:type="dxa"/>
            </w:tcMar>
          </w:tcPr>
          <w:p>
            <w:pPr>
              <w:spacing w:line="250" w:lineRule="auto"/>
            </w:pPr>
            <w:r>
              <w:rPr>
                <w:sz w:val="18"/>
                <w:szCs w:val="18"/>
              </w:rPr>
              <w:t xml:space="preserve">NICHD DASH repository and RAHMA, under academic data use agreements</w:t>
            </w:r>
          </w:p>
        </w:tc>
        <w:tc>
          <w:tcPr>
            <w:tcW w:w="3000" w:type="dxa"/>
            <w:tcMar>
              <w:top w:w="80" w:type="dxa"/>
              <w:left w:w="110" w:type="dxa"/>
              <w:bottom w:w="80" w:type="dxa"/>
              <w:right w:w="110" w:type="dxa"/>
            </w:tcMar>
          </w:tcPr>
          <w:p>
            <w:pPr>
              <w:spacing w:line="250" w:lineRule="auto"/>
            </w:pPr>
            <w:r>
              <w:rPr>
                <w:sz w:val="18"/>
                <w:szCs w:val="18"/>
              </w:rPr>
              <w:t xml:space="preserve">None</w:t>
            </w:r>
          </w:p>
        </w:tc>
      </w:tr>
      <w:tr>
        <w:tblPrEx>
          <w:tblCellMar>
            <w:top w:w="0" w:type="dxa"/>
            <w:bottom w:w="0" w:type="dxa"/>
          </w:tblCellMar>
        </w:tblPrEx>
        <w:tc>
          <w:tcPr>
            <w:tcW w:w="2700" w:type="dxa"/>
            <w:shd w:val="clear" w:color="auto" w:fill="FAF8F9"/>
            <w:tcMar>
              <w:top w:w="80" w:type="dxa"/>
              <w:left w:w="110" w:type="dxa"/>
              <w:bottom w:w="80" w:type="dxa"/>
              <w:right w:w="110" w:type="dxa"/>
            </w:tcMar>
          </w:tcPr>
          <w:p>
            <w:pPr>
              <w:spacing w:line="250" w:lineRule="auto"/>
            </w:pPr>
            <w:r>
              <w:rPr>
                <w:b/>
                <w:bCs/>
                <w:sz w:val="18"/>
                <w:szCs w:val="18"/>
              </w:rPr>
              <w:t xml:space="preserve">Software</w:t>
            </w:r>
          </w:p>
        </w:tc>
        <w:tc>
          <w:tcPr>
            <w:tcW w:w="3300" w:type="dxa"/>
            <w:shd w:val="clear" w:color="auto" w:fill="FAF8F9"/>
            <w:tcMar>
              <w:top w:w="80" w:type="dxa"/>
              <w:left w:w="110" w:type="dxa"/>
              <w:bottom w:w="80" w:type="dxa"/>
              <w:right w:w="110" w:type="dxa"/>
            </w:tcMar>
          </w:tcPr>
          <w:p>
            <w:pPr>
              <w:spacing w:line="250" w:lineRule="auto"/>
            </w:pPr>
            <w:r>
              <w:rPr>
                <w:sz w:val="18"/>
                <w:szCs w:val="18"/>
              </w:rPr>
              <w:t xml:space="preserve">Python, scikit-learn, lifelines, React — all open source</w:t>
            </w:r>
          </w:p>
        </w:tc>
        <w:tc>
          <w:tcPr>
            <w:tcW w:w="3000" w:type="dxa"/>
            <w:shd w:val="clear" w:color="auto" w:fill="FAF8F9"/>
            <w:tcMar>
              <w:top w:w="80" w:type="dxa"/>
              <w:left w:w="110" w:type="dxa"/>
              <w:bottom w:w="80" w:type="dxa"/>
              <w:right w:w="110" w:type="dxa"/>
            </w:tcMar>
          </w:tcPr>
          <w:p>
            <w:pPr>
              <w:spacing w:line="250" w:lineRule="auto"/>
            </w:pPr>
            <w:r>
              <w:rPr>
                <w:sz w:val="18"/>
                <w:szCs w:val="18"/>
              </w:rPr>
              <w:t xml:space="preserve">None</w:t>
            </w:r>
          </w:p>
        </w:tc>
      </w:tr>
      <w:tr>
        <w:tblPrEx>
          <w:tblCellMar>
            <w:top w:w="0" w:type="dxa"/>
            <w:bottom w:w="0" w:type="dxa"/>
          </w:tblCellMar>
        </w:tblPrEx>
        <w:tc>
          <w:tcPr>
            <w:tcW w:w="2700" w:type="dxa"/>
            <w:tcMar>
              <w:top w:w="80" w:type="dxa"/>
              <w:left w:w="110" w:type="dxa"/>
              <w:bottom w:w="80" w:type="dxa"/>
              <w:right w:w="110" w:type="dxa"/>
            </w:tcMar>
          </w:tcPr>
          <w:p>
            <w:pPr>
              <w:spacing w:line="250" w:lineRule="auto"/>
            </w:pPr>
            <w:r>
              <w:rPr>
                <w:b/>
                <w:bCs/>
                <w:sz w:val="18"/>
                <w:szCs w:val="18"/>
              </w:rPr>
              <w:t xml:space="preserve">Compute</w:t>
            </w:r>
          </w:p>
        </w:tc>
        <w:tc>
          <w:tcPr>
            <w:tcW w:w="3300" w:type="dxa"/>
            <w:tcMar>
              <w:top w:w="80" w:type="dxa"/>
              <w:left w:w="110" w:type="dxa"/>
              <w:bottom w:w="80" w:type="dxa"/>
              <w:right w:w="110" w:type="dxa"/>
            </w:tcMar>
          </w:tcPr>
          <w:p>
            <w:pPr>
              <w:spacing w:line="250" w:lineRule="auto"/>
            </w:pPr>
            <w:r>
              <w:rPr>
                <w:sz w:val="18"/>
                <w:szCs w:val="18"/>
              </w:rPr>
              <w:t xml:space="preserve">Student machines; university lab if a larger run is needed</w:t>
            </w:r>
          </w:p>
        </w:tc>
        <w:tc>
          <w:tcPr>
            <w:tcW w:w="3000" w:type="dxa"/>
            <w:tcMar>
              <w:top w:w="80" w:type="dxa"/>
              <w:left w:w="110" w:type="dxa"/>
              <w:bottom w:w="80" w:type="dxa"/>
              <w:right w:w="110" w:type="dxa"/>
            </w:tcMar>
          </w:tcPr>
          <w:p>
            <w:pPr>
              <w:spacing w:line="250" w:lineRule="auto"/>
            </w:pPr>
            <w:r>
              <w:rPr>
                <w:sz w:val="18"/>
                <w:szCs w:val="18"/>
              </w:rPr>
              <w:t xml:space="preserve">None</w:t>
            </w:r>
          </w:p>
        </w:tc>
      </w:tr>
      <w:tr>
        <w:tblPrEx>
          <w:tblCellMar>
            <w:top w:w="0" w:type="dxa"/>
            <w:bottom w:w="0" w:type="dxa"/>
          </w:tblCellMar>
        </w:tblPrEx>
        <w:tc>
          <w:tcPr>
            <w:tcW w:w="2700" w:type="dxa"/>
            <w:shd w:val="clear" w:color="auto" w:fill="FAF8F9"/>
            <w:tcMar>
              <w:top w:w="80" w:type="dxa"/>
              <w:left w:w="110" w:type="dxa"/>
              <w:bottom w:w="80" w:type="dxa"/>
              <w:right w:w="110" w:type="dxa"/>
            </w:tcMar>
          </w:tcPr>
          <w:p>
            <w:pPr>
              <w:spacing w:line="250" w:lineRule="auto"/>
            </w:pPr>
            <w:r>
              <w:rPr>
                <w:b/>
                <w:bCs/>
                <w:sz w:val="18"/>
                <w:szCs w:val="18"/>
              </w:rPr>
              <w:t xml:space="preserve">Prototype hosting</w:t>
            </w:r>
          </w:p>
        </w:tc>
        <w:tc>
          <w:tcPr>
            <w:tcW w:w="3300" w:type="dxa"/>
            <w:shd w:val="clear" w:color="auto" w:fill="FAF8F9"/>
            <w:tcMar>
              <w:top w:w="80" w:type="dxa"/>
              <w:left w:w="110" w:type="dxa"/>
              <w:bottom w:w="80" w:type="dxa"/>
              <w:right w:w="110" w:type="dxa"/>
            </w:tcMar>
          </w:tcPr>
          <w:p>
            <w:pPr>
              <w:spacing w:line="250" w:lineRule="auto"/>
            </w:pPr>
            <w:r>
              <w:rPr>
                <w:sz w:val="18"/>
                <w:szCs w:val="18"/>
              </w:rPr>
              <w:t xml:space="preserve">Free deployment tier</w:t>
            </w:r>
          </w:p>
        </w:tc>
        <w:tc>
          <w:tcPr>
            <w:tcW w:w="3000" w:type="dxa"/>
            <w:shd w:val="clear" w:color="auto" w:fill="FAF8F9"/>
            <w:tcMar>
              <w:top w:w="80" w:type="dxa"/>
              <w:left w:w="110" w:type="dxa"/>
              <w:bottom w:w="80" w:type="dxa"/>
              <w:right w:w="110" w:type="dxa"/>
            </w:tcMar>
          </w:tcPr>
          <w:p>
            <w:pPr>
              <w:spacing w:line="250" w:lineRule="auto"/>
            </w:pPr>
            <w:r>
              <w:rPr>
                <w:sz w:val="18"/>
                <w:szCs w:val="18"/>
              </w:rPr>
              <w:t xml:space="preserve">None</w:t>
            </w:r>
          </w:p>
        </w:tc>
      </w:tr>
      <w:tr>
        <w:tblPrEx>
          <w:tblCellMar>
            <w:top w:w="0" w:type="dxa"/>
            <w:bottom w:w="0" w:type="dxa"/>
          </w:tblCellMar>
        </w:tblPrEx>
        <w:tc>
          <w:tcPr>
            <w:tcW w:w="2700" w:type="dxa"/>
            <w:tcMar>
              <w:top w:w="80" w:type="dxa"/>
              <w:left w:w="110" w:type="dxa"/>
              <w:bottom w:w="80" w:type="dxa"/>
              <w:right w:w="110" w:type="dxa"/>
            </w:tcMar>
          </w:tcPr>
          <w:p>
            <w:pPr>
              <w:spacing w:line="250" w:lineRule="auto"/>
            </w:pPr>
            <w:r>
              <w:rPr>
                <w:b/>
                <w:bCs/>
                <w:sz w:val="18"/>
                <w:szCs w:val="18"/>
              </w:rPr>
              <w:t xml:space="preserve">Supervision and clinical review</w:t>
            </w:r>
          </w:p>
        </w:tc>
        <w:tc>
          <w:tcPr>
            <w:tcW w:w="3300" w:type="dxa"/>
            <w:tcMar>
              <w:top w:w="80" w:type="dxa"/>
              <w:left w:w="110" w:type="dxa"/>
              <w:bottom w:w="80" w:type="dxa"/>
              <w:right w:w="110" w:type="dxa"/>
            </w:tcMar>
          </w:tcPr>
          <w:p>
            <w:pPr>
              <w:spacing w:line="250" w:lineRule="auto"/>
            </w:pPr>
            <w:r>
              <w:rPr>
                <w:sz w:val="18"/>
                <w:szCs w:val="18"/>
              </w:rPr>
              <w:t xml:space="preserve">Effat University and the clinical collaborator</w:t>
            </w:r>
          </w:p>
        </w:tc>
        <w:tc>
          <w:tcPr>
            <w:tcW w:w="3000" w:type="dxa"/>
            <w:tcMar>
              <w:top w:w="80" w:type="dxa"/>
              <w:left w:w="110" w:type="dxa"/>
              <w:bottom w:w="80" w:type="dxa"/>
              <w:right w:w="110" w:type="dxa"/>
            </w:tcMar>
          </w:tcPr>
          <w:p>
            <w:pPr>
              <w:spacing w:line="250" w:lineRule="auto"/>
            </w:pPr>
            <w:r>
              <w:rPr>
                <w:sz w:val="18"/>
                <w:szCs w:val="18"/>
              </w:rPr>
              <w:t xml:space="preserve">In kind</w:t>
            </w:r>
          </w:p>
        </w:tc>
      </w:tr>
      <w:tr>
        <w:tblPrEx>
          <w:tblCellMar>
            <w:top w:w="0" w:type="dxa"/>
            <w:bottom w:w="0" w:type="dxa"/>
          </w:tblCellMar>
        </w:tblPrEx>
        <w:tc>
          <w:tcPr>
            <w:tcW w:w="2700" w:type="dxa"/>
            <w:shd w:val="clear" w:color="auto" w:fill="FAF8F9"/>
            <w:tcMar>
              <w:top w:w="80" w:type="dxa"/>
              <w:left w:w="110" w:type="dxa"/>
              <w:bottom w:w="80" w:type="dxa"/>
              <w:right w:w="110" w:type="dxa"/>
            </w:tcMar>
          </w:tcPr>
          <w:p>
            <w:pPr>
              <w:spacing w:line="250" w:lineRule="auto"/>
            </w:pPr>
            <w:r>
              <w:rPr>
                <w:b/>
                <w:bCs/>
                <w:sz w:val="18"/>
                <w:szCs w:val="18"/>
              </w:rPr>
              <w:t xml:space="preserve">Student effort</w:t>
            </w:r>
          </w:p>
        </w:tc>
        <w:tc>
          <w:tcPr>
            <w:tcW w:w="3300" w:type="dxa"/>
            <w:shd w:val="clear" w:color="auto" w:fill="FAF8F9"/>
            <w:tcMar>
              <w:top w:w="80" w:type="dxa"/>
              <w:left w:w="110" w:type="dxa"/>
              <w:bottom w:w="80" w:type="dxa"/>
              <w:right w:w="110" w:type="dxa"/>
            </w:tcMar>
          </w:tcPr>
          <w:p>
            <w:pPr>
              <w:spacing w:line="250" w:lineRule="auto"/>
            </w:pPr>
            <w:r>
              <w:rPr>
                <w:sz w:val="18"/>
                <w:szCs w:val="18"/>
              </w:rPr>
              <w:t xml:space="preserve">Two students across two semesters</w:t>
            </w:r>
          </w:p>
        </w:tc>
        <w:tc>
          <w:tcPr>
            <w:tcW w:w="3000" w:type="dxa"/>
            <w:shd w:val="clear" w:color="auto" w:fill="FAF8F9"/>
            <w:tcMar>
              <w:top w:w="80" w:type="dxa"/>
              <w:left w:w="110" w:type="dxa"/>
              <w:bottom w:w="80" w:type="dxa"/>
              <w:right w:w="110" w:type="dxa"/>
            </w:tcMar>
          </w:tcPr>
          <w:p>
            <w:pPr>
              <w:spacing w:line="250" w:lineRule="auto"/>
            </w:pPr>
            <w:r>
              <w:rPr>
                <w:sz w:val="18"/>
                <w:szCs w:val="18"/>
              </w:rPr>
              <w:t xml:space="preserve">In kind</w:t>
            </w:r>
          </w:p>
        </w:tc>
      </w:tr>
    </w:tbl>
    <w:p>
      <w:pPr>
        <w:spacing w:after="130" w:line="280" w:lineRule="auto"/>
      </w:pPr>
      <w:r>
        <w:t xml:space="preserve">The project requires no purchase and no external funding. This is what makes the schedule risk, rather than the budget, the dimension worth watching.</w:t>
      </w:r>
    </w:p>
    <w:p>
      <w:pPr>
        <w:pStyle w:val="Heading2"/>
        <w:spacing w:before="260" w:after="110"/>
      </w:pPr>
      <w:r>
        <w:rPr>
          <w:b/>
          <w:bCs/>
          <w:color w:val="3B2F45"/>
          <w:sz w:val="23"/>
          <w:szCs w:val="23"/>
        </w:rPr>
        <w:t xml:space="preserve">9.2 Overall verdict</w:t>
      </w:r>
    </w:p>
    <w:p>
      <w:pPr>
        <w:spacing w:after="130" w:line="280" w:lineRule="auto"/>
      </w:pPr>
      <w:r>
        <w:t xml:space="preserve">The project is feasible as scoped. No dimension returns a blocking result. The one real risk is schedule, and only through data access; the mitigations are set out in section 11. The recommendation is to proceed.</w:t>
      </w:r>
    </w:p>
    <w:p w14:paraId="486A8802" w14:textId="115E2C0A" w:rsidR="00E82FC3" w:rsidRDefault="00AB5F52">
      <w:pPr>
        <w:pStyle w:val="Heading1"/>
        <w:spacing w:before="360" w:after="150"/>
      </w:pPr>
      <w:r>
        <w:rPr>
          <w:b/>
          <w:bCs/>
          <w:color w:val="261E2D"/>
          <w:sz w:val="28"/>
          <w:szCs w:val="28"/>
        </w:rPr>
        <w:t>10. Success Criteria</w:t>
      </w:r>
    </w:p>
    <w:tbl>
      <w:tblPr>
        <w:tblW w:w="900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600"/>
        <w:gridCol w:w="4400"/>
        <w:gridCol w:w="4000"/>
      </w:tblGrid>
      <w:tr w:rsidR="00E82FC3" w14:paraId="0C905218" w14:textId="77777777">
        <w:tblPrEx>
          <w:tblCellMar>
            <w:top w:w="0" w:type="dxa"/>
            <w:bottom w:w="0" w:type="dxa"/>
          </w:tblCellMar>
        </w:tblPrEx>
        <w:trPr>
          <w:tblHeader/>
        </w:trPr>
        <w:tc>
          <w:tcPr>
            <w:tcW w:w="600" w:type="dxa"/>
            <w:shd w:val="clear" w:color="auto" w:fill="EFE7EC"/>
            <w:tcMar>
              <w:top w:w="80" w:type="dxa"/>
              <w:left w:w="110" w:type="dxa"/>
              <w:bottom w:w="80" w:type="dxa"/>
              <w:right w:w="110" w:type="dxa"/>
            </w:tcMar>
          </w:tcPr>
          <w:p w14:paraId="39F08ABF" w14:textId="77777777" w:rsidR="00E82FC3" w:rsidRDefault="00000000">
            <w:pPr>
              <w:spacing w:line="250" w:lineRule="auto"/>
            </w:pPr>
            <w:r>
              <w:rPr>
                <w:b/>
                <w:bCs/>
                <w:color w:val="261E2D"/>
                <w:sz w:val="18"/>
                <w:szCs w:val="18"/>
              </w:rPr>
              <w:t>#</w:t>
            </w:r>
          </w:p>
        </w:tc>
        <w:tc>
          <w:tcPr>
            <w:tcW w:w="4400" w:type="dxa"/>
            <w:shd w:val="clear" w:color="auto" w:fill="EFE7EC"/>
            <w:tcMar>
              <w:top w:w="80" w:type="dxa"/>
              <w:left w:w="110" w:type="dxa"/>
              <w:bottom w:w="80" w:type="dxa"/>
              <w:right w:w="110" w:type="dxa"/>
            </w:tcMar>
          </w:tcPr>
          <w:p w14:paraId="5C0788F1" w14:textId="77777777" w:rsidR="00E82FC3" w:rsidRDefault="00000000">
            <w:pPr>
              <w:spacing w:line="250" w:lineRule="auto"/>
            </w:pPr>
            <w:r>
              <w:rPr>
                <w:b/>
                <w:bCs/>
                <w:color w:val="261E2D"/>
                <w:sz w:val="18"/>
                <w:szCs w:val="18"/>
              </w:rPr>
              <w:t>Criterion</w:t>
            </w:r>
          </w:p>
        </w:tc>
        <w:tc>
          <w:tcPr>
            <w:tcW w:w="4000" w:type="dxa"/>
            <w:shd w:val="clear" w:color="auto" w:fill="EFE7EC"/>
            <w:tcMar>
              <w:top w:w="80" w:type="dxa"/>
              <w:left w:w="110" w:type="dxa"/>
              <w:bottom w:w="80" w:type="dxa"/>
              <w:right w:w="110" w:type="dxa"/>
            </w:tcMar>
          </w:tcPr>
          <w:p w14:paraId="281D714D" w14:textId="77777777" w:rsidR="00E82FC3" w:rsidRDefault="00000000">
            <w:pPr>
              <w:spacing w:line="250" w:lineRule="auto"/>
            </w:pPr>
            <w:r>
              <w:rPr>
                <w:b/>
                <w:bCs/>
                <w:color w:val="261E2D"/>
                <w:sz w:val="18"/>
                <w:szCs w:val="18"/>
              </w:rPr>
              <w:t>How it is measured</w:t>
            </w:r>
          </w:p>
        </w:tc>
      </w:tr>
      <w:tr w:rsidR="00E82FC3" w14:paraId="640B2B5F" w14:textId="77777777">
        <w:tblPrEx>
          <w:tblCellMar>
            <w:top w:w="0" w:type="dxa"/>
            <w:bottom w:w="0" w:type="dxa"/>
          </w:tblCellMar>
        </w:tblPrEx>
        <w:tc>
          <w:tcPr>
            <w:tcW w:w="600" w:type="dxa"/>
            <w:tcMar>
              <w:top w:w="80" w:type="dxa"/>
              <w:left w:w="110" w:type="dxa"/>
              <w:bottom w:w="80" w:type="dxa"/>
              <w:right w:w="110" w:type="dxa"/>
            </w:tcMar>
          </w:tcPr>
          <w:p w14:paraId="17AA2243" w14:textId="77777777" w:rsidR="00E82FC3" w:rsidRDefault="00000000">
            <w:pPr>
              <w:spacing w:line="250" w:lineRule="auto"/>
            </w:pPr>
            <w:r>
              <w:rPr>
                <w:b/>
                <w:bCs/>
                <w:sz w:val="18"/>
                <w:szCs w:val="18"/>
              </w:rPr>
              <w:t>1</w:t>
            </w:r>
          </w:p>
        </w:tc>
        <w:tc>
          <w:tcPr>
            <w:tcW w:w="4400" w:type="dxa"/>
            <w:tcMar>
              <w:top w:w="80" w:type="dxa"/>
              <w:left w:w="110" w:type="dxa"/>
              <w:bottom w:w="80" w:type="dxa"/>
              <w:right w:w="110" w:type="dxa"/>
            </w:tcMar>
          </w:tcPr>
          <w:p w14:paraId="74F11903" w14:textId="77777777" w:rsidR="00E82FC3" w:rsidRDefault="00000000">
            <w:pPr>
              <w:spacing w:line="250" w:lineRule="auto"/>
            </w:pPr>
            <w:r>
              <w:rPr>
                <w:sz w:val="18"/>
                <w:szCs w:val="18"/>
              </w:rPr>
              <w:t>The Data Profiler produces a reproducible profile, and the model selected is demonstrably a consequence of that profile</w:t>
            </w:r>
          </w:p>
        </w:tc>
        <w:tc>
          <w:tcPr>
            <w:tcW w:w="4000" w:type="dxa"/>
            <w:tcMar>
              <w:top w:w="80" w:type="dxa"/>
              <w:left w:w="110" w:type="dxa"/>
              <w:bottom w:w="80" w:type="dxa"/>
              <w:right w:w="110" w:type="dxa"/>
            </w:tcMar>
          </w:tcPr>
          <w:p w14:paraId="60597C87" w14:textId="77777777" w:rsidR="00E82FC3" w:rsidRDefault="00000000">
            <w:pPr>
              <w:spacing w:line="250" w:lineRule="auto"/>
            </w:pPr>
            <w:r>
              <w:rPr>
                <w:sz w:val="18"/>
                <w:szCs w:val="18"/>
              </w:rPr>
              <w:t>Selection decisions reproduce from the recorded profile without human intervention</w:t>
            </w:r>
          </w:p>
        </w:tc>
      </w:tr>
      <w:tr w:rsidR="00E82FC3" w14:paraId="24DADCDE" w14:textId="77777777">
        <w:tblPrEx>
          <w:tblCellMar>
            <w:top w:w="0" w:type="dxa"/>
            <w:bottom w:w="0" w:type="dxa"/>
          </w:tblCellMar>
        </w:tblPrEx>
        <w:tc>
          <w:tcPr>
            <w:tcW w:w="600" w:type="dxa"/>
            <w:shd w:val="clear" w:color="auto" w:fill="FAF8F9"/>
            <w:tcMar>
              <w:top w:w="80" w:type="dxa"/>
              <w:left w:w="110" w:type="dxa"/>
              <w:bottom w:w="80" w:type="dxa"/>
              <w:right w:w="110" w:type="dxa"/>
            </w:tcMar>
          </w:tcPr>
          <w:p w14:paraId="1B8BBDAC" w14:textId="77777777" w:rsidR="00E82FC3" w:rsidRDefault="00000000">
            <w:pPr>
              <w:spacing w:line="250" w:lineRule="auto"/>
            </w:pPr>
            <w:r>
              <w:rPr>
                <w:b/>
                <w:bCs/>
                <w:sz w:val="18"/>
                <w:szCs w:val="18"/>
              </w:rPr>
              <w:t>2</w:t>
            </w:r>
          </w:p>
        </w:tc>
        <w:tc>
          <w:tcPr>
            <w:tcW w:w="4400" w:type="dxa"/>
            <w:shd w:val="clear" w:color="auto" w:fill="FAF8F9"/>
            <w:tcMar>
              <w:top w:w="80" w:type="dxa"/>
              <w:left w:w="110" w:type="dxa"/>
              <w:bottom w:w="80" w:type="dxa"/>
              <w:right w:w="110" w:type="dxa"/>
            </w:tcMar>
          </w:tcPr>
          <w:p w14:paraId="5AF82103" w14:textId="77777777" w:rsidR="00E82FC3" w:rsidRDefault="00000000">
            <w:pPr>
              <w:spacing w:line="250" w:lineRule="auto"/>
            </w:pPr>
            <w:r>
              <w:rPr>
                <w:sz w:val="18"/>
                <w:szCs w:val="18"/>
              </w:rPr>
              <w:t>The framework runs end to end on a second and third clinical task without redesign</w:t>
            </w:r>
          </w:p>
        </w:tc>
        <w:tc>
          <w:tcPr>
            <w:tcW w:w="4000" w:type="dxa"/>
            <w:shd w:val="clear" w:color="auto" w:fill="FAF8F9"/>
            <w:tcMar>
              <w:top w:w="80" w:type="dxa"/>
              <w:left w:w="110" w:type="dxa"/>
              <w:bottom w:w="80" w:type="dxa"/>
              <w:right w:w="110" w:type="dxa"/>
            </w:tcMar>
          </w:tcPr>
          <w:p w14:paraId="7C174C66" w14:textId="77777777" w:rsidR="00E82FC3" w:rsidRDefault="00000000">
            <w:pPr>
              <w:spacing w:line="250" w:lineRule="auto"/>
            </w:pPr>
            <w:r>
              <w:rPr>
                <w:sz w:val="18"/>
                <w:szCs w:val="18"/>
              </w:rPr>
              <w:t>Preterm birth and GDM pipelines completed</w:t>
            </w:r>
          </w:p>
        </w:tc>
      </w:tr>
      <w:tr w:rsidR="00E82FC3" w14:paraId="5F7ADE45" w14:textId="77777777">
        <w:tblPrEx>
          <w:tblCellMar>
            <w:top w:w="0" w:type="dxa"/>
            <w:bottom w:w="0" w:type="dxa"/>
          </w:tblCellMar>
        </w:tblPrEx>
        <w:tc>
          <w:tcPr>
            <w:tcW w:w="600" w:type="dxa"/>
            <w:tcMar>
              <w:top w:w="80" w:type="dxa"/>
              <w:left w:w="110" w:type="dxa"/>
              <w:bottom w:w="80" w:type="dxa"/>
              <w:right w:w="110" w:type="dxa"/>
            </w:tcMar>
          </w:tcPr>
          <w:p w14:paraId="7B57F534" w14:textId="77777777" w:rsidR="00E82FC3" w:rsidRDefault="00000000">
            <w:pPr>
              <w:spacing w:line="250" w:lineRule="auto"/>
            </w:pPr>
            <w:r>
              <w:rPr>
                <w:b/>
                <w:bCs/>
                <w:sz w:val="18"/>
                <w:szCs w:val="18"/>
              </w:rPr>
              <w:t>3</w:t>
            </w:r>
          </w:p>
        </w:tc>
        <w:tc>
          <w:tcPr>
            <w:tcW w:w="4400" w:type="dxa"/>
            <w:tcMar>
              <w:top w:w="80" w:type="dxa"/>
              <w:left w:w="110" w:type="dxa"/>
              <w:bottom w:w="80" w:type="dxa"/>
              <w:right w:w="110" w:type="dxa"/>
            </w:tcMar>
          </w:tcPr>
          <w:p w14:paraId="7866D3CF" w14:textId="77777777" w:rsidR="00E82FC3" w:rsidRDefault="00000000">
            <w:pPr>
              <w:spacing w:line="250" w:lineRule="auto"/>
            </w:pPr>
            <w:r>
              <w:rPr>
                <w:sz w:val="18"/>
                <w:szCs w:val="18"/>
              </w:rPr>
              <w:t>Every prediction is accompanied by a confidence score and an explanation</w:t>
            </w:r>
          </w:p>
        </w:tc>
        <w:tc>
          <w:tcPr>
            <w:tcW w:w="4000" w:type="dxa"/>
            <w:tcMar>
              <w:top w:w="80" w:type="dxa"/>
              <w:left w:w="110" w:type="dxa"/>
              <w:bottom w:w="80" w:type="dxa"/>
              <w:right w:w="110" w:type="dxa"/>
            </w:tcMar>
          </w:tcPr>
          <w:p w14:paraId="1BD89939" w14:textId="77777777" w:rsidR="00E82FC3" w:rsidRDefault="00000000">
            <w:pPr>
              <w:spacing w:line="250" w:lineRule="auto"/>
            </w:pPr>
            <w:r>
              <w:rPr>
                <w:sz w:val="18"/>
                <w:szCs w:val="18"/>
              </w:rPr>
              <w:t>No output path produces a risk figure alone</w:t>
            </w:r>
          </w:p>
        </w:tc>
      </w:tr>
      <w:tr w:rsidR="00E82FC3" w14:paraId="38EF23AE" w14:textId="77777777">
        <w:tblPrEx>
          <w:tblCellMar>
            <w:top w:w="0" w:type="dxa"/>
            <w:bottom w:w="0" w:type="dxa"/>
          </w:tblCellMar>
        </w:tblPrEx>
        <w:tc>
          <w:tcPr>
            <w:tcW w:w="600" w:type="dxa"/>
            <w:shd w:val="clear" w:color="auto" w:fill="FAF8F9"/>
            <w:tcMar>
              <w:top w:w="80" w:type="dxa"/>
              <w:left w:w="110" w:type="dxa"/>
              <w:bottom w:w="80" w:type="dxa"/>
              <w:right w:w="110" w:type="dxa"/>
            </w:tcMar>
          </w:tcPr>
          <w:p w14:paraId="07ADF09C" w14:textId="77777777" w:rsidR="00E82FC3" w:rsidRDefault="00000000">
            <w:pPr>
              <w:spacing w:line="250" w:lineRule="auto"/>
            </w:pPr>
            <w:r>
              <w:rPr>
                <w:b/>
                <w:bCs/>
                <w:sz w:val="18"/>
                <w:szCs w:val="18"/>
              </w:rPr>
              <w:t>4</w:t>
            </w:r>
          </w:p>
        </w:tc>
        <w:tc>
          <w:tcPr>
            <w:tcW w:w="4400" w:type="dxa"/>
            <w:shd w:val="clear" w:color="auto" w:fill="FAF8F9"/>
            <w:tcMar>
              <w:top w:w="80" w:type="dxa"/>
              <w:left w:w="110" w:type="dxa"/>
              <w:bottom w:w="80" w:type="dxa"/>
              <w:right w:w="110" w:type="dxa"/>
            </w:tcMar>
          </w:tcPr>
          <w:p w14:paraId="36F44798" w14:textId="77777777" w:rsidR="00E82FC3" w:rsidRDefault="00000000">
            <w:pPr>
              <w:spacing w:line="250" w:lineRule="auto"/>
            </w:pPr>
            <w:r>
              <w:rPr>
                <w:sz w:val="18"/>
                <w:szCs w:val="18"/>
              </w:rPr>
              <w:t>Reported performance is paired with its false-positive rate and the population trained on</w:t>
            </w:r>
          </w:p>
        </w:tc>
        <w:tc>
          <w:tcPr>
            <w:tcW w:w="4000" w:type="dxa"/>
            <w:shd w:val="clear" w:color="auto" w:fill="FAF8F9"/>
            <w:tcMar>
              <w:top w:w="80" w:type="dxa"/>
              <w:left w:w="110" w:type="dxa"/>
              <w:bottom w:w="80" w:type="dxa"/>
              <w:right w:w="110" w:type="dxa"/>
            </w:tcMar>
          </w:tcPr>
          <w:p w14:paraId="546B7187" w14:textId="77777777" w:rsidR="00E82FC3" w:rsidRDefault="00000000">
            <w:pPr>
              <w:spacing w:line="250" w:lineRule="auto"/>
            </w:pPr>
            <w:r>
              <w:rPr>
                <w:sz w:val="18"/>
                <w:szCs w:val="18"/>
              </w:rPr>
              <w:t>The evaluation report</w:t>
            </w:r>
          </w:p>
        </w:tc>
      </w:tr>
      <w:tr w:rsidR="00E82FC3" w14:paraId="4E851710" w14:textId="77777777">
        <w:tblPrEx>
          <w:tblCellMar>
            <w:top w:w="0" w:type="dxa"/>
            <w:bottom w:w="0" w:type="dxa"/>
          </w:tblCellMar>
        </w:tblPrEx>
        <w:tc>
          <w:tcPr>
            <w:tcW w:w="600" w:type="dxa"/>
            <w:tcMar>
              <w:top w:w="80" w:type="dxa"/>
              <w:left w:w="110" w:type="dxa"/>
              <w:bottom w:w="80" w:type="dxa"/>
              <w:right w:w="110" w:type="dxa"/>
            </w:tcMar>
          </w:tcPr>
          <w:p w14:paraId="4938A9AB" w14:textId="77777777" w:rsidR="00E82FC3" w:rsidRDefault="00000000">
            <w:pPr>
              <w:spacing w:line="250" w:lineRule="auto"/>
            </w:pPr>
            <w:r>
              <w:rPr>
                <w:b/>
                <w:bCs/>
                <w:sz w:val="18"/>
                <w:szCs w:val="18"/>
              </w:rPr>
              <w:t>5</w:t>
            </w:r>
          </w:p>
        </w:tc>
        <w:tc>
          <w:tcPr>
            <w:tcW w:w="4400" w:type="dxa"/>
            <w:tcMar>
              <w:top w:w="80" w:type="dxa"/>
              <w:left w:w="110" w:type="dxa"/>
              <w:bottom w:w="80" w:type="dxa"/>
              <w:right w:w="110" w:type="dxa"/>
            </w:tcMar>
          </w:tcPr>
          <w:p w14:paraId="1DD1EEB3" w14:textId="77777777" w:rsidR="00E82FC3" w:rsidRDefault="00000000">
            <w:pPr>
              <w:spacing w:line="250" w:lineRule="auto"/>
            </w:pPr>
            <w:r>
              <w:rPr>
                <w:sz w:val="18"/>
                <w:szCs w:val="18"/>
              </w:rPr>
              <w:t>The test partition is demonstrably untouched until final evaluation</w:t>
            </w:r>
          </w:p>
        </w:tc>
        <w:tc>
          <w:tcPr>
            <w:tcW w:w="4000" w:type="dxa"/>
            <w:tcMar>
              <w:top w:w="80" w:type="dxa"/>
              <w:left w:w="110" w:type="dxa"/>
              <w:bottom w:w="80" w:type="dxa"/>
              <w:right w:w="110" w:type="dxa"/>
            </w:tcMar>
          </w:tcPr>
          <w:p w14:paraId="19BEF9E2" w14:textId="77777777" w:rsidR="00E82FC3" w:rsidRDefault="00000000">
            <w:pPr>
              <w:spacing w:line="250" w:lineRule="auto"/>
            </w:pPr>
            <w:r>
              <w:rPr>
                <w:sz w:val="18"/>
                <w:szCs w:val="18"/>
              </w:rPr>
              <w:t>Documented data handling; profiling and selection logs predate any test access</w:t>
            </w:r>
          </w:p>
        </w:tc>
      </w:tr>
      <w:tr w:rsidR="00E82FC3" w14:paraId="6F4D4EB4" w14:textId="77777777">
        <w:tblPrEx>
          <w:tblCellMar>
            <w:top w:w="0" w:type="dxa"/>
            <w:bottom w:w="0" w:type="dxa"/>
          </w:tblCellMar>
        </w:tblPrEx>
        <w:tc>
          <w:tcPr>
            <w:tcW w:w="600" w:type="dxa"/>
            <w:shd w:val="clear" w:color="auto" w:fill="FAF8F9"/>
            <w:tcMar>
              <w:top w:w="80" w:type="dxa"/>
              <w:left w:w="110" w:type="dxa"/>
              <w:bottom w:w="80" w:type="dxa"/>
              <w:right w:w="110" w:type="dxa"/>
            </w:tcMar>
          </w:tcPr>
          <w:p w14:paraId="62D290FC" w14:textId="77777777" w:rsidR="00E82FC3" w:rsidRDefault="00000000">
            <w:pPr>
              <w:spacing w:line="250" w:lineRule="auto"/>
            </w:pPr>
            <w:r>
              <w:rPr>
                <w:b/>
                <w:bCs/>
                <w:sz w:val="18"/>
                <w:szCs w:val="18"/>
              </w:rPr>
              <w:lastRenderedPageBreak/>
              <w:t>6</w:t>
            </w:r>
          </w:p>
        </w:tc>
        <w:tc>
          <w:tcPr>
            <w:tcW w:w="4400" w:type="dxa"/>
            <w:shd w:val="clear" w:color="auto" w:fill="FAF8F9"/>
            <w:tcMar>
              <w:top w:w="80" w:type="dxa"/>
              <w:left w:w="110" w:type="dxa"/>
              <w:bottom w:w="80" w:type="dxa"/>
              <w:right w:w="110" w:type="dxa"/>
            </w:tcMar>
          </w:tcPr>
          <w:p w14:paraId="4310FB06" w14:textId="77777777" w:rsidR="00E82FC3" w:rsidRDefault="00000000">
            <w:pPr>
              <w:spacing w:line="250" w:lineRule="auto"/>
            </w:pPr>
            <w:r>
              <w:rPr>
                <w:sz w:val="18"/>
                <w:szCs w:val="18"/>
              </w:rPr>
              <w:t>The system never asserts a diagnosis, in either language</w:t>
            </w:r>
          </w:p>
        </w:tc>
        <w:tc>
          <w:tcPr>
            <w:tcW w:w="4000" w:type="dxa"/>
            <w:shd w:val="clear" w:color="auto" w:fill="FAF8F9"/>
            <w:tcMar>
              <w:top w:w="80" w:type="dxa"/>
              <w:left w:w="110" w:type="dxa"/>
              <w:bottom w:w="80" w:type="dxa"/>
              <w:right w:w="110" w:type="dxa"/>
            </w:tcMar>
          </w:tcPr>
          <w:p w14:paraId="7D7AE919" w14:textId="77777777" w:rsidR="00E82FC3" w:rsidRDefault="00000000">
            <w:pPr>
              <w:spacing w:line="250" w:lineRule="auto"/>
            </w:pPr>
            <w:r>
              <w:rPr>
                <w:sz w:val="18"/>
                <w:szCs w:val="18"/>
              </w:rPr>
              <w:t>Review of all output language against the boundaries in section 2.5</w:t>
            </w:r>
          </w:p>
        </w:tc>
      </w:tr>
    </w:tbl>
    <w:p w14:paraId="03D13B84" w14:textId="77777777" w:rsidR="00E82FC3" w:rsidRDefault="00000000">
      <w:pPr>
        <w:pBdr>
          <w:left w:val="single" w:sz="14" w:space="0" w:color="3B2F45"/>
        </w:pBdr>
        <w:shd w:val="clear" w:color="auto" w:fill="E1EBE0"/>
        <w:spacing w:before="140" w:after="160" w:line="290" w:lineRule="auto"/>
        <w:ind w:left="280" w:right="280"/>
      </w:pPr>
      <w:r>
        <w:rPr>
          <w:b/>
          <w:bCs/>
          <w:color w:val="261E2D"/>
        </w:rPr>
        <w:t>Criterion 2 is the one that decides whether this is a framework or a single model with extra steps. It is the reason three clinical tasks are in scope.</w:t>
      </w:r>
    </w:p>
    <w:p w14:paraId="0CE4EEA1" w14:textId="0AC1B99F" w:rsidR="00E82FC3" w:rsidRDefault="00000000">
      <w:pPr>
        <w:pStyle w:val="Heading1"/>
        <w:spacing w:before="360" w:after="150"/>
      </w:pPr>
      <w:r>
        <w:rPr>
          <w:b/>
          <w:bCs/>
          <w:color w:val="261E2D"/>
          <w:sz w:val="28"/>
          <w:szCs w:val="28"/>
        </w:rPr>
        <w:t>11. Risks and Mitigations</w:t>
      </w:r>
    </w:p>
    <w:tbl>
      <w:tblPr>
        <w:tblW w:w="900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2600"/>
        <w:gridCol w:w="1200"/>
        <w:gridCol w:w="5200"/>
      </w:tblGrid>
      <w:tr w:rsidR="00E82FC3" w14:paraId="0979112B" w14:textId="77777777">
        <w:tblPrEx>
          <w:tblCellMar>
            <w:top w:w="0" w:type="dxa"/>
            <w:bottom w:w="0" w:type="dxa"/>
          </w:tblCellMar>
        </w:tblPrEx>
        <w:trPr>
          <w:tblHeader/>
        </w:trPr>
        <w:tc>
          <w:tcPr>
            <w:tcW w:w="2600" w:type="dxa"/>
            <w:shd w:val="clear" w:color="auto" w:fill="EFE7EC"/>
            <w:tcMar>
              <w:top w:w="80" w:type="dxa"/>
              <w:left w:w="110" w:type="dxa"/>
              <w:bottom w:w="80" w:type="dxa"/>
              <w:right w:w="110" w:type="dxa"/>
            </w:tcMar>
          </w:tcPr>
          <w:p w14:paraId="45A34864" w14:textId="77777777" w:rsidR="00E82FC3" w:rsidRDefault="00000000">
            <w:pPr>
              <w:spacing w:line="250" w:lineRule="auto"/>
            </w:pPr>
            <w:r>
              <w:rPr>
                <w:b/>
                <w:bCs/>
                <w:color w:val="261E2D"/>
                <w:sz w:val="18"/>
                <w:szCs w:val="18"/>
              </w:rPr>
              <w:t>Risk</w:t>
            </w:r>
          </w:p>
        </w:tc>
        <w:tc>
          <w:tcPr>
            <w:tcW w:w="1200" w:type="dxa"/>
            <w:shd w:val="clear" w:color="auto" w:fill="EFE7EC"/>
            <w:tcMar>
              <w:top w:w="80" w:type="dxa"/>
              <w:left w:w="110" w:type="dxa"/>
              <w:bottom w:w="80" w:type="dxa"/>
              <w:right w:w="110" w:type="dxa"/>
            </w:tcMar>
          </w:tcPr>
          <w:p w14:paraId="241CFD1F" w14:textId="77777777" w:rsidR="00E82FC3" w:rsidRDefault="00000000">
            <w:pPr>
              <w:spacing w:line="250" w:lineRule="auto"/>
            </w:pPr>
            <w:r>
              <w:rPr>
                <w:b/>
                <w:bCs/>
                <w:color w:val="261E2D"/>
                <w:sz w:val="18"/>
                <w:szCs w:val="18"/>
              </w:rPr>
              <w:t>Likelihood</w:t>
            </w:r>
          </w:p>
        </w:tc>
        <w:tc>
          <w:tcPr>
            <w:tcW w:w="5200" w:type="dxa"/>
            <w:shd w:val="clear" w:color="auto" w:fill="EFE7EC"/>
            <w:tcMar>
              <w:top w:w="80" w:type="dxa"/>
              <w:left w:w="110" w:type="dxa"/>
              <w:bottom w:w="80" w:type="dxa"/>
              <w:right w:w="110" w:type="dxa"/>
            </w:tcMar>
          </w:tcPr>
          <w:p w14:paraId="07274B1B" w14:textId="77777777" w:rsidR="00E82FC3" w:rsidRDefault="00000000">
            <w:pPr>
              <w:spacing w:line="250" w:lineRule="auto"/>
            </w:pPr>
            <w:r>
              <w:rPr>
                <w:b/>
                <w:bCs/>
                <w:color w:val="261E2D"/>
                <w:sz w:val="18"/>
                <w:szCs w:val="18"/>
              </w:rPr>
              <w:t>Mitigation</w:t>
            </w:r>
          </w:p>
        </w:tc>
      </w:tr>
      <w:tr w:rsidR="00E82FC3" w14:paraId="565F4848" w14:textId="77777777">
        <w:tblPrEx>
          <w:tblCellMar>
            <w:top w:w="0" w:type="dxa"/>
            <w:bottom w:w="0" w:type="dxa"/>
          </w:tblCellMar>
        </w:tblPrEx>
        <w:tc>
          <w:tcPr>
            <w:tcW w:w="2600" w:type="dxa"/>
            <w:tcMar>
              <w:top w:w="80" w:type="dxa"/>
              <w:left w:w="110" w:type="dxa"/>
              <w:bottom w:w="80" w:type="dxa"/>
              <w:right w:w="110" w:type="dxa"/>
            </w:tcMar>
          </w:tcPr>
          <w:p w14:paraId="0494679B" w14:textId="77777777" w:rsidR="00E82FC3" w:rsidRDefault="00000000">
            <w:pPr>
              <w:spacing w:line="250" w:lineRule="auto"/>
            </w:pPr>
            <w:r>
              <w:rPr>
                <w:b/>
                <w:bCs/>
                <w:sz w:val="18"/>
                <w:szCs w:val="18"/>
              </w:rPr>
              <w:t>Data access is not granted within the project timeframe</w:t>
            </w:r>
          </w:p>
        </w:tc>
        <w:tc>
          <w:tcPr>
            <w:tcW w:w="1200" w:type="dxa"/>
            <w:tcMar>
              <w:top w:w="80" w:type="dxa"/>
              <w:left w:w="110" w:type="dxa"/>
              <w:bottom w:w="80" w:type="dxa"/>
              <w:right w:w="110" w:type="dxa"/>
            </w:tcMar>
          </w:tcPr>
          <w:p w14:paraId="4C5755A3" w14:textId="77777777" w:rsidR="00E82FC3" w:rsidRDefault="00000000">
            <w:pPr>
              <w:spacing w:line="250" w:lineRule="auto"/>
            </w:pPr>
            <w:r>
              <w:rPr>
                <w:sz w:val="18"/>
                <w:szCs w:val="18"/>
              </w:rPr>
              <w:t>High</w:t>
            </w:r>
          </w:p>
        </w:tc>
        <w:tc>
          <w:tcPr>
            <w:tcW w:w="5200" w:type="dxa"/>
            <w:tcMar>
              <w:top w:w="80" w:type="dxa"/>
              <w:left w:w="110" w:type="dxa"/>
              <w:bottom w:w="80" w:type="dxa"/>
              <w:right w:w="110" w:type="dxa"/>
            </w:tcMar>
          </w:tcPr>
          <w:p w14:paraId="4D7D2E1F" w14:textId="77777777" w:rsidR="00E82FC3" w:rsidRDefault="00000000">
            <w:pPr>
              <w:spacing w:line="250" w:lineRule="auto"/>
            </w:pPr>
            <w:r>
              <w:rPr>
                <w:sz w:val="18"/>
                <w:szCs w:val="18"/>
              </w:rPr>
              <w:t>Three independent routes opened in parallel. The Data Profiler and selection policy can be developed and tested on openly available clinical data in the meantime.</w:t>
            </w:r>
          </w:p>
        </w:tc>
      </w:tr>
      <w:tr w:rsidR="00E82FC3" w14:paraId="33837D63" w14:textId="77777777">
        <w:tblPrEx>
          <w:tblCellMar>
            <w:top w:w="0" w:type="dxa"/>
            <w:bottom w:w="0" w:type="dxa"/>
          </w:tblCellMar>
        </w:tblPrEx>
        <w:tc>
          <w:tcPr>
            <w:tcW w:w="2600" w:type="dxa"/>
            <w:shd w:val="clear" w:color="auto" w:fill="FAF8F9"/>
            <w:tcMar>
              <w:top w:w="80" w:type="dxa"/>
              <w:left w:w="110" w:type="dxa"/>
              <w:bottom w:w="80" w:type="dxa"/>
              <w:right w:w="110" w:type="dxa"/>
            </w:tcMar>
          </w:tcPr>
          <w:p w14:paraId="2064D703" w14:textId="77777777" w:rsidR="00E82FC3" w:rsidRDefault="00000000">
            <w:pPr>
              <w:spacing w:line="250" w:lineRule="auto"/>
            </w:pPr>
            <w:r>
              <w:rPr>
                <w:b/>
                <w:bCs/>
                <w:sz w:val="18"/>
                <w:szCs w:val="18"/>
              </w:rPr>
              <w:t>Too few complication cases for a stable model</w:t>
            </w:r>
          </w:p>
        </w:tc>
        <w:tc>
          <w:tcPr>
            <w:tcW w:w="1200" w:type="dxa"/>
            <w:shd w:val="clear" w:color="auto" w:fill="FAF8F9"/>
            <w:tcMar>
              <w:top w:w="80" w:type="dxa"/>
              <w:left w:w="110" w:type="dxa"/>
              <w:bottom w:w="80" w:type="dxa"/>
              <w:right w:w="110" w:type="dxa"/>
            </w:tcMar>
          </w:tcPr>
          <w:p w14:paraId="5799544C" w14:textId="77777777" w:rsidR="00E82FC3" w:rsidRDefault="00000000">
            <w:pPr>
              <w:spacing w:line="250" w:lineRule="auto"/>
            </w:pPr>
            <w:r>
              <w:rPr>
                <w:sz w:val="18"/>
                <w:szCs w:val="18"/>
              </w:rPr>
              <w:t>Medium</w:t>
            </w:r>
          </w:p>
        </w:tc>
        <w:tc>
          <w:tcPr>
            <w:tcW w:w="5200" w:type="dxa"/>
            <w:shd w:val="clear" w:color="auto" w:fill="FAF8F9"/>
            <w:tcMar>
              <w:top w:w="80" w:type="dxa"/>
              <w:left w:w="110" w:type="dxa"/>
              <w:bottom w:w="80" w:type="dxa"/>
              <w:right w:w="110" w:type="dxa"/>
            </w:tcMar>
          </w:tcPr>
          <w:p w14:paraId="3043C904" w14:textId="77777777" w:rsidR="00E82FC3" w:rsidRDefault="00000000">
            <w:pPr>
              <w:spacing w:line="250" w:lineRule="auto"/>
            </w:pPr>
            <w:r>
              <w:rPr>
                <w:sz w:val="18"/>
                <w:szCs w:val="18"/>
              </w:rPr>
              <w:t xml:space="preserve">Case count is assessed before application, not after. Trial cohorts with enriched populations are prioritised, and case count is a profiled dimension in its own right.</w:t>
            </w:r>
          </w:p>
        </w:tc>
      </w:tr>
      <w:tr w:rsidR="00E82FC3" w14:paraId="0DA8E606" w14:textId="77777777">
        <w:tblPrEx>
          <w:tblCellMar>
            <w:top w:w="0" w:type="dxa"/>
            <w:bottom w:w="0" w:type="dxa"/>
          </w:tblCellMar>
        </w:tblPrEx>
        <w:tc>
          <w:tcPr>
            <w:tcW w:w="2600" w:type="dxa"/>
            <w:tcMar>
              <w:top w:w="80" w:type="dxa"/>
              <w:left w:w="110" w:type="dxa"/>
              <w:bottom w:w="80" w:type="dxa"/>
              <w:right w:w="110" w:type="dxa"/>
            </w:tcMar>
          </w:tcPr>
          <w:p w14:paraId="566E1E1F" w14:textId="77777777" w:rsidR="00E82FC3" w:rsidRDefault="00000000">
            <w:pPr>
              <w:spacing w:line="250" w:lineRule="auto"/>
            </w:pPr>
            <w:r>
              <w:rPr>
                <w:b/>
                <w:bCs/>
                <w:sz w:val="18"/>
                <w:szCs w:val="18"/>
              </w:rPr>
              <w:t>Label definitions differ between datasets and eras</w:t>
            </w:r>
          </w:p>
        </w:tc>
        <w:tc>
          <w:tcPr>
            <w:tcW w:w="1200" w:type="dxa"/>
            <w:tcMar>
              <w:top w:w="80" w:type="dxa"/>
              <w:left w:w="110" w:type="dxa"/>
              <w:bottom w:w="80" w:type="dxa"/>
              <w:right w:w="110" w:type="dxa"/>
            </w:tcMar>
          </w:tcPr>
          <w:p w14:paraId="59867F53" w14:textId="77777777" w:rsidR="00E82FC3" w:rsidRDefault="00000000">
            <w:pPr>
              <w:spacing w:line="250" w:lineRule="auto"/>
            </w:pPr>
            <w:r>
              <w:rPr>
                <w:sz w:val="18"/>
                <w:szCs w:val="18"/>
              </w:rPr>
              <w:t>High</w:t>
            </w:r>
          </w:p>
        </w:tc>
        <w:tc>
          <w:tcPr>
            <w:tcW w:w="5200" w:type="dxa"/>
            <w:tcMar>
              <w:top w:w="80" w:type="dxa"/>
              <w:left w:w="110" w:type="dxa"/>
              <w:bottom w:w="80" w:type="dxa"/>
              <w:right w:w="110" w:type="dxa"/>
            </w:tcMar>
          </w:tcPr>
          <w:p w14:paraId="17CF7ADB" w14:textId="77777777" w:rsidR="00E82FC3" w:rsidRDefault="00000000">
            <w:pPr>
              <w:spacing w:line="250" w:lineRule="auto"/>
            </w:pPr>
            <w:r>
              <w:rPr>
                <w:sz w:val="18"/>
                <w:szCs w:val="18"/>
              </w:rPr>
              <w:t>Label definition is recorded as part of the data profile. Pre-2013 preeclampsia labels required proteinuria and are not equivalent to modern labels.</w:t>
            </w:r>
          </w:p>
        </w:tc>
      </w:tr>
      <w:tr w:rsidR="00E82FC3" w14:paraId="20F8BDD9" w14:textId="77777777">
        <w:tblPrEx>
          <w:tblCellMar>
            <w:top w:w="0" w:type="dxa"/>
            <w:bottom w:w="0" w:type="dxa"/>
          </w:tblCellMar>
        </w:tblPrEx>
        <w:tc>
          <w:tcPr>
            <w:tcW w:w="2600" w:type="dxa"/>
            <w:shd w:val="clear" w:color="auto" w:fill="FAF8F9"/>
            <w:tcMar>
              <w:top w:w="80" w:type="dxa"/>
              <w:left w:w="110" w:type="dxa"/>
              <w:bottom w:w="80" w:type="dxa"/>
              <w:right w:w="110" w:type="dxa"/>
            </w:tcMar>
          </w:tcPr>
          <w:p w14:paraId="238D2C14" w14:textId="77777777" w:rsidR="00E82FC3" w:rsidRDefault="00000000">
            <w:pPr>
              <w:spacing w:line="250" w:lineRule="auto"/>
            </w:pPr>
            <w:r>
              <w:rPr>
                <w:b/>
                <w:bCs/>
                <w:sz w:val="18"/>
                <w:szCs w:val="18"/>
              </w:rPr>
              <w:t>A model trained on a non-Saudi population transfers poorly</w:t>
            </w:r>
          </w:p>
        </w:tc>
        <w:tc>
          <w:tcPr>
            <w:tcW w:w="1200" w:type="dxa"/>
            <w:shd w:val="clear" w:color="auto" w:fill="FAF8F9"/>
            <w:tcMar>
              <w:top w:w="80" w:type="dxa"/>
              <w:left w:w="110" w:type="dxa"/>
              <w:bottom w:w="80" w:type="dxa"/>
              <w:right w:w="110" w:type="dxa"/>
            </w:tcMar>
          </w:tcPr>
          <w:p w14:paraId="79E0C212" w14:textId="77777777" w:rsidR="00E82FC3" w:rsidRDefault="00000000">
            <w:pPr>
              <w:spacing w:line="250" w:lineRule="auto"/>
            </w:pPr>
            <w:r>
              <w:rPr>
                <w:sz w:val="18"/>
                <w:szCs w:val="18"/>
              </w:rPr>
              <w:t>High</w:t>
            </w:r>
          </w:p>
        </w:tc>
        <w:tc>
          <w:tcPr>
            <w:tcW w:w="5200" w:type="dxa"/>
            <w:shd w:val="clear" w:color="auto" w:fill="FAF8F9"/>
            <w:tcMar>
              <w:top w:w="80" w:type="dxa"/>
              <w:left w:w="110" w:type="dxa"/>
              <w:bottom w:w="80" w:type="dxa"/>
              <w:right w:w="110" w:type="dxa"/>
            </w:tcMar>
          </w:tcPr>
          <w:p w14:paraId="3E821F54" w14:textId="77777777" w:rsidR="00E82FC3" w:rsidRDefault="00000000">
            <w:pPr>
              <w:spacing w:line="250" w:lineRule="auto"/>
            </w:pPr>
            <w:r>
              <w:rPr>
                <w:sz w:val="18"/>
                <w:szCs w:val="18"/>
              </w:rPr>
              <w:t>Shift vulnerability is an explicit profiling dimension rather than an afterthought. The limitation is reported, not concealed.</w:t>
            </w:r>
          </w:p>
        </w:tc>
      </w:tr>
      <w:tr w:rsidR="00E82FC3" w14:paraId="5C5E2C1D" w14:textId="77777777">
        <w:tblPrEx>
          <w:tblCellMar>
            <w:top w:w="0" w:type="dxa"/>
            <w:bottom w:w="0" w:type="dxa"/>
          </w:tblCellMar>
        </w:tblPrEx>
        <w:tc>
          <w:tcPr>
            <w:tcW w:w="2600" w:type="dxa"/>
            <w:tcMar>
              <w:top w:w="80" w:type="dxa"/>
              <w:left w:w="110" w:type="dxa"/>
              <w:bottom w:w="80" w:type="dxa"/>
              <w:right w:w="110" w:type="dxa"/>
            </w:tcMar>
          </w:tcPr>
          <w:p w14:paraId="0197E9A1" w14:textId="77777777" w:rsidR="00E82FC3" w:rsidRDefault="00000000">
            <w:pPr>
              <w:spacing w:line="250" w:lineRule="auto"/>
            </w:pPr>
            <w:r>
              <w:rPr>
                <w:b/>
                <w:bCs/>
                <w:sz w:val="18"/>
                <w:szCs w:val="18"/>
              </w:rPr>
              <w:t xml:space="preserve">The framework works for preeclampsia but does not generalise</w:t>
            </w:r>
          </w:p>
        </w:tc>
        <w:tc>
          <w:tcPr>
            <w:tcW w:w="1200" w:type="dxa"/>
            <w:tcMar>
              <w:top w:w="80" w:type="dxa"/>
              <w:left w:w="110" w:type="dxa"/>
              <w:bottom w:w="80" w:type="dxa"/>
              <w:right w:w="110" w:type="dxa"/>
            </w:tcMar>
          </w:tcPr>
          <w:p w14:paraId="3BEA7704" w14:textId="77777777" w:rsidR="00E82FC3" w:rsidRDefault="00000000">
            <w:pPr>
              <w:spacing w:line="250" w:lineRule="auto"/>
            </w:pPr>
            <w:r>
              <w:rPr>
                <w:sz w:val="18"/>
                <w:szCs w:val="18"/>
              </w:rPr>
              <w:t>Medium</w:t>
            </w:r>
          </w:p>
        </w:tc>
        <w:tc>
          <w:tcPr>
            <w:tcW w:w="5200" w:type="dxa"/>
            <w:tcMar>
              <w:top w:w="80" w:type="dxa"/>
              <w:left w:w="110" w:type="dxa"/>
              <w:bottom w:w="80" w:type="dxa"/>
              <w:right w:w="110" w:type="dxa"/>
            </w:tcMar>
          </w:tcPr>
          <w:p w14:paraId="2CE4B0C4" w14:textId="77777777" w:rsidR="00E82FC3" w:rsidRDefault="00000000">
            <w:pPr>
              <w:spacing w:line="250" w:lineRule="auto"/>
            </w:pPr>
            <w:r>
              <w:rPr>
                <w:sz w:val="18"/>
                <w:szCs w:val="18"/>
              </w:rPr>
              <w:t>This is a legitimate negative result and will be reported as one. The profiling dimensions were chosen to be task-independent for this reason.</w:t>
            </w:r>
          </w:p>
        </w:tc>
      </w:tr>
      <w:tr w:rsidR="00E82FC3" w14:paraId="2A59BBCF" w14:textId="77777777">
        <w:tblPrEx>
          <w:tblCellMar>
            <w:top w:w="0" w:type="dxa"/>
            <w:bottom w:w="0" w:type="dxa"/>
          </w:tblCellMar>
        </w:tblPrEx>
        <w:tc>
          <w:tcPr>
            <w:tcW w:w="2600" w:type="dxa"/>
            <w:shd w:val="clear" w:color="auto" w:fill="FAF8F9"/>
            <w:tcMar>
              <w:top w:w="80" w:type="dxa"/>
              <w:left w:w="110" w:type="dxa"/>
              <w:bottom w:w="80" w:type="dxa"/>
              <w:right w:w="110" w:type="dxa"/>
            </w:tcMar>
          </w:tcPr>
          <w:p w14:paraId="23CF375E" w14:textId="77777777" w:rsidR="00E82FC3" w:rsidRDefault="00000000">
            <w:pPr>
              <w:spacing w:line="250" w:lineRule="auto"/>
            </w:pPr>
            <w:r>
              <w:rPr>
                <w:b/>
                <w:bCs/>
                <w:sz w:val="18"/>
                <w:szCs w:val="18"/>
              </w:rPr>
              <w:t>Scope expands beyond the three defined tasks</w:t>
            </w:r>
          </w:p>
        </w:tc>
        <w:tc>
          <w:tcPr>
            <w:tcW w:w="1200" w:type="dxa"/>
            <w:shd w:val="clear" w:color="auto" w:fill="FAF8F9"/>
            <w:tcMar>
              <w:top w:w="80" w:type="dxa"/>
              <w:left w:w="110" w:type="dxa"/>
              <w:bottom w:w="80" w:type="dxa"/>
              <w:right w:w="110" w:type="dxa"/>
            </w:tcMar>
          </w:tcPr>
          <w:p w14:paraId="5F8BDB07" w14:textId="77777777" w:rsidR="00E82FC3" w:rsidRDefault="00000000">
            <w:pPr>
              <w:spacing w:line="250" w:lineRule="auto"/>
            </w:pPr>
            <w:r>
              <w:rPr>
                <w:sz w:val="18"/>
                <w:szCs w:val="18"/>
              </w:rPr>
              <w:t>Low</w:t>
            </w:r>
          </w:p>
        </w:tc>
        <w:tc>
          <w:tcPr>
            <w:tcW w:w="5200" w:type="dxa"/>
            <w:shd w:val="clear" w:color="auto" w:fill="FAF8F9"/>
            <w:tcMar>
              <w:top w:w="80" w:type="dxa"/>
              <w:left w:w="110" w:type="dxa"/>
              <w:bottom w:w="80" w:type="dxa"/>
              <w:right w:w="110" w:type="dxa"/>
            </w:tcMar>
          </w:tcPr>
          <w:p w14:paraId="135E7922" w14:textId="77777777" w:rsidR="00E82FC3" w:rsidRDefault="00000000">
            <w:pPr>
              <w:spacing w:line="250" w:lineRule="auto"/>
            </w:pPr>
            <w:r>
              <w:rPr>
                <w:sz w:val="18"/>
                <w:szCs w:val="18"/>
              </w:rPr>
              <w:t>Scope is fixed at three complications for the duration of Senior Project I.</w:t>
            </w:r>
          </w:p>
        </w:tc>
      </w:tr>
    </w:tbl>
    <w:p w14:paraId="4F86BF5A" w14:textId="606AD4F8" w:rsidR="00E82FC3" w:rsidRDefault="00000000">
      <w:pPr>
        <w:pStyle w:val="Heading1"/>
        <w:spacing w:before="360" w:after="150"/>
      </w:pPr>
      <w:r>
        <w:rPr>
          <w:b/>
          <w:bCs/>
          <w:color w:val="261E2D"/>
          <w:sz w:val="28"/>
          <w:szCs w:val="28"/>
        </w:rPr>
        <w:t>12. Ethical Considerations</w:t>
      </w:r>
    </w:p>
    <w:p w14:paraId="7F67C0A6" w14:textId="77777777" w:rsidR="00E82FC3" w:rsidRDefault="00000000">
      <w:pPr>
        <w:pStyle w:val="ListParagraph"/>
        <w:numPr>
          <w:ilvl w:val="0"/>
          <w:numId w:val="2"/>
        </w:numPr>
        <w:spacing w:after="80" w:line="280" w:lineRule="auto"/>
      </w:pPr>
      <w:r>
        <w:t>BADIRA produces a risk prediction, not a diagnosis. Preeclampsia cannot be diagnosed before 20 weeks under any guideline, and the framework predicts at 11–14 weeks. Output language is constrained accordingly.</w:t>
      </w:r>
    </w:p>
    <w:p w14:paraId="4A56A228" w14:textId="77777777" w:rsidR="00E82FC3" w:rsidRDefault="00000000">
      <w:pPr>
        <w:pStyle w:val="ListParagraph"/>
        <w:numPr>
          <w:ilvl w:val="0"/>
          <w:numId w:val="2"/>
        </w:numPr>
        <w:spacing w:after="80" w:line="280" w:lineRule="auto"/>
      </w:pPr>
      <w:r>
        <w:t>A prediction is never presented without a confidence score. Presenting a risk figure alone would invite a confidence the model has not earned, which in this clinical setting is a foreseeable harm.</w:t>
      </w:r>
    </w:p>
    <w:p w14:paraId="113F3C7E" w14:textId="77777777" w:rsidR="00E82FC3" w:rsidRDefault="00000000">
      <w:pPr>
        <w:pStyle w:val="ListParagraph"/>
        <w:numPr>
          <w:ilvl w:val="0"/>
          <w:numId w:val="2"/>
        </w:numPr>
        <w:spacing w:after="80" w:line="280" w:lineRule="auto"/>
      </w:pPr>
      <w:r>
        <w:t>Where the framework cannot support a reliable prediction for a given woman or dataset, it must say so. A framework built around honest uncertainty that conceals it in practice would fail its own premise.</w:t>
      </w:r>
    </w:p>
    <w:p w14:paraId="4200793A" w14:textId="5BE804E3" w:rsidR="00E82FC3" w:rsidRDefault="00000000">
      <w:pPr>
        <w:pStyle w:val="Heading1"/>
        <w:spacing w:before="360" w:after="150"/>
      </w:pPr>
      <w:r>
        <w:rPr>
          <w:b/>
          <w:bCs/>
          <w:color w:val="261E2D"/>
          <w:sz w:val="28"/>
          <w:szCs w:val="28"/>
        </w:rPr>
        <w:t>13. Conclusion</w:t>
      </w:r>
    </w:p>
    <w:p w14:paraId="27377C8A" w14:textId="77777777" w:rsidR="00E82FC3" w:rsidRDefault="00000000">
      <w:pPr>
        <w:spacing w:after="130" w:line="280" w:lineRule="auto"/>
      </w:pPr>
      <w:r>
        <w:t>BADIRA addresses a problem that is both clinical and methodological. Clinically, pregnancy complications are common, consequential and — where risk is identified early enough — partly preventable. Methodologically, the datasets available for predicting them differ so much in imbalance, missingness, temporal structure and population that a model built for one will rarely transfer to another.</w:t>
      </w:r>
    </w:p>
    <w:p w14:paraId="16B18524" w14:textId="77777777" w:rsidR="00E82FC3" w:rsidRDefault="00000000">
      <w:pPr>
        <w:spacing w:after="130" w:line="280" w:lineRule="auto"/>
      </w:pPr>
      <w:r>
        <w:t>The framework’s response is to make data quality an explicit, measured input to the modelling decision rather than an assumption, and to return the resulting uncertainty to the user rather than hiding it behind a single number. Testing across preeclampsia, preterm birth and gestational diabetes is how that claim will be evaluated.</w:t>
      </w:r>
    </w:p>
    <w:p>
      <w:pPr>
        <w:spacing w:after="130" w:line="280" w:lineRule="auto"/>
      </w:pPr>
      <w:r>
        <w:t xml:space="preserve">On the evidence in section 9, the project is feasible and the recommendation is to proceed. It is technically and operationally within reach for the team, it requires no external funding, and it raises no legal barrier to research use. The single condition is data access, which is being pursued through three independent routes while the components that do not depend on it are built.</w:t>
      </w:r>
    </w:p>
    <w:p w14:paraId="334D62BD" w14:textId="7D7929F2" w:rsidR="00E82FC3" w:rsidRDefault="00E82FC3">
      <w:pPr>
        <w:spacing w:after="130" w:line="280" w:lineRule="auto"/>
      </w:pPr>
    </w:p>
    <w:p w14:paraId="3AD1AA07" w14:textId="60F2E357" w:rsidR="00E82FC3" w:rsidRDefault="00000000">
      <w:pPr>
        <w:pStyle w:val="Heading1"/>
        <w:spacing w:before="360" w:after="150"/>
      </w:pPr>
      <w:r>
        <w:rPr>
          <w:b/>
          <w:bCs/>
          <w:color w:val="261E2D"/>
          <w:sz w:val="28"/>
          <w:szCs w:val="28"/>
        </w:rPr>
        <w:t>14. References</w:t>
      </w:r>
    </w:p>
    <w:p w14:paraId="4D10B8EC" w14:textId="77777777" w:rsidR="00E82FC3" w:rsidRDefault="00000000">
      <w:pPr>
        <w:pStyle w:val="ListParagraph"/>
        <w:numPr>
          <w:ilvl w:val="0"/>
          <w:numId w:val="2"/>
        </w:numPr>
        <w:spacing w:after="80" w:line="280" w:lineRule="auto"/>
      </w:pPr>
      <w:r>
        <w:t xml:space="preserve">[1] Amaral LM, et al. Preeclampsia. In: StatPearls. Treasure Island (FL): StatPearls Publishing; 2024. </w:t>
      </w:r>
      <w:hyperlink r:id="rId13" w:history="1">
        <w:r>
          <w:rPr>
            <w:color w:val="2F5C8F"/>
            <w:u w:val="single"/>
          </w:rPr>
          <w:t>ncbi.nlm.nih.gov/books/NBK570611</w:t>
        </w:r>
      </w:hyperlink>
    </w:p>
    <w:p w14:paraId="15930F0D" w14:textId="77777777" w:rsidR="00E82FC3" w:rsidRDefault="00000000">
      <w:pPr>
        <w:pStyle w:val="ListParagraph"/>
        <w:numPr>
          <w:ilvl w:val="0"/>
          <w:numId w:val="2"/>
        </w:numPr>
        <w:spacing w:after="80" w:line="280" w:lineRule="auto"/>
      </w:pPr>
      <w:r>
        <w:t xml:space="preserve">[2] Mitrogiannis I, et al. Risk factors for preterm birth: an umbrella review of meta-analyses of observational studies. </w:t>
      </w:r>
      <w:r>
        <w:rPr>
          <w:i/>
          <w:iCs/>
        </w:rPr>
        <w:t>BMC Medicine</w:t>
      </w:r>
      <w:r>
        <w:t xml:space="preserve"> 2023;21:490. </w:t>
      </w:r>
      <w:hyperlink r:id="rId14" w:history="1">
        <w:r>
          <w:rPr>
            <w:color w:val="2F5C8F"/>
            <w:u w:val="single"/>
          </w:rPr>
          <w:t>PMC10720103</w:t>
        </w:r>
      </w:hyperlink>
    </w:p>
    <w:p w14:paraId="45B52CFB" w14:textId="77777777" w:rsidR="00E82FC3" w:rsidRDefault="00000000">
      <w:pPr>
        <w:pStyle w:val="ListParagraph"/>
        <w:numPr>
          <w:ilvl w:val="0"/>
          <w:numId w:val="2"/>
        </w:numPr>
        <w:spacing w:after="80" w:line="280" w:lineRule="auto"/>
      </w:pPr>
      <w:r>
        <w:t xml:space="preserve">[3] Kunarathnam V, Vadakekut ES, Mahdy H. Gestational Diabetes. In: StatPearls. Treasure Island (FL): StatPearls Publishing; 2025. </w:t>
      </w:r>
      <w:hyperlink r:id="rId15" w:history="1">
        <w:r>
          <w:rPr>
            <w:color w:val="2F5C8F"/>
            <w:u w:val="single"/>
          </w:rPr>
          <w:t>ncbi.nlm.nih.gov/books/NBK545196</w:t>
        </w:r>
      </w:hyperlink>
    </w:p>
    <w:p w14:paraId="528B690E" w14:textId="77777777" w:rsidR="00E82FC3" w:rsidRDefault="00000000">
      <w:pPr>
        <w:pStyle w:val="ListParagraph"/>
        <w:numPr>
          <w:ilvl w:val="0"/>
          <w:numId w:val="2"/>
        </w:numPr>
        <w:spacing w:after="80" w:line="280" w:lineRule="auto"/>
      </w:pPr>
      <w:r>
        <w:t xml:space="preserve">[4] He H, Garcia EA. Learning from imbalanced data. </w:t>
      </w:r>
      <w:r>
        <w:rPr>
          <w:i/>
          <w:iCs/>
        </w:rPr>
        <w:t>IEEE Transactions on Knowledge and Data Engineering</w:t>
      </w:r>
      <w:r>
        <w:t xml:space="preserve"> 2009;21(9):1263–1284. </w:t>
      </w:r>
      <w:hyperlink r:id="rId16" w:history="1">
        <w:r>
          <w:rPr>
            <w:color w:val="2F5C8F"/>
            <w:u w:val="single"/>
          </w:rPr>
          <w:t>doi.org/10.1109/TKDE.2008.239</w:t>
        </w:r>
      </w:hyperlink>
    </w:p>
    <w:p w14:paraId="494A300D" w14:textId="77777777" w:rsidR="00E82FC3" w:rsidRDefault="00000000">
      <w:pPr>
        <w:pStyle w:val="ListParagraph"/>
        <w:numPr>
          <w:ilvl w:val="0"/>
          <w:numId w:val="2"/>
        </w:numPr>
        <w:spacing w:after="80" w:line="280" w:lineRule="auto"/>
      </w:pPr>
      <w:r>
        <w:t xml:space="preserve">[5] Rubin DB. Inference and missing data. </w:t>
      </w:r>
      <w:r>
        <w:rPr>
          <w:i/>
          <w:iCs/>
        </w:rPr>
        <w:t>Biometrika</w:t>
      </w:r>
      <w:r>
        <w:t xml:space="preserve"> 1976;63(3):581–592. </w:t>
      </w:r>
      <w:hyperlink r:id="rId17" w:history="1">
        <w:r>
          <w:rPr>
            <w:color w:val="2F5C8F"/>
            <w:u w:val="single"/>
          </w:rPr>
          <w:t>doi.org/10.1093/biomet/63.3.581</w:t>
        </w:r>
      </w:hyperlink>
    </w:p>
    <w:p w14:paraId="3E224721" w14:textId="77777777" w:rsidR="00E82FC3" w:rsidRDefault="00000000">
      <w:pPr>
        <w:pStyle w:val="ListParagraph"/>
        <w:numPr>
          <w:ilvl w:val="0"/>
          <w:numId w:val="2"/>
        </w:numPr>
        <w:spacing w:after="80" w:line="280" w:lineRule="auto"/>
      </w:pPr>
      <w:r>
        <w:t xml:space="preserve">[6] Little RJA, Rubin DB. </w:t>
      </w:r>
      <w:r>
        <w:rPr>
          <w:i/>
          <w:iCs/>
        </w:rPr>
        <w:t>Statistical Analysis with Missing Data</w:t>
      </w:r>
      <w:r>
        <w:t xml:space="preserve">. 3rd ed. Hoboken (NJ): Wiley; 2019. </w:t>
      </w:r>
      <w:hyperlink r:id="rId18" w:history="1">
        <w:r>
          <w:rPr>
            <w:color w:val="2F5C8F"/>
            <w:u w:val="single"/>
          </w:rPr>
          <w:t>doi.org/10.1002/9781119482260</w:t>
        </w:r>
      </w:hyperlink>
    </w:p>
    <w:p w14:paraId="440F7FC0" w14:textId="77777777" w:rsidR="00E82FC3" w:rsidRDefault="00000000">
      <w:pPr>
        <w:pStyle w:val="ListParagraph"/>
        <w:numPr>
          <w:ilvl w:val="0"/>
          <w:numId w:val="2"/>
        </w:numPr>
        <w:spacing w:after="80" w:line="280" w:lineRule="auto"/>
      </w:pPr>
      <w:r>
        <w:t xml:space="preserve">[7] Fine JP, Gray RJ. A proportional hazards model for the subdistribution of a competing risk. </w:t>
      </w:r>
      <w:r>
        <w:rPr>
          <w:i/>
          <w:iCs/>
        </w:rPr>
        <w:t>Journal of the American Statistical Association</w:t>
      </w:r>
      <w:r>
        <w:t xml:space="preserve"> 1999;94(446):496–509. </w:t>
      </w:r>
      <w:hyperlink r:id="rId19" w:history="1">
        <w:r>
          <w:rPr>
            <w:color w:val="2F5C8F"/>
            <w:u w:val="single"/>
          </w:rPr>
          <w:t>doi.org/10.1080/01621459.1999.10474144</w:t>
        </w:r>
      </w:hyperlink>
    </w:p>
    <w:p w14:paraId="21A4BC86" w14:textId="77777777" w:rsidR="00E82FC3" w:rsidRDefault="00000000">
      <w:pPr>
        <w:pStyle w:val="ListParagraph"/>
        <w:numPr>
          <w:ilvl w:val="0"/>
          <w:numId w:val="2"/>
        </w:numPr>
        <w:spacing w:after="80" w:line="280" w:lineRule="auto"/>
      </w:pPr>
      <w:r>
        <w:t xml:space="preserve">[8] American College of Obstetricians and Gynecologists. Gestational Hypertension and Preeclampsia. Practice Bulletin No. 222. </w:t>
      </w:r>
      <w:r>
        <w:rPr>
          <w:i/>
          <w:iCs/>
        </w:rPr>
        <w:t xml:space="preserve">Obstet Gynecol</w:t>
      </w:r>
      <w:r>
        <w:t xml:space="preserve"> 2020;135(6):e237–e260.</w:t>
      </w:r>
    </w:p>
    <w:p w14:paraId="47E11701" w14:textId="77777777" w:rsidR="00E82FC3" w:rsidRDefault="00000000">
      <w:pPr>
        <w:pStyle w:val="ListParagraph"/>
        <w:numPr>
          <w:ilvl w:val="0"/>
          <w:numId w:val="2"/>
        </w:numPr>
        <w:spacing w:after="80" w:line="280" w:lineRule="auto"/>
      </w:pPr>
      <w:r>
        <w:t>[9] National Institute for Health and Care Excellence. Hypertension in pregnancy: diagnosis and management. NG133. 2019, updated 2023.</w:t>
      </w:r>
    </w:p>
    <w:p w14:paraId="213C4F4A" w14:textId="77777777" w:rsidR="00E82FC3" w:rsidRDefault="00000000">
      <w:pPr>
        <w:pStyle w:val="ListParagraph"/>
        <w:numPr>
          <w:ilvl w:val="0"/>
          <w:numId w:val="2"/>
        </w:numPr>
        <w:spacing w:after="80" w:line="280" w:lineRule="auto"/>
      </w:pPr>
      <w:r>
        <w:t xml:space="preserve">[10] Brown MA, Magee LA, Kenny LC, et al. Hypertensive Disorders of Pregnancy: ISSHP Classification, Diagnosis, and Management Recommendations. </w:t>
      </w:r>
      <w:r>
        <w:rPr>
          <w:i/>
          <w:iCs/>
        </w:rPr>
        <w:t>Hypertension</w:t>
      </w:r>
      <w:r>
        <w:t xml:space="preserve"> 2018;72(1):24–43.</w:t>
      </w:r>
    </w:p>
    <w:p w14:paraId="21BAA021" w14:textId="77777777" w:rsidR="00E82FC3" w:rsidRDefault="00000000">
      <w:pPr>
        <w:pStyle w:val="ListParagraph"/>
        <w:numPr>
          <w:ilvl w:val="0"/>
          <w:numId w:val="2"/>
        </w:numPr>
        <w:spacing w:after="80" w:line="280" w:lineRule="auto"/>
      </w:pPr>
      <w:r>
        <w:t xml:space="preserve">[11] Combs CA, Montgomery DM. SMFM Special Statement: Checklists for preeclampsia risk-factor screening. </w:t>
      </w:r>
      <w:r>
        <w:rPr>
          <w:i/>
          <w:iCs/>
        </w:rPr>
        <w:t>AJOG</w:t>
      </w:r>
      <w:r>
        <w:t xml:space="preserve"> 2020.</w:t>
      </w:r>
    </w:p>
    <w:p w14:paraId="0F9DC817" w14:textId="77777777" w:rsidR="00E82FC3" w:rsidRDefault="00000000">
      <w:pPr>
        <w:pStyle w:val="ListParagraph"/>
        <w:numPr>
          <w:ilvl w:val="0"/>
          <w:numId w:val="2"/>
        </w:numPr>
        <w:spacing w:after="80" w:line="280" w:lineRule="auto"/>
      </w:pPr>
      <w:r>
        <w:t xml:space="preserve">[12] O’Gorman N, Wright D, Poon LC, et al. Multicenter screening for pre-eclampsia by maternal factors and biomarkers at 11–13 weeks’ gestation. </w:t>
      </w:r>
      <w:r>
        <w:rPr>
          <w:i/>
          <w:iCs/>
        </w:rPr>
        <w:t xml:space="preserve">Ultrasound Obstet Gynecol</w:t>
      </w:r>
      <w:r>
        <w:t xml:space="preserve"> 2017.</w:t>
      </w:r>
    </w:p>
    <w:p w14:paraId="3311D361" w14:textId="77777777" w:rsidR="00E82FC3" w:rsidRDefault="00000000">
      <w:pPr>
        <w:pStyle w:val="ListParagraph"/>
        <w:numPr>
          <w:ilvl w:val="0"/>
          <w:numId w:val="2"/>
        </w:numPr>
        <w:spacing w:after="80" w:line="280" w:lineRule="auto"/>
      </w:pPr>
      <w:r>
        <w:t xml:space="preserve">[13] Rolnik DL, Wright D, Poon LC, et al. Aspirin versus placebo in pregnancies at high risk for preterm preeclampsia. </w:t>
      </w:r>
      <w:r>
        <w:rPr>
          <w:i/>
          <w:iCs/>
        </w:rPr>
        <w:t>N Engl J Med</w:t>
      </w:r>
      <w:r>
        <w:t xml:space="preserve"> 2017;377:613–622.</w:t>
      </w:r>
    </w:p>
    <w:p w14:paraId="1D11A495" w14:textId="77777777" w:rsidR="00AB5F52" w:rsidRDefault="00AB5F52" w:rsidP="00AB5F52">
      <w:pPr>
        <w:pStyle w:val="ListParagraph"/>
        <w:spacing w:after="80" w:line="280" w:lineRule="auto"/>
        <w:ind w:left="360"/>
      </w:pPr>
    </w:p>
    <w:sectPr w:rsidR="00AB5F5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AAA"/>
    <w:multiLevelType w:val="hybridMultilevel"/>
    <w:tmpl w:val="386C1502"/>
    <w:lvl w:ilvl="0" w:tplc="6B72948E">
      <w:start w:val="1"/>
      <w:numFmt w:val="bullet"/>
      <w:lvlText w:val="●"/>
      <w:lvlJc w:val="left"/>
      <w:pPr>
        <w:ind w:left="720" w:hanging="360"/>
      </w:pPr>
    </w:lvl>
    <w:lvl w:ilvl="1" w:tplc="9A2ABB52">
      <w:start w:val="1"/>
      <w:numFmt w:val="bullet"/>
      <w:lvlText w:val="○"/>
      <w:lvlJc w:val="left"/>
      <w:pPr>
        <w:ind w:left="1440" w:hanging="360"/>
      </w:pPr>
    </w:lvl>
    <w:lvl w:ilvl="2" w:tplc="B97656C2">
      <w:start w:val="1"/>
      <w:numFmt w:val="bullet"/>
      <w:lvlText w:val="■"/>
      <w:lvlJc w:val="left"/>
      <w:pPr>
        <w:ind w:left="2160" w:hanging="360"/>
      </w:pPr>
    </w:lvl>
    <w:lvl w:ilvl="3" w:tplc="E6166F96">
      <w:start w:val="1"/>
      <w:numFmt w:val="bullet"/>
      <w:lvlText w:val="●"/>
      <w:lvlJc w:val="left"/>
      <w:pPr>
        <w:ind w:left="2880" w:hanging="360"/>
      </w:pPr>
    </w:lvl>
    <w:lvl w:ilvl="4" w:tplc="2D8EEFE0">
      <w:start w:val="1"/>
      <w:numFmt w:val="bullet"/>
      <w:lvlText w:val="○"/>
      <w:lvlJc w:val="left"/>
      <w:pPr>
        <w:ind w:left="3600" w:hanging="360"/>
      </w:pPr>
    </w:lvl>
    <w:lvl w:ilvl="5" w:tplc="1ED65FD2">
      <w:start w:val="1"/>
      <w:numFmt w:val="bullet"/>
      <w:lvlText w:val="■"/>
      <w:lvlJc w:val="left"/>
      <w:pPr>
        <w:ind w:left="4320" w:hanging="360"/>
      </w:pPr>
    </w:lvl>
    <w:lvl w:ilvl="6" w:tplc="521693D8">
      <w:start w:val="1"/>
      <w:numFmt w:val="bullet"/>
      <w:lvlText w:val="●"/>
      <w:lvlJc w:val="left"/>
      <w:pPr>
        <w:ind w:left="5040" w:hanging="360"/>
      </w:pPr>
    </w:lvl>
    <w:lvl w:ilvl="7" w:tplc="2852599A">
      <w:start w:val="1"/>
      <w:numFmt w:val="bullet"/>
      <w:lvlText w:val="●"/>
      <w:lvlJc w:val="left"/>
      <w:pPr>
        <w:ind w:left="5760" w:hanging="360"/>
      </w:pPr>
    </w:lvl>
    <w:lvl w:ilvl="8" w:tplc="E3F8540A">
      <w:start w:val="1"/>
      <w:numFmt w:val="bullet"/>
      <w:lvlText w:val="●"/>
      <w:lvlJc w:val="left"/>
      <w:pPr>
        <w:ind w:left="6480" w:hanging="360"/>
      </w:pPr>
    </w:lvl>
  </w:abstractNum>
  <w:abstractNum w:abstractNumId="1" w15:restartNumberingAfterBreak="0">
    <w:nsid w:val="3B404208"/>
    <w:multiLevelType w:val="hybridMultilevel"/>
    <w:tmpl w:val="E744DA96"/>
    <w:lvl w:ilvl="0" w:tplc="33B2BB48">
      <w:start w:val="1"/>
      <w:numFmt w:val="bullet"/>
      <w:lvlText w:val="•"/>
      <w:lvlJc w:val="left"/>
      <w:pPr>
        <w:ind w:left="360" w:hanging="200"/>
      </w:pPr>
    </w:lvl>
    <w:lvl w:ilvl="1" w:tplc="735CF502">
      <w:numFmt w:val="decimal"/>
      <w:lvlText w:val=""/>
      <w:lvlJc w:val="left"/>
    </w:lvl>
    <w:lvl w:ilvl="2" w:tplc="EA6A84B4">
      <w:numFmt w:val="decimal"/>
      <w:lvlText w:val=""/>
      <w:lvlJc w:val="left"/>
    </w:lvl>
    <w:lvl w:ilvl="3" w:tplc="4E32616A">
      <w:numFmt w:val="decimal"/>
      <w:lvlText w:val=""/>
      <w:lvlJc w:val="left"/>
    </w:lvl>
    <w:lvl w:ilvl="4" w:tplc="BE16F43E">
      <w:numFmt w:val="decimal"/>
      <w:lvlText w:val=""/>
      <w:lvlJc w:val="left"/>
    </w:lvl>
    <w:lvl w:ilvl="5" w:tplc="80443176">
      <w:numFmt w:val="decimal"/>
      <w:lvlText w:val=""/>
      <w:lvlJc w:val="left"/>
    </w:lvl>
    <w:lvl w:ilvl="6" w:tplc="D8FCC7DC">
      <w:numFmt w:val="decimal"/>
      <w:lvlText w:val=""/>
      <w:lvlJc w:val="left"/>
    </w:lvl>
    <w:lvl w:ilvl="7" w:tplc="F9BC2C82">
      <w:numFmt w:val="decimal"/>
      <w:lvlText w:val=""/>
      <w:lvlJc w:val="left"/>
    </w:lvl>
    <w:lvl w:ilvl="8" w:tplc="BAC81C38">
      <w:numFmt w:val="decimal"/>
      <w:lvlText w:val=""/>
      <w:lvlJc w:val="left"/>
    </w:lvl>
  </w:abstractNum>
  <w:abstractNum w:abstractNumId="2" w15:restartNumberingAfterBreak="0">
    <w:nsid w:val="47787A0D"/>
    <w:multiLevelType w:val="hybridMultilevel"/>
    <w:tmpl w:val="22C66162"/>
    <w:lvl w:ilvl="0" w:tplc="7B68E508">
      <w:start w:val="1"/>
      <w:numFmt w:val="decimal"/>
      <w:lvlText w:val="%1."/>
      <w:lvlJc w:val="left"/>
      <w:pPr>
        <w:ind w:left="400" w:hanging="240"/>
      </w:pPr>
    </w:lvl>
    <w:lvl w:ilvl="1" w:tplc="18860FB4">
      <w:numFmt w:val="decimal"/>
      <w:lvlText w:val=""/>
      <w:lvlJc w:val="left"/>
    </w:lvl>
    <w:lvl w:ilvl="2" w:tplc="D69E1F9E">
      <w:numFmt w:val="decimal"/>
      <w:lvlText w:val=""/>
      <w:lvlJc w:val="left"/>
    </w:lvl>
    <w:lvl w:ilvl="3" w:tplc="51768428">
      <w:numFmt w:val="decimal"/>
      <w:lvlText w:val=""/>
      <w:lvlJc w:val="left"/>
    </w:lvl>
    <w:lvl w:ilvl="4" w:tplc="9A984608">
      <w:numFmt w:val="decimal"/>
      <w:lvlText w:val=""/>
      <w:lvlJc w:val="left"/>
    </w:lvl>
    <w:lvl w:ilvl="5" w:tplc="02A00B92">
      <w:numFmt w:val="decimal"/>
      <w:lvlText w:val=""/>
      <w:lvlJc w:val="left"/>
    </w:lvl>
    <w:lvl w:ilvl="6" w:tplc="335CC28C">
      <w:numFmt w:val="decimal"/>
      <w:lvlText w:val=""/>
      <w:lvlJc w:val="left"/>
    </w:lvl>
    <w:lvl w:ilvl="7" w:tplc="248EA9B8">
      <w:numFmt w:val="decimal"/>
      <w:lvlText w:val=""/>
      <w:lvlJc w:val="left"/>
    </w:lvl>
    <w:lvl w:ilvl="8" w:tplc="9E22FB9A">
      <w:numFmt w:val="decimal"/>
      <w:lvlText w:val=""/>
      <w:lvlJc w:val="left"/>
    </w:lvl>
  </w:abstractNum>
  <w:num w:numId="1" w16cid:durableId="481626837">
    <w:abstractNumId w:val="0"/>
    <w:lvlOverride w:ilvl="0">
      <w:startOverride w:val="1"/>
    </w:lvlOverride>
  </w:num>
  <w:num w:numId="2" w16cid:durableId="3640600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FC3"/>
    <w:rsid w:val="000A1C8B"/>
    <w:rsid w:val="006D408C"/>
    <w:rsid w:val="00704B69"/>
    <w:rsid w:val="008C2EC1"/>
    <w:rsid w:val="00AB5F52"/>
    <w:rsid w:val="00E82F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A1503"/>
  <w15:docId w15:val="{A183A60D-824B-4F1A-9EF8-9C56019AE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41D2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ncbi.nlm.nih.gov/books/NBK570611/" TargetMode="External"/><Relationship Id="rId18" Type="http://schemas.openxmlformats.org/officeDocument/2006/relationships/hyperlink" Target="https://doi.org/10.1002/978111948226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i.org/10.1093/biomet/63.3.581" TargetMode="External"/><Relationship Id="rId2" Type="http://schemas.openxmlformats.org/officeDocument/2006/relationships/styles" Target="styles.xml"/><Relationship Id="rId16" Type="http://schemas.openxmlformats.org/officeDocument/2006/relationships/hyperlink" Target="https://doi.org/10.1109/TKDE.2008.239"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ncbi.nlm.nih.gov/books/NBK545196/" TargetMode="External"/><Relationship Id="rId10" Type="http://schemas.openxmlformats.org/officeDocument/2006/relationships/image" Target="media/image6.png"/><Relationship Id="rId19" Type="http://schemas.openxmlformats.org/officeDocument/2006/relationships/hyperlink" Target="https://doi.org/10.1080/01621459.1999.10474144"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ncbi.nlm.nih.gov/pmc/articles/PMC107201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3025</Words>
  <Characters>17244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BADIRA — Senior Project I Proposal</vt:lpstr>
    </vt:vector>
  </TitlesOfParts>
  <Company/>
  <LinksUpToDate>false</LinksUpToDate>
  <CharactersWithSpaces>20229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BADIRA — Senior Project I Proposal</dc:title>
  <dc:creator>Jwdee Alamam and Dana Al Mounayer</dc:creator>
  <dc:description>A self-adaptive framework for predicting the risk of pregnancy complications</dc:description>
  <cp:lastModifiedBy>dana mounayer</cp:lastModifiedBy>
  <cp:revision>3</cp:revision>
  <dcterms:created xsi:type="dcterms:W3CDTF">2026-09-24T13:56:00Z</dcterms:created>
  <dcterms:modified xsi:type="dcterms:W3CDTF">2026-09-24T14:06:00Z</dcterms:modified>
</cp:coreProperties>
</file>