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5A17" w14:textId="77777777" w:rsidR="00B038AF" w:rsidRDefault="00000000">
      <w:pPr>
        <w:spacing w:after="40"/>
      </w:pPr>
      <w:r>
        <w:rPr>
          <w:b/>
          <w:bCs/>
          <w:color w:val="A796B5"/>
          <w:spacing w:val="30"/>
          <w:sz w:val="17"/>
          <w:szCs w:val="17"/>
        </w:rPr>
        <w:t xml:space="preserve">TASK </w:t>
      </w:r>
      <w:proofErr w:type="gramStart"/>
      <w:r>
        <w:rPr>
          <w:b/>
          <w:bCs/>
          <w:color w:val="A796B5"/>
          <w:spacing w:val="30"/>
          <w:sz w:val="17"/>
          <w:szCs w:val="17"/>
        </w:rPr>
        <w:t>1  ·</w:t>
      </w:r>
      <w:proofErr w:type="gramEnd"/>
      <w:r>
        <w:rPr>
          <w:b/>
          <w:bCs/>
          <w:color w:val="A796B5"/>
          <w:spacing w:val="30"/>
          <w:sz w:val="17"/>
          <w:szCs w:val="17"/>
        </w:rPr>
        <w:t xml:space="preserve">  COMBINED CLINICAL RESEARCH REPORT</w:t>
      </w:r>
    </w:p>
    <w:p>
      <w:pPr>
        <w:spacing w:after="50"/>
      </w:pPr>
      <w:r>
        <w:rPr>
          <w:b/>
          <w:bCs/>
          <w:color w:val="4B3A5A"/>
          <w:sz w:val="40"/>
          <w:szCs w:val="40"/>
        </w:rPr>
        <w:t xml:space="preserve">Predicting and Preventing Preeclampsia</w:t>
      </w:r>
    </w:p>
    <w:p>
      <w:pPr>
        <w:spacing w:after="70"/>
      </w:pPr>
      <w:r>
        <w:rPr>
          <w:i/>
          <w:iCs/>
          <w:color w:val="6E6478"/>
          <w:sz w:val="21"/>
          <w:szCs w:val="21"/>
        </w:rPr>
        <w:t xml:space="preserve">Clinical definition, the two early-screening routes, and what each one requires</w:t>
      </w:r>
    </w:p>
    <w:p w14:paraId="060E5AB3" w14:textId="77777777" w:rsidR="00B038AF" w:rsidRDefault="00000000">
      <w:pPr>
        <w:pBdr>
          <w:bottom w:val="single" w:sz="12" w:space="8" w:color="4B3A5A"/>
        </w:pBdr>
        <w:spacing w:after="200"/>
      </w:pPr>
      <w:proofErr w:type="gramStart"/>
      <w:r>
        <w:rPr>
          <w:b/>
          <w:bCs/>
          <w:color w:val="9E4F66"/>
          <w:sz w:val="22"/>
          <w:szCs w:val="22"/>
        </w:rPr>
        <w:t>BADIRA  |</w:t>
      </w:r>
      <w:proofErr w:type="gramEnd"/>
      <w:r>
        <w:rPr>
          <w:b/>
          <w:bCs/>
          <w:color w:val="9E4F66"/>
          <w:sz w:val="22"/>
          <w:szCs w:val="22"/>
        </w:rPr>
        <w:t xml:space="preserve">  </w:t>
      </w:r>
      <w:proofErr w:type="spellStart"/>
      <w:r>
        <w:rPr>
          <w:b/>
          <w:bCs/>
          <w:color w:val="9E4F66"/>
          <w:sz w:val="22"/>
          <w:szCs w:val="22"/>
        </w:rPr>
        <w:t>بادرة</w:t>
      </w:r>
      <w:proofErr w:type="spellEnd"/>
    </w:p>
    <w:p w14:paraId="6FBA294A" w14:textId="77777777" w:rsidR="00B038AF" w:rsidRDefault="00000000">
      <w:pPr>
        <w:spacing w:after="130" w:line="280" w:lineRule="auto"/>
      </w:pPr>
      <w:r>
        <w:rPr>
          <w:color w:val="6E6478"/>
          <w:sz w:val="19"/>
          <w:szCs w:val="19"/>
        </w:rPr>
        <w:t xml:space="preserve">Dana Al Mounayer &amp; </w:t>
      </w:r>
      <w:proofErr w:type="spellStart"/>
      <w:r>
        <w:rPr>
          <w:color w:val="6E6478"/>
          <w:sz w:val="19"/>
          <w:szCs w:val="19"/>
        </w:rPr>
        <w:t>Jwdee</w:t>
      </w:r>
      <w:proofErr w:type="spellEnd"/>
      <w:r>
        <w:rPr>
          <w:color w:val="6E6478"/>
          <w:sz w:val="19"/>
          <w:szCs w:val="19"/>
        </w:rPr>
        <w:t xml:space="preserve"> </w:t>
      </w:r>
      <w:proofErr w:type="spellStart"/>
      <w:proofErr w:type="gramStart"/>
      <w:r>
        <w:rPr>
          <w:color w:val="6E6478"/>
          <w:sz w:val="19"/>
          <w:szCs w:val="19"/>
        </w:rPr>
        <w:t>Alimam</w:t>
      </w:r>
      <w:proofErr w:type="spellEnd"/>
      <w:r>
        <w:rPr>
          <w:color w:val="6E6478"/>
          <w:sz w:val="19"/>
          <w:szCs w:val="19"/>
        </w:rPr>
        <w:t xml:space="preserve">  ·</w:t>
      </w:r>
      <w:proofErr w:type="gramEnd"/>
      <w:r>
        <w:rPr>
          <w:color w:val="6E6478"/>
          <w:sz w:val="19"/>
          <w:szCs w:val="19"/>
        </w:rPr>
        <w:t xml:space="preserve">  Supervisor: Dr. Naila </w:t>
      </w:r>
      <w:proofErr w:type="spellStart"/>
      <w:proofErr w:type="gramStart"/>
      <w:r>
        <w:rPr>
          <w:color w:val="6E6478"/>
          <w:sz w:val="19"/>
          <w:szCs w:val="19"/>
        </w:rPr>
        <w:t>Marir</w:t>
      </w:r>
      <w:proofErr w:type="spellEnd"/>
      <w:r>
        <w:rPr>
          <w:color w:val="6E6478"/>
          <w:sz w:val="19"/>
          <w:szCs w:val="19"/>
        </w:rPr>
        <w:t xml:space="preserve">  ·</w:t>
      </w:r>
      <w:proofErr w:type="gramEnd"/>
      <w:r>
        <w:rPr>
          <w:color w:val="6E6478"/>
          <w:sz w:val="19"/>
          <w:szCs w:val="19"/>
        </w:rPr>
        <w:t xml:space="preserve">  Clinical collaborator: Dr. Rania</w:t>
      </w:r>
    </w:p>
    <w:tbl>
      <w:tblPr>
        <w:tblW w:type="dxa" w:w="9020"/>
        <w:tblBorders>
          <w:top w:val="none"/>
          <w:left w:val="none"/>
          <w:bottom w:val="none"/>
          <w:right w:val="none"/>
          <w:insideH w:val="none"/>
          <w:insideV w:val="none"/>
        </w:tblBorders>
      </w:tblPr>
      <w:tblGrid>
        <w:gridCol w:w="9020"/>
      </w:tblGrid>
      <w:tr>
        <w:trPr>
          <w:cantSplit/>
        </w:trPr>
        <w:tc>
          <w:tcPr>
            <w:tcW w:type="dxa" w:w="9020"/>
            <w:tcBorders>
              <w:top w:val="none"/>
              <w:left w:val="single" w:color="4B3A5A" w:sz="28"/>
              <w:bottom w:val="none"/>
              <w:right w:val="none"/>
            </w:tcBorders>
            <w:shd w:fill="F3EFF5" w:color="auto" w:val="clear"/>
            <w:tcMar>
              <w:top w:type="dxa" w:w="200"/>
              <w:left w:type="dxa" w:w="260"/>
              <w:bottom w:type="dxa" w:w="200"/>
              <w:right w:type="dxa" w:w="240"/>
            </w:tcMar>
          </w:tcPr>
          <w:p>
            <w:pPr>
              <w:spacing w:after="100" w:line="285" w:lineRule="auto"/>
            </w:pPr>
            <w:r>
              <w:rPr>
                <w:b/>
                <w:bCs/>
                <w:i w:val="false"/>
                <w:iCs w:val="false"/>
                <w:color w:val="4B3A5A"/>
                <w:sz w:val="18"/>
                <w:szCs w:val="18"/>
              </w:rPr>
              <w:t xml:space="preserve">ABOUT BADIRA</w:t>
            </w:r>
          </w:p>
          <w:p>
            <w:pPr>
              <w:spacing w:after="100" w:line="285" w:lineRule="auto"/>
            </w:pPr>
            <w:r>
              <w:rPr>
                <w:b w:val="false"/>
                <w:bCs w:val="false"/>
                <w:i w:val="false"/>
                <w:iCs w:val="false"/>
                <w:color w:val="2B2530"/>
                <w:sz w:val="20"/>
                <w:szCs w:val="20"/>
              </w:rPr>
              <w:t xml:space="preserve">BADIRA is a self-adaptive framework for predicting the risk of pregnancy complications. It builds a standardised profile of each woman, measures the quality of the data available to it, and selects the model and prediction settings that the data can actually support — so the framework adapts to the population it is given instead of assuming one.</w:t>
            </w:r>
          </w:p>
          <w:p>
            <w:pPr>
              <w:spacing w:after="100" w:line="285" w:lineRule="auto"/>
            </w:pPr>
            <w:r>
              <w:rPr>
                <w:b w:val="false"/>
                <w:bCs w:val="false"/>
                <w:i w:val="false"/>
                <w:iCs w:val="false"/>
                <w:color w:val="2B2530"/>
                <w:sz w:val="20"/>
                <w:szCs w:val="20"/>
              </w:rPr>
              <w:t xml:space="preserve">Every result is returned as three signals together, never as a bare number:</w:t>
            </w:r>
          </w:p>
          <w:p>
            <w:pPr>
              <w:spacing w:after="100" w:line="285" w:lineRule="auto"/>
            </w:pPr>
            <w:r>
              <w:rPr>
                <w:b/>
                <w:bCs/>
                <w:i w:val="false"/>
                <w:iCs w:val="false"/>
                <w:color w:val="2B2530"/>
                <w:sz w:val="20"/>
                <w:szCs w:val="20"/>
              </w:rPr>
              <w:t xml:space="preserve">Risk  —  how high the risk of the complication is.</w:t>
            </w:r>
          </w:p>
          <w:p>
            <w:pPr>
              <w:spacing w:after="100" w:line="285" w:lineRule="auto"/>
            </w:pPr>
            <w:r>
              <w:rPr>
                <w:b/>
                <w:bCs/>
                <w:i w:val="false"/>
                <w:iCs w:val="false"/>
                <w:color w:val="2B2530"/>
                <w:sz w:val="20"/>
                <w:szCs w:val="20"/>
              </w:rPr>
              <w:t xml:space="preserve">Reliability  —  how far this particular result should be trusted.</w:t>
            </w:r>
          </w:p>
          <w:p>
            <w:pPr>
              <w:spacing w:after="100" w:line="285" w:lineRule="auto"/>
            </w:pPr>
            <w:r>
              <w:rPr>
                <w:b/>
                <w:bCs/>
                <w:i w:val="false"/>
                <w:iCs w:val="false"/>
                <w:color w:val="2B2530"/>
                <w:sz w:val="20"/>
                <w:szCs w:val="20"/>
              </w:rPr>
              <w:t xml:space="preserve">Time  —  by when it matters, and whether there is still time to act.</w:t>
            </w:r>
          </w:p>
          <w:p>
            <w:pPr>
              <w:spacing w:after="100" w:line="285" w:lineRule="auto"/>
            </w:pPr>
            <w:r>
              <w:rPr>
                <w:b w:val="false"/>
                <w:bCs w:val="false"/>
                <w:i w:val="false"/>
                <w:iCs w:val="false"/>
                <w:color w:val="2B2530"/>
                <w:sz w:val="20"/>
                <w:szCs w:val="20"/>
              </w:rPr>
              <w:t xml:space="preserve">BADIRA is not only a prediction tool. It is built to work inside the window where a prediction can still change the outcome — from the first antenatal visit to 16 weeks — because that is when low-dose aspirin can still prevent preeclampsia rather than merely describe it. Predicting is not the goal; predicting early enough to act is.</w:t>
            </w:r>
          </w:p>
          <w:p>
            <w:pPr>
              <w:spacing w:after="100" w:line="285" w:lineRule="auto"/>
            </w:pPr>
            <w:r>
              <w:rPr>
                <w:b w:val="false"/>
                <w:bCs w:val="false"/>
                <w:i w:val="false"/>
                <w:iCs w:val="false"/>
                <w:color w:val="2B2530"/>
                <w:sz w:val="20"/>
                <w:szCs w:val="20"/>
              </w:rPr>
              <w:t xml:space="preserve">Trust is treated as a requirement rather than a feature. BADIRA states its confidence, explains its reasoning, and never presents an estimate as a diagnosis.</w:t>
            </w:r>
          </w:p>
          <w:p>
            <w:pPr>
              <w:spacing w:after="0" w:line="285" w:lineRule="auto"/>
            </w:pPr>
            <w:r>
              <w:rPr>
                <w:b/>
                <w:bCs/>
                <w:i/>
                <w:iCs/>
                <w:color w:val="4B3A5A"/>
                <w:sz w:val="21"/>
                <w:szCs w:val="21"/>
              </w:rPr>
              <w:t xml:space="preserve">Know early. Act in time.</w:t>
            </w:r>
          </w:p>
        </w:tc>
      </w:tr>
    </w:tbl>
    <w:p>
      <w:pPr>
        <w:spacing w:after="80"/>
      </w:pPr>
    </w:p>
    <w:p>
      <w:pPr>
        <w:spacing w:after="110" w:before="300"/>
      </w:pPr>
      <w:r>
        <w:rPr>
          <w:b/>
          <w:bCs/>
          <w:color w:val="3B2F45"/>
          <w:sz w:val="24"/>
          <w:szCs w:val="24"/>
        </w:rPr>
        <w:t xml:space="preserve">What each part of this report covers</w:t>
      </w:r>
    </w:p>
    <w:p>
      <w:pPr>
        <w:spacing w:after="130" w:line="280" w:lineRule="auto"/>
      </w:pPr>
      <w:r>
        <w:rPr>
          <w:b w:val="false"/>
          <w:bCs w:val="false"/>
          <w:i w:val="false"/>
          <w:iCs w:val="false"/>
          <w:color w:val="2B2530"/>
          <w:sz w:val="20"/>
          <w:szCs w:val="20"/>
        </w:rPr>
        <w:t xml:space="preserve">The report joins three pieces of research that were written separately. They are not placed side by side; they are connected, because the thing they have in common is the thing that matters.</w:t>
      </w:r>
    </w:p>
    <w:tbl>
      <w:tblPr>
        <w:tblW w:type="dxa" w:w="9020"/>
        <w:tblBorders>
          <w:top w:val="single" w:color="D8D0D6" w:sz="2"/>
          <w:left w:val="single" w:color="D8D0D6" w:sz="2"/>
          <w:bottom w:val="single" w:color="D8D0D6" w:sz="2"/>
          <w:right w:val="single" w:color="D8D0D6" w:sz="2"/>
          <w:insideH w:val="single" w:color="E5DFE3" w:sz="2"/>
          <w:insideV w:val="single" w:color="E5DFE3" w:sz="2"/>
        </w:tblBorders>
      </w:tblPr>
      <w:tblGrid>
        <w:gridCol w:w="760"/>
        <w:gridCol w:w="2900"/>
        <w:gridCol w:w="5360"/>
      </w:tblGrid>
      <w:tr>
        <w:trPr>
          <w:cantSplit/>
          <w:tblHeader/>
        </w:trPr>
        <w:tc>
          <w:tcPr>
            <w:tcW w:type="dxa" w:w="760"/>
            <w:shd w:fill="EFE7EC" w:color="auto" w:val="clear"/>
            <w:tcMar>
              <w:top w:type="dxa" w:w="90"/>
              <w:left w:type="dxa" w:w="120"/>
              <w:bottom w:type="dxa" w:w="90"/>
              <w:right w:type="dxa" w:w="120"/>
            </w:tcMar>
          </w:tcPr>
          <w:p>
            <w:pPr>
              <w:spacing w:line="250" w:lineRule="auto"/>
              <w:jc w:val="left"/>
            </w:pPr>
            <w:r>
              <w:rPr>
                <w:b/>
                <w:bCs/>
                <w:color w:val="261E2D"/>
                <w:sz w:val="17"/>
                <w:szCs w:val="17"/>
              </w:rPr>
              <w:t xml:space="preserve">Part</w:t>
            </w:r>
          </w:p>
        </w:tc>
        <w:tc>
          <w:tcPr>
            <w:tcW w:type="dxa" w:w="2900"/>
            <w:shd w:fill="EFE7EC" w:color="auto" w:val="clear"/>
            <w:tcMar>
              <w:top w:type="dxa" w:w="90"/>
              <w:left w:type="dxa" w:w="120"/>
              <w:bottom w:type="dxa" w:w="90"/>
              <w:right w:type="dxa" w:w="120"/>
            </w:tcMar>
          </w:tcPr>
          <w:p>
            <w:pPr>
              <w:spacing w:line="250" w:lineRule="auto"/>
              <w:jc w:val="left"/>
            </w:pPr>
            <w:r>
              <w:rPr>
                <w:b/>
                <w:bCs/>
                <w:color w:val="261E2D"/>
                <w:sz w:val="17"/>
                <w:szCs w:val="17"/>
              </w:rPr>
              <w:t xml:space="preserve">Section</w:t>
            </w:r>
          </w:p>
        </w:tc>
        <w:tc>
          <w:tcPr>
            <w:tcW w:type="dxa" w:w="5360"/>
            <w:shd w:fill="EFE7EC" w:color="auto" w:val="clear"/>
            <w:tcMar>
              <w:top w:type="dxa" w:w="90"/>
              <w:left w:type="dxa" w:w="120"/>
              <w:bottom w:type="dxa" w:w="90"/>
              <w:right w:type="dxa" w:w="120"/>
            </w:tcMar>
          </w:tcPr>
          <w:p>
            <w:pPr>
              <w:spacing w:line="250" w:lineRule="auto"/>
              <w:jc w:val="left"/>
            </w:pPr>
            <w:r>
              <w:rPr>
                <w:b/>
                <w:bCs/>
                <w:color w:val="261E2D"/>
                <w:sz w:val="17"/>
                <w:szCs w:val="17"/>
              </w:rPr>
              <w:t xml:space="preserve">What it covers</w:t>
            </w:r>
          </w:p>
        </w:tc>
      </w:tr>
      <w:tr>
        <w:trPr>
          <w:cantSplit/>
        </w:trPr>
        <w:tc>
          <w:tcPr>
            <w:tcW w:type="dxa" w:w="760"/>
            <w:tcMar>
              <w:top w:type="dxa" w:w="90"/>
              <w:left w:type="dxa" w:w="120"/>
              <w:bottom w:type="dxa" w:w="90"/>
              <w:right w:type="dxa" w:w="120"/>
            </w:tcMar>
          </w:tcPr>
          <w:p>
            <w:pPr>
              <w:spacing w:line="250" w:lineRule="auto"/>
              <w:jc w:val="left"/>
            </w:pPr>
            <w:r>
              <w:rPr>
                <w:b/>
                <w:bCs/>
                <w:color w:val="2B2530"/>
                <w:sz w:val="17"/>
                <w:szCs w:val="17"/>
              </w:rPr>
              <w:t xml:space="preserve">1</w:t>
            </w:r>
          </w:p>
        </w:tc>
        <w:tc>
          <w:tcPr>
            <w:tcW w:type="dxa" w:w="2900"/>
            <w:tcMar>
              <w:top w:type="dxa" w:w="90"/>
              <w:left w:type="dxa" w:w="120"/>
              <w:bottom w:type="dxa" w:w="90"/>
              <w:right w:type="dxa" w:w="120"/>
            </w:tcMar>
          </w:tcPr>
          <w:p>
            <w:pPr>
              <w:spacing w:line="250" w:lineRule="auto"/>
              <w:jc w:val="left"/>
            </w:pPr>
            <w:r>
              <w:rPr>
                <w:b w:val="false"/>
                <w:bCs w:val="false"/>
                <w:color w:val="2B2530"/>
                <w:sz w:val="17"/>
                <w:szCs w:val="17"/>
              </w:rPr>
              <w:t xml:space="preserve">What preeclampsia is, and what counts as a diagnosis</w:t>
            </w:r>
          </w:p>
        </w:tc>
        <w:tc>
          <w:tcPr>
            <w:tcW w:type="dxa" w:w="5360"/>
            <w:tcMar>
              <w:top w:type="dxa" w:w="90"/>
              <w:left w:type="dxa" w:w="120"/>
              <w:bottom w:type="dxa" w:w="90"/>
              <w:right w:type="dxa" w:w="120"/>
            </w:tcMar>
          </w:tcPr>
          <w:p>
            <w:pPr>
              <w:spacing w:line="250" w:lineRule="auto"/>
              <w:jc w:val="left"/>
            </w:pPr>
            <w:r>
              <w:rPr>
                <w:b w:val="false"/>
                <w:bCs w:val="false"/>
                <w:color w:val="2B2530"/>
                <w:sz w:val="17"/>
                <w:szCs w:val="17"/>
              </w:rPr>
              <w:t xml:space="preserve">The clinical definition, the diagnostic criteria, and the 20-week line that separates prediction from diagnosis.</w:t>
            </w:r>
          </w:p>
        </w:tc>
      </w:tr>
      <w:tr>
        <w:trPr>
          <w:cantSplit/>
        </w:trPr>
        <w:tc>
          <w:tcPr>
            <w:tcW w:type="dxa" w:w="760"/>
            <w:shd w:fill="FAF8F9" w:color="auto" w:val="clear"/>
            <w:tcMar>
              <w:top w:type="dxa" w:w="90"/>
              <w:left w:type="dxa" w:w="120"/>
              <w:bottom w:type="dxa" w:w="90"/>
              <w:right w:type="dxa" w:w="120"/>
            </w:tcMar>
          </w:tcPr>
          <w:p>
            <w:pPr>
              <w:spacing w:line="250" w:lineRule="auto"/>
              <w:jc w:val="left"/>
            </w:pPr>
            <w:r>
              <w:rPr>
                <w:b/>
                <w:bCs/>
                <w:color w:val="2B2530"/>
                <w:sz w:val="17"/>
                <w:szCs w:val="17"/>
              </w:rPr>
              <w:t xml:space="preserve">2</w:t>
            </w:r>
          </w:p>
        </w:tc>
        <w:tc>
          <w:tcPr>
            <w:tcW w:type="dxa" w:w="2900"/>
            <w:shd w:fill="FAF8F9" w:color="auto" w:val="clear"/>
            <w:tcMar>
              <w:top w:type="dxa" w:w="90"/>
              <w:left w:type="dxa" w:w="120"/>
              <w:bottom w:type="dxa" w:w="90"/>
              <w:right w:type="dxa" w:w="120"/>
            </w:tcMar>
          </w:tcPr>
          <w:p>
            <w:pPr>
              <w:spacing w:line="250" w:lineRule="auto"/>
              <w:jc w:val="left"/>
            </w:pPr>
            <w:r>
              <w:rPr>
                <w:b w:val="false"/>
                <w:bCs w:val="false"/>
                <w:color w:val="2B2530"/>
                <w:sz w:val="17"/>
                <w:szCs w:val="17"/>
              </w:rPr>
              <w:t xml:space="preserve">Route A — the risk-factor checklist</w:t>
            </w:r>
          </w:p>
        </w:tc>
        <w:tc>
          <w:tcPr>
            <w:tcW w:type="dxa" w:w="5360"/>
            <w:shd w:fill="FAF8F9" w:color="auto" w:val="clear"/>
            <w:tcMar>
              <w:top w:type="dxa" w:w="90"/>
              <w:left w:type="dxa" w:w="120"/>
              <w:bottom w:type="dxa" w:w="90"/>
              <w:right w:type="dxa" w:w="120"/>
            </w:tcMar>
          </w:tcPr>
          <w:p>
            <w:pPr>
              <w:spacing w:line="250" w:lineRule="auto"/>
              <w:jc w:val="left"/>
            </w:pPr>
            <w:r>
              <w:rPr>
                <w:b w:val="false"/>
                <w:bCs w:val="false"/>
                <w:color w:val="2B2530"/>
                <w:sz w:val="17"/>
                <w:szCs w:val="17"/>
              </w:rPr>
              <w:t xml:space="preserve">The history-only SMFM/ACOG checklist, the factors it uses, and the aspirin decision it leads to.</w:t>
            </w:r>
          </w:p>
        </w:tc>
      </w:tr>
      <w:tr>
        <w:trPr>
          <w:cantSplit/>
        </w:trPr>
        <w:tc>
          <w:tcPr>
            <w:tcW w:type="dxa" w:w="760"/>
            <w:tcMar>
              <w:top w:type="dxa" w:w="90"/>
              <w:left w:type="dxa" w:w="120"/>
              <w:bottom w:type="dxa" w:w="90"/>
              <w:right w:type="dxa" w:w="120"/>
            </w:tcMar>
          </w:tcPr>
          <w:p>
            <w:pPr>
              <w:spacing w:line="250" w:lineRule="auto"/>
              <w:jc w:val="left"/>
            </w:pPr>
            <w:r>
              <w:rPr>
                <w:b/>
                <w:bCs/>
                <w:color w:val="2B2530"/>
                <w:sz w:val="17"/>
                <w:szCs w:val="17"/>
              </w:rPr>
              <w:t xml:space="preserve">3</w:t>
            </w:r>
          </w:p>
        </w:tc>
        <w:tc>
          <w:tcPr>
            <w:tcW w:type="dxa" w:w="2900"/>
            <w:tcMar>
              <w:top w:type="dxa" w:w="90"/>
              <w:left w:type="dxa" w:w="120"/>
              <w:bottom w:type="dxa" w:w="90"/>
              <w:right w:type="dxa" w:w="120"/>
            </w:tcMar>
          </w:tcPr>
          <w:p>
            <w:pPr>
              <w:spacing w:line="250" w:lineRule="auto"/>
              <w:jc w:val="left"/>
            </w:pPr>
            <w:r>
              <w:rPr>
                <w:b w:val="false"/>
                <w:bCs w:val="false"/>
                <w:color w:val="2B2530"/>
                <w:sz w:val="17"/>
                <w:szCs w:val="17"/>
              </w:rPr>
              <w:t xml:space="preserve">Route B — FMF first-trimester combined screening</w:t>
            </w:r>
          </w:p>
        </w:tc>
        <w:tc>
          <w:tcPr>
            <w:tcW w:type="dxa" w:w="5360"/>
            <w:tcMar>
              <w:top w:type="dxa" w:w="90"/>
              <w:left w:type="dxa" w:w="120"/>
              <w:bottom w:type="dxa" w:w="90"/>
              <w:right w:type="dxa" w:w="120"/>
            </w:tcMar>
          </w:tcPr>
          <w:p>
            <w:pPr>
              <w:spacing w:line="250" w:lineRule="auto"/>
              <w:jc w:val="left"/>
            </w:pPr>
            <w:r>
              <w:rPr>
                <w:b w:val="false"/>
                <w:bCs w:val="false"/>
                <w:color w:val="2B2530"/>
                <w:sz w:val="17"/>
                <w:szCs w:val="17"/>
              </w:rPr>
              <w:t xml:space="preserve">The reference model: what it measures, what equipment it requires, and how the alternatives compare with it.</w:t>
            </w:r>
          </w:p>
        </w:tc>
      </w:tr>
      <w:tr>
        <w:trPr>
          <w:cantSplit/>
        </w:trPr>
        <w:tc>
          <w:tcPr>
            <w:tcW w:type="dxa" w:w="760"/>
            <w:shd w:fill="FAF8F9" w:color="auto" w:val="clear"/>
            <w:tcMar>
              <w:top w:type="dxa" w:w="90"/>
              <w:left w:type="dxa" w:w="120"/>
              <w:bottom w:type="dxa" w:w="90"/>
              <w:right w:type="dxa" w:w="120"/>
            </w:tcMar>
          </w:tcPr>
          <w:p>
            <w:pPr>
              <w:spacing w:line="250" w:lineRule="auto"/>
              <w:jc w:val="left"/>
            </w:pPr>
            <w:r>
              <w:rPr>
                <w:b/>
                <w:bCs/>
                <w:color w:val="2B2530"/>
                <w:sz w:val="17"/>
                <w:szCs w:val="17"/>
              </w:rPr>
              <w:t xml:space="preserve">4</w:t>
            </w:r>
          </w:p>
        </w:tc>
        <w:tc>
          <w:tcPr>
            <w:tcW w:type="dxa" w:w="2900"/>
            <w:shd w:fill="FAF8F9" w:color="auto" w:val="clear"/>
            <w:tcMar>
              <w:top w:type="dxa" w:w="90"/>
              <w:left w:type="dxa" w:w="120"/>
              <w:bottom w:type="dxa" w:w="90"/>
              <w:right w:type="dxa" w:w="120"/>
            </w:tcMar>
          </w:tcPr>
          <w:p>
            <w:pPr>
              <w:spacing w:line="250" w:lineRule="auto"/>
              <w:jc w:val="left"/>
            </w:pPr>
            <w:r>
              <w:rPr>
                <w:b w:val="false"/>
                <w:bCs w:val="false"/>
                <w:color w:val="2B2530"/>
                <w:sz w:val="17"/>
                <w:szCs w:val="17"/>
              </w:rPr>
              <w:t xml:space="preserve">The two routes side by side</w:t>
            </w:r>
          </w:p>
        </w:tc>
        <w:tc>
          <w:tcPr>
            <w:tcW w:type="dxa" w:w="5360"/>
            <w:shd w:fill="FAF8F9" w:color="auto" w:val="clear"/>
            <w:tcMar>
              <w:top w:type="dxa" w:w="90"/>
              <w:left w:type="dxa" w:w="120"/>
              <w:bottom w:type="dxa" w:w="90"/>
              <w:right w:type="dxa" w:w="120"/>
            </w:tcMar>
          </w:tcPr>
          <w:p>
            <w:pPr>
              <w:spacing w:line="250" w:lineRule="auto"/>
              <w:jc w:val="left"/>
            </w:pPr>
            <w:r>
              <w:rPr>
                <w:b w:val="false"/>
                <w:bCs w:val="false"/>
                <w:color w:val="2B2530"/>
                <w:sz w:val="17"/>
                <w:szCs w:val="17"/>
              </w:rPr>
              <w:t xml:space="preserve">Same decision, different evidence — accuracy, requirements and availability compared.</w:t>
            </w:r>
          </w:p>
        </w:tc>
      </w:tr>
      <w:tr>
        <w:trPr>
          <w:cantSplit/>
        </w:trPr>
        <w:tc>
          <w:tcPr>
            <w:tcW w:type="dxa" w:w="760"/>
            <w:tcMar>
              <w:top w:type="dxa" w:w="90"/>
              <w:left w:type="dxa" w:w="120"/>
              <w:bottom w:type="dxa" w:w="90"/>
              <w:right w:type="dxa" w:w="120"/>
            </w:tcMar>
          </w:tcPr>
          <w:p>
            <w:pPr>
              <w:spacing w:line="250" w:lineRule="auto"/>
              <w:jc w:val="left"/>
            </w:pPr>
            <w:r>
              <w:rPr>
                <w:b/>
                <w:bCs/>
                <w:color w:val="2B2530"/>
                <w:sz w:val="17"/>
                <w:szCs w:val="17"/>
              </w:rPr>
              <w:t xml:space="preserve">5</w:t>
            </w:r>
          </w:p>
        </w:tc>
        <w:tc>
          <w:tcPr>
            <w:tcW w:type="dxa" w:w="2900"/>
            <w:tcMar>
              <w:top w:type="dxa" w:w="90"/>
              <w:left w:type="dxa" w:w="120"/>
              <w:bottom w:type="dxa" w:w="90"/>
              <w:right w:type="dxa" w:w="120"/>
            </w:tcMar>
          </w:tcPr>
          <w:p>
            <w:pPr>
              <w:spacing w:line="250" w:lineRule="auto"/>
              <w:jc w:val="left"/>
            </w:pPr>
            <w:r>
              <w:rPr>
                <w:b w:val="false"/>
                <w:bCs w:val="false"/>
                <w:color w:val="2B2530"/>
                <w:sz w:val="17"/>
                <w:szCs w:val="17"/>
              </w:rPr>
              <w:t xml:space="preserve">Biomarkers</w:t>
            </w:r>
          </w:p>
        </w:tc>
        <w:tc>
          <w:tcPr>
            <w:tcW w:type="dxa" w:w="5360"/>
            <w:tcMar>
              <w:top w:type="dxa" w:w="90"/>
              <w:left w:type="dxa" w:w="120"/>
              <w:bottom w:type="dxa" w:w="90"/>
              <w:right w:type="dxa" w:w="120"/>
            </w:tcMar>
          </w:tcPr>
          <w:p>
            <w:pPr>
              <w:spacing w:line="250" w:lineRule="auto"/>
              <w:jc w:val="left"/>
            </w:pPr>
            <w:r>
              <w:rPr>
                <w:b w:val="false"/>
                <w:bCs w:val="false"/>
                <w:color w:val="2B2530"/>
                <w:sz w:val="17"/>
                <w:szCs w:val="17"/>
              </w:rPr>
              <w:t xml:space="preserve">What research measures in order to predict preeclampsia before anything is clinically visible.</w:t>
            </w:r>
          </w:p>
        </w:tc>
      </w:tr>
    </w:tbl>
    <w:p w14:paraId="52AD2C6F" w14:textId="77777777" w:rsidR="00B038AF" w:rsidRDefault="00000000">
      <w:pPr>
        <w:pBdr>
          <w:bottom w:val="single" w:sz="8" w:space="6" w:color="D8D0D6"/>
        </w:pBdr>
        <w:spacing w:before="400" w:after="150"/>
      </w:pPr>
      <w:r>
        <w:rPr>
          <w:b/>
          <w:bCs/>
          <w:color w:val="4B3A5A"/>
          <w:sz w:val="30"/>
          <w:szCs w:val="30"/>
        </w:rPr>
        <w:lastRenderedPageBreak/>
        <w:t>Figure 1 — The whole picture on one page</w:t>
      </w:r>
    </w:p>
    <w:p w14:paraId="588E71B8" w14:textId="77777777" w:rsidR="00B038AF" w:rsidRDefault="00000000">
      <w:pPr>
        <w:spacing w:before="120"/>
        <w:jc w:val="center"/>
      </w:pPr>
      <w:r>
        <w:rPr>
          <w:noProof/>
        </w:rPr>
        <w:drawing>
          <wp:inline distT="0" distB="0" distL="0" distR="0" wp14:anchorId="15FC2C9C" wp14:editId="064816D2">
            <wp:extent cx="6115050" cy="3533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3533775"/>
                    </a:xfrm>
                    <a:prstGeom prst="rect">
                      <a:avLst/>
                    </a:prstGeom>
                  </pic:spPr>
                </pic:pic>
              </a:graphicData>
            </a:graphic>
          </wp:inline>
        </w:drawing>
      </w:r>
    </w:p>
    <w:p w14:paraId="6BAD800D" w14:textId="77777777" w:rsidR="00B038AF" w:rsidRDefault="00000000">
      <w:pPr>
        <w:spacing w:before="90" w:after="220"/>
        <w:jc w:val="center"/>
      </w:pPr>
      <w:r>
        <w:rPr>
          <w:i/>
          <w:iCs/>
          <w:color w:val="6E6478"/>
          <w:sz w:val="17"/>
          <w:szCs w:val="17"/>
        </w:rPr>
        <w:t>Figure 1. How preeclampsia is found. Two prediction routes converge on one decision before 20 weeks; one diagnostic chain runs after it. The dashed outline marks what Badira can collect without clinic equipment.</w:t>
      </w:r>
    </w:p>
    <w:p w14:paraId="7A165540" w14:textId="77777777" w:rsidR="00B038AF" w:rsidRDefault="00000000">
      <w:pPr>
        <w:spacing w:before="230" w:after="90"/>
      </w:pPr>
      <w:r>
        <w:rPr>
          <w:b/>
          <w:bCs/>
          <w:color w:val="6B5780"/>
          <w:sz w:val="21"/>
          <w:szCs w:val="21"/>
        </w:rPr>
        <w:t>How to read this figure</w:t>
      </w:r>
    </w:p>
    <w:p w14:paraId="45D1730F" w14:textId="77777777" w:rsidR="00B038AF" w:rsidRDefault="00000000">
      <w:pPr>
        <w:spacing w:after="130" w:line="280" w:lineRule="auto"/>
      </w:pPr>
      <w:r>
        <w:t>Read it left to right, in four steps.</w:t>
      </w:r>
    </w:p>
    <w:p w14:paraId="0F37D534" w14:textId="77777777" w:rsidR="00B038AF" w:rsidRDefault="00000000">
      <w:pPr>
        <w:spacing w:after="80" w:line="270" w:lineRule="auto"/>
        <w:ind w:left="400" w:hanging="260"/>
      </w:pPr>
      <w:r>
        <w:rPr>
          <w:b/>
          <w:bCs/>
          <w:color w:val="6B5780"/>
        </w:rPr>
        <w:t xml:space="preserve">1.   </w:t>
      </w:r>
      <w:r>
        <w:t>The red dashed line is 20 weeks. Left of it is prediction. Right of it is diagnosis. Nothing on the left is a diagnosis, because no guideline allows one before 20 weeks [1][2][3].</w:t>
      </w:r>
    </w:p>
    <w:p w14:paraId="6BFADBB1" w14:textId="77777777" w:rsidR="00B038AF" w:rsidRDefault="00000000">
      <w:pPr>
        <w:spacing w:after="80" w:line="270" w:lineRule="auto"/>
        <w:ind w:left="400" w:hanging="260"/>
      </w:pPr>
      <w:r>
        <w:rPr>
          <w:b/>
          <w:bCs/>
          <w:color w:val="6B5780"/>
        </w:rPr>
        <w:t xml:space="preserve">2.   </w:t>
      </w:r>
      <w:r>
        <w:t>On the left there are two routes to the same place. Route A uses history only. Route B adds measurements. They need very different equipment — and they end in the same gold box: aspirin before 16 weeks.</w:t>
      </w:r>
    </w:p>
    <w:p w14:paraId="11CB1129" w14:textId="77777777" w:rsidR="00B038AF" w:rsidRDefault="00000000">
      <w:pPr>
        <w:spacing w:after="80" w:line="270" w:lineRule="auto"/>
        <w:ind w:left="400" w:hanging="260"/>
      </w:pPr>
      <w:r>
        <w:rPr>
          <w:b/>
          <w:bCs/>
          <w:color w:val="6B5780"/>
        </w:rPr>
        <w:t xml:space="preserve">3.   </w:t>
      </w:r>
      <w:r>
        <w:t>On the right is the diagnosis, shown as a chain. Every step is required, and the last two need a laboratory.</w:t>
      </w:r>
    </w:p>
    <w:p w14:paraId="365E0F1D" w14:textId="77777777" w:rsidR="00B038AF" w:rsidRDefault="00000000">
      <w:pPr>
        <w:spacing w:after="80" w:line="270" w:lineRule="auto"/>
        <w:ind w:left="400" w:hanging="260"/>
      </w:pPr>
      <w:r>
        <w:rPr>
          <w:b/>
          <w:bCs/>
          <w:color w:val="6B5780"/>
        </w:rPr>
        <w:t xml:space="preserve">4.   </w:t>
      </w:r>
      <w:r>
        <w:t>The blue dashed outline is Badira. It marks the only three boxes Badira can fill on its own: the history, the checklist built from that history, and the blood pressure recorded at each visit.</w:t>
      </w:r>
    </w:p>
    <w:p w14:paraId="51768E5F" w14:textId="77777777" w:rsidR="00B038AF" w:rsidRDefault="00B038AF">
      <w:pPr>
        <w:spacing w:after="120"/>
      </w:pPr>
    </w:p>
    <w:p w14:paraId="4C40AD40" w14:textId="77777777" w:rsidR="00B038AF" w:rsidRDefault="00000000">
      <w:pPr>
        <w:spacing w:after="130" w:line="280" w:lineRule="auto"/>
      </w:pPr>
      <w:r>
        <w:rPr>
          <w:b/>
          <w:bCs/>
        </w:rPr>
        <w:t>The small grey line inside each box says what that step needs. That is the whole point of the picture: the two prediction routes reach the same decision, but they do not need the same things to get there.</w:t>
      </w:r>
    </w:p>
    <w:p w14:paraId="684348D0" w14:textId="77777777" w:rsidR="00B038AF" w:rsidRDefault="00000000">
      <w:r>
        <w:br w:type="page"/>
      </w:r>
    </w:p>
    <w:p w14:paraId="784D4839" w14:textId="77777777" w:rsidR="00B038AF" w:rsidRDefault="00000000">
      <w:pPr>
        <w:pBdr>
          <w:bottom w:val="single" w:sz="8" w:space="6" w:color="D8D0D6"/>
        </w:pBdr>
        <w:spacing w:before="400" w:after="150"/>
      </w:pPr>
      <w:r>
        <w:rPr>
          <w:b/>
          <w:bCs/>
          <w:color w:val="4B3A5A"/>
          <w:sz w:val="30"/>
          <w:szCs w:val="30"/>
        </w:rPr>
        <w:lastRenderedPageBreak/>
        <w:t>Part 1 — What preeclampsia is, and what counts as a diagnosis</w:t>
      </w:r>
    </w:p>
    <w:p w14:paraId="47D8ABCA" w14:textId="77777777" w:rsidR="00B038AF" w:rsidRDefault="00000000">
      <w:pPr>
        <w:spacing w:after="130" w:line="280" w:lineRule="auto"/>
      </w:pPr>
      <w:r>
        <w:rPr>
          <w:i/>
          <w:iCs/>
          <w:color w:val="6E6478"/>
        </w:rPr>
        <w:t>Before anything can be predicted, the thing being predicted has to be defined precisely. This part sets out that definition. It follows ACOG Practice Bulletin 222 [1] as its primary framework; NICE NG133 [2] and the ISSHP 2021 recommendations [3] differ in some details, so the guideline used should always be specified when defining labels for clinical data.</w:t>
      </w:r>
    </w:p>
    <w:p w14:paraId="5E43529A" w14:textId="77777777" w:rsidR="00B038AF" w:rsidRDefault="00000000">
      <w:pPr>
        <w:spacing w:before="300" w:after="110"/>
      </w:pPr>
      <w:proofErr w:type="gramStart"/>
      <w:r>
        <w:rPr>
          <w:b/>
          <w:bCs/>
          <w:color w:val="3B2F45"/>
          <w:sz w:val="24"/>
          <w:szCs w:val="24"/>
        </w:rPr>
        <w:t>1.1  Preeclampsia</w:t>
      </w:r>
      <w:proofErr w:type="gramEnd"/>
      <w:r>
        <w:rPr>
          <w:b/>
          <w:bCs/>
          <w:color w:val="3B2F45"/>
          <w:sz w:val="24"/>
          <w:szCs w:val="24"/>
        </w:rPr>
        <w:t xml:space="preserve"> in simple words</w:t>
      </w:r>
    </w:p>
    <w:p w14:paraId="57C4BF33" w14:textId="77777777" w:rsidR="00B038AF" w:rsidRDefault="00000000">
      <w:pPr>
        <w:spacing w:after="130" w:line="280" w:lineRule="auto"/>
      </w:pPr>
      <w:r>
        <w:t>Preeclampsia is a pregnancy-related multisystem hypertensive disorder that usually develops after 20 weeks of pregnancy. It is more than “high blood pressure in pregnancy”: hypertension is accompanied by proteinuria and/or evidence of maternal organ involvement [1]. It can affect multiple maternal organs and systems, including the kidneys, liver, blood, brain, lungs, and blood vessels, and can also affect the placenta and baby. Placental dysfunction and maternal vascular dysfunction are important parts of the disease, although preeclampsia is complex and multifactorial. A woman can have clinically important preeclampsia without obvious symptoms, which is why routine antenatal monitoring is important.</w:t>
      </w:r>
    </w:p>
    <w:tbl>
      <w:tblPr>
        <w:tblW w:w="9020" w:type="dxa"/>
        <w:tblCellMar>
          <w:left w:w="10" w:type="dxa"/>
          <w:right w:w="10" w:type="dxa"/>
        </w:tblCellMar>
        <w:tblLook w:val="04A0" w:firstRow="1" w:lastRow="0" w:firstColumn="1" w:lastColumn="0" w:noHBand="0" w:noVBand="1"/>
      </w:tblPr>
      <w:tblGrid>
        <w:gridCol w:w="9020"/>
      </w:tblGrid>
      <w:tr w:rsidR="00B038AF" w14:paraId="2C2A31DE" w14:textId="77777777">
        <w:tblPrEx>
          <w:tblCellMar>
            <w:top w:w="0" w:type="dxa"/>
            <w:bottom w:w="0" w:type="dxa"/>
          </w:tblCellMar>
        </w:tblPrEx>
        <w:trPr>
          <w:cantSplit/>
        </w:trPr>
        <w:tc>
          <w:tcPr>
            <w:tcW w:w="9020" w:type="dxa"/>
            <w:tcBorders>
              <w:left w:val="single" w:sz="28" w:space="0" w:color="3B2F45"/>
            </w:tcBorders>
            <w:shd w:val="clear" w:color="auto" w:fill="EFE7EC"/>
            <w:tcMar>
              <w:top w:w="200" w:type="dxa"/>
              <w:left w:w="260" w:type="dxa"/>
              <w:bottom w:w="200" w:type="dxa"/>
              <w:right w:w="240" w:type="dxa"/>
            </w:tcMar>
          </w:tcPr>
          <w:p w14:paraId="31E7FEE4" w14:textId="77777777" w:rsidR="00B038AF" w:rsidRDefault="00000000">
            <w:pPr>
              <w:spacing w:line="285" w:lineRule="auto"/>
            </w:pPr>
            <w:r>
              <w:rPr>
                <w:b/>
                <w:bCs/>
              </w:rPr>
              <w:t>Key concept: High blood pressure is an important sign of preeclampsia, but it is not the whole disease.</w:t>
            </w:r>
          </w:p>
        </w:tc>
      </w:tr>
    </w:tbl>
    <w:p w14:paraId="69C7DE99" w14:textId="77777777" w:rsidR="00B038AF" w:rsidRDefault="00B038AF">
      <w:pPr>
        <w:spacing w:after="140"/>
      </w:pPr>
    </w:p>
    <w:p w14:paraId="33B38254" w14:textId="77777777" w:rsidR="00B038AF" w:rsidRDefault="00000000">
      <w:pPr>
        <w:spacing w:before="300" w:after="110"/>
      </w:pPr>
      <w:proofErr w:type="gramStart"/>
      <w:r>
        <w:rPr>
          <w:b/>
          <w:bCs/>
          <w:color w:val="3B2F45"/>
          <w:sz w:val="24"/>
          <w:szCs w:val="24"/>
        </w:rPr>
        <w:t>1.2  When</w:t>
      </w:r>
      <w:proofErr w:type="gramEnd"/>
      <w:r>
        <w:rPr>
          <w:b/>
          <w:bCs/>
          <w:color w:val="3B2F45"/>
          <w:sz w:val="24"/>
          <w:szCs w:val="24"/>
        </w:rPr>
        <w:t xml:space="preserve"> can preeclampsia </w:t>
      </w:r>
      <w:proofErr w:type="gramStart"/>
      <w:r>
        <w:rPr>
          <w:b/>
          <w:bCs/>
          <w:color w:val="3B2F45"/>
          <w:sz w:val="24"/>
          <w:szCs w:val="24"/>
        </w:rPr>
        <w:t>occur</w:t>
      </w:r>
      <w:proofErr w:type="gramEnd"/>
      <w:r>
        <w:rPr>
          <w:b/>
          <w:bCs/>
          <w:color w:val="3B2F45"/>
          <w:sz w:val="24"/>
          <w:szCs w:val="24"/>
        </w:rPr>
        <w:t>?</w:t>
      </w:r>
    </w:p>
    <w:p w14:paraId="089B95D4" w14:textId="77777777" w:rsidR="00B038AF" w:rsidRDefault="00000000">
      <w:pPr>
        <w:spacing w:after="130" w:line="280" w:lineRule="auto"/>
      </w:pPr>
      <w:r>
        <w:t>Preeclampsia typically develops after 20 weeks of pregnancy, and it is more common later in pregnancy. It can also develop after delivery, known as postpartum preeclampsia. Preeclampsia occurring before 20 weeks is very rare, rather than impossible, and should prompt investigation for unusual associated conditions [1].</w:t>
      </w:r>
    </w:p>
    <w:p w14:paraId="53CF9A2A" w14:textId="77777777" w:rsidR="00B038AF" w:rsidRDefault="00000000">
      <w:pPr>
        <w:spacing w:after="130" w:line="280" w:lineRule="auto"/>
      </w:pPr>
      <w:r>
        <w:t>Risk assessment can begin earlier in pregnancy, but it is important to distinguish risk of developing preeclampsia from an actual clinical diagnosis of preeclampsia.</w:t>
      </w:r>
    </w:p>
    <w:p w14:paraId="5E5A2748" w14:textId="77777777" w:rsidR="00B038AF" w:rsidRDefault="00000000">
      <w:pPr>
        <w:spacing w:before="300" w:after="110"/>
      </w:pPr>
      <w:proofErr w:type="gramStart"/>
      <w:r>
        <w:rPr>
          <w:b/>
          <w:bCs/>
          <w:color w:val="3B2F45"/>
          <w:sz w:val="24"/>
          <w:szCs w:val="24"/>
        </w:rPr>
        <w:t>1.3  Which</w:t>
      </w:r>
      <w:proofErr w:type="gramEnd"/>
      <w:r>
        <w:rPr>
          <w:b/>
          <w:bCs/>
          <w:color w:val="3B2F45"/>
          <w:sz w:val="24"/>
          <w:szCs w:val="24"/>
        </w:rPr>
        <w:t xml:space="preserve"> organs and systems can be affected?</w:t>
      </w:r>
    </w:p>
    <w:p w14:paraId="43A1CFD2" w14:textId="77777777" w:rsidR="00B038AF" w:rsidRDefault="00000000">
      <w:pPr>
        <w:spacing w:after="130" w:line="280" w:lineRule="auto"/>
      </w:pPr>
      <w:r>
        <w:t>Because preeclampsia is a multisystem disorder, its effects are not limited to blood pressure.</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1900"/>
        <w:gridCol w:w="7120"/>
      </w:tblGrid>
      <w:tr w:rsidR="00B038AF" w14:paraId="4681F0D0" w14:textId="77777777">
        <w:tblPrEx>
          <w:tblCellMar>
            <w:top w:w="0" w:type="dxa"/>
            <w:bottom w:w="0" w:type="dxa"/>
          </w:tblCellMar>
        </w:tblPrEx>
        <w:trPr>
          <w:cantSplit/>
          <w:tblHeader/>
        </w:trPr>
        <w:tc>
          <w:tcPr>
            <w:tcW w:w="1900" w:type="dxa"/>
            <w:shd w:val="clear" w:color="auto" w:fill="EFE7EC"/>
            <w:tcMar>
              <w:top w:w="90" w:type="dxa"/>
              <w:left w:w="120" w:type="dxa"/>
              <w:bottom w:w="90" w:type="dxa"/>
              <w:right w:w="120" w:type="dxa"/>
            </w:tcMar>
          </w:tcPr>
          <w:p w14:paraId="31AE7CE3" w14:textId="77777777" w:rsidR="00B038AF" w:rsidRDefault="00000000">
            <w:pPr>
              <w:spacing w:line="250" w:lineRule="auto"/>
            </w:pPr>
            <w:r>
              <w:rPr>
                <w:b/>
                <w:bCs/>
                <w:color w:val="261E2D"/>
                <w:sz w:val="17"/>
                <w:szCs w:val="17"/>
              </w:rPr>
              <w:t>System</w:t>
            </w:r>
          </w:p>
        </w:tc>
        <w:tc>
          <w:tcPr>
            <w:tcW w:w="7120" w:type="dxa"/>
            <w:shd w:val="clear" w:color="auto" w:fill="EFE7EC"/>
            <w:tcMar>
              <w:top w:w="90" w:type="dxa"/>
              <w:left w:w="120" w:type="dxa"/>
              <w:bottom w:w="90" w:type="dxa"/>
              <w:right w:w="120" w:type="dxa"/>
            </w:tcMar>
          </w:tcPr>
          <w:p w14:paraId="0DF9E2E4" w14:textId="77777777" w:rsidR="00B038AF" w:rsidRDefault="00000000">
            <w:pPr>
              <w:spacing w:line="250" w:lineRule="auto"/>
            </w:pPr>
            <w:r>
              <w:rPr>
                <w:b/>
                <w:bCs/>
                <w:color w:val="261E2D"/>
                <w:sz w:val="17"/>
                <w:szCs w:val="17"/>
              </w:rPr>
              <w:t>What can happen</w:t>
            </w:r>
          </w:p>
        </w:tc>
      </w:tr>
      <w:tr w:rsidR="00B038AF" w14:paraId="472EB0D9" w14:textId="77777777">
        <w:tblPrEx>
          <w:tblCellMar>
            <w:top w:w="0" w:type="dxa"/>
            <w:bottom w:w="0" w:type="dxa"/>
          </w:tblCellMar>
        </w:tblPrEx>
        <w:trPr>
          <w:cantSplit/>
        </w:trPr>
        <w:tc>
          <w:tcPr>
            <w:tcW w:w="1900" w:type="dxa"/>
            <w:tcMar>
              <w:top w:w="90" w:type="dxa"/>
              <w:left w:w="120" w:type="dxa"/>
              <w:bottom w:w="90" w:type="dxa"/>
              <w:right w:w="120" w:type="dxa"/>
            </w:tcMar>
          </w:tcPr>
          <w:p w14:paraId="020026F2" w14:textId="77777777" w:rsidR="00B038AF" w:rsidRDefault="00000000">
            <w:pPr>
              <w:spacing w:line="250" w:lineRule="auto"/>
            </w:pPr>
            <w:r>
              <w:rPr>
                <w:b/>
                <w:bCs/>
                <w:sz w:val="17"/>
                <w:szCs w:val="17"/>
              </w:rPr>
              <w:t>Blood vessels</w:t>
            </w:r>
          </w:p>
        </w:tc>
        <w:tc>
          <w:tcPr>
            <w:tcW w:w="7120" w:type="dxa"/>
            <w:tcMar>
              <w:top w:w="90" w:type="dxa"/>
              <w:left w:w="120" w:type="dxa"/>
              <w:bottom w:w="90" w:type="dxa"/>
              <w:right w:w="120" w:type="dxa"/>
            </w:tcMar>
          </w:tcPr>
          <w:p w14:paraId="5AE2BB0C" w14:textId="77777777" w:rsidR="00B038AF" w:rsidRDefault="00000000">
            <w:pPr>
              <w:spacing w:line="250" w:lineRule="auto"/>
            </w:pPr>
            <w:r>
              <w:rPr>
                <w:sz w:val="17"/>
                <w:szCs w:val="17"/>
              </w:rPr>
              <w:t>Dysfunction of the blood-vessel lining can contribute to increased vascular resistance and fluid leakage.</w:t>
            </w:r>
          </w:p>
        </w:tc>
      </w:tr>
      <w:tr w:rsidR="00B038AF" w14:paraId="7B1F94D9" w14:textId="77777777">
        <w:tblPrEx>
          <w:tblCellMar>
            <w:top w:w="0" w:type="dxa"/>
            <w:bottom w:w="0" w:type="dxa"/>
          </w:tblCellMar>
        </w:tblPrEx>
        <w:trPr>
          <w:cantSplit/>
        </w:trPr>
        <w:tc>
          <w:tcPr>
            <w:tcW w:w="1900" w:type="dxa"/>
            <w:shd w:val="clear" w:color="auto" w:fill="FAF8F9"/>
            <w:tcMar>
              <w:top w:w="90" w:type="dxa"/>
              <w:left w:w="120" w:type="dxa"/>
              <w:bottom w:w="90" w:type="dxa"/>
              <w:right w:w="120" w:type="dxa"/>
            </w:tcMar>
          </w:tcPr>
          <w:p w14:paraId="65435E7B" w14:textId="77777777" w:rsidR="00B038AF" w:rsidRDefault="00000000">
            <w:pPr>
              <w:spacing w:line="250" w:lineRule="auto"/>
            </w:pPr>
            <w:r>
              <w:rPr>
                <w:b/>
                <w:bCs/>
                <w:sz w:val="17"/>
                <w:szCs w:val="17"/>
              </w:rPr>
              <w:t>Kidneys</w:t>
            </w:r>
          </w:p>
        </w:tc>
        <w:tc>
          <w:tcPr>
            <w:tcW w:w="7120" w:type="dxa"/>
            <w:shd w:val="clear" w:color="auto" w:fill="FAF8F9"/>
            <w:tcMar>
              <w:top w:w="90" w:type="dxa"/>
              <w:left w:w="120" w:type="dxa"/>
              <w:bottom w:w="90" w:type="dxa"/>
              <w:right w:w="120" w:type="dxa"/>
            </w:tcMar>
          </w:tcPr>
          <w:p w14:paraId="648C72DE" w14:textId="77777777" w:rsidR="00B038AF" w:rsidRDefault="00000000">
            <w:pPr>
              <w:spacing w:line="250" w:lineRule="auto"/>
            </w:pPr>
            <w:r>
              <w:rPr>
                <w:sz w:val="17"/>
                <w:szCs w:val="17"/>
              </w:rPr>
              <w:t>Kidney involvement can cause protein to leak into the urine and kidney function to decline.</w:t>
            </w:r>
          </w:p>
        </w:tc>
      </w:tr>
      <w:tr w:rsidR="00B038AF" w14:paraId="5BA61F5E" w14:textId="77777777">
        <w:tblPrEx>
          <w:tblCellMar>
            <w:top w:w="0" w:type="dxa"/>
            <w:bottom w:w="0" w:type="dxa"/>
          </w:tblCellMar>
        </w:tblPrEx>
        <w:trPr>
          <w:cantSplit/>
        </w:trPr>
        <w:tc>
          <w:tcPr>
            <w:tcW w:w="1900" w:type="dxa"/>
            <w:tcMar>
              <w:top w:w="90" w:type="dxa"/>
              <w:left w:w="120" w:type="dxa"/>
              <w:bottom w:w="90" w:type="dxa"/>
              <w:right w:w="120" w:type="dxa"/>
            </w:tcMar>
          </w:tcPr>
          <w:p w14:paraId="059E3FBF" w14:textId="77777777" w:rsidR="00B038AF" w:rsidRDefault="00000000">
            <w:pPr>
              <w:spacing w:line="250" w:lineRule="auto"/>
            </w:pPr>
            <w:r>
              <w:rPr>
                <w:b/>
                <w:bCs/>
                <w:sz w:val="17"/>
                <w:szCs w:val="17"/>
              </w:rPr>
              <w:t>Liver</w:t>
            </w:r>
          </w:p>
        </w:tc>
        <w:tc>
          <w:tcPr>
            <w:tcW w:w="7120" w:type="dxa"/>
            <w:tcMar>
              <w:top w:w="90" w:type="dxa"/>
              <w:left w:w="120" w:type="dxa"/>
              <w:bottom w:w="90" w:type="dxa"/>
              <w:right w:w="120" w:type="dxa"/>
            </w:tcMar>
          </w:tcPr>
          <w:p w14:paraId="2300400E" w14:textId="77777777" w:rsidR="00B038AF" w:rsidRDefault="00000000">
            <w:pPr>
              <w:spacing w:line="250" w:lineRule="auto"/>
            </w:pPr>
            <w:r>
              <w:rPr>
                <w:sz w:val="17"/>
                <w:szCs w:val="17"/>
              </w:rPr>
              <w:t>Liver injury can cause increased liver enzymes and may be associated with upper-abdominal pain.</w:t>
            </w:r>
          </w:p>
        </w:tc>
      </w:tr>
      <w:tr w:rsidR="00B038AF" w14:paraId="30BE9D4F" w14:textId="77777777">
        <w:tblPrEx>
          <w:tblCellMar>
            <w:top w:w="0" w:type="dxa"/>
            <w:bottom w:w="0" w:type="dxa"/>
          </w:tblCellMar>
        </w:tblPrEx>
        <w:trPr>
          <w:cantSplit/>
        </w:trPr>
        <w:tc>
          <w:tcPr>
            <w:tcW w:w="1900" w:type="dxa"/>
            <w:shd w:val="clear" w:color="auto" w:fill="FAF8F9"/>
            <w:tcMar>
              <w:top w:w="90" w:type="dxa"/>
              <w:left w:w="120" w:type="dxa"/>
              <w:bottom w:w="90" w:type="dxa"/>
              <w:right w:w="120" w:type="dxa"/>
            </w:tcMar>
          </w:tcPr>
          <w:p w14:paraId="0F0E4187" w14:textId="77777777" w:rsidR="00B038AF" w:rsidRDefault="00000000">
            <w:pPr>
              <w:spacing w:line="250" w:lineRule="auto"/>
            </w:pPr>
            <w:r>
              <w:rPr>
                <w:b/>
                <w:bCs/>
                <w:sz w:val="17"/>
                <w:szCs w:val="17"/>
              </w:rPr>
              <w:t>Blood</w:t>
            </w:r>
          </w:p>
        </w:tc>
        <w:tc>
          <w:tcPr>
            <w:tcW w:w="7120" w:type="dxa"/>
            <w:shd w:val="clear" w:color="auto" w:fill="FAF8F9"/>
            <w:tcMar>
              <w:top w:w="90" w:type="dxa"/>
              <w:left w:w="120" w:type="dxa"/>
              <w:bottom w:w="90" w:type="dxa"/>
              <w:right w:w="120" w:type="dxa"/>
            </w:tcMar>
          </w:tcPr>
          <w:p w14:paraId="30F48C7E" w14:textId="77777777" w:rsidR="00B038AF" w:rsidRDefault="00000000">
            <w:pPr>
              <w:spacing w:line="250" w:lineRule="auto"/>
            </w:pPr>
            <w:r>
              <w:rPr>
                <w:sz w:val="17"/>
                <w:szCs w:val="17"/>
              </w:rPr>
              <w:t>Platelet levels can fall, and severe disease such as HELLP syndrome can involve breakdown of red blood cells.</w:t>
            </w:r>
          </w:p>
        </w:tc>
      </w:tr>
      <w:tr w:rsidR="00B038AF" w14:paraId="7D67A913" w14:textId="77777777">
        <w:tblPrEx>
          <w:tblCellMar>
            <w:top w:w="0" w:type="dxa"/>
            <w:bottom w:w="0" w:type="dxa"/>
          </w:tblCellMar>
        </w:tblPrEx>
        <w:trPr>
          <w:cantSplit/>
        </w:trPr>
        <w:tc>
          <w:tcPr>
            <w:tcW w:w="1900" w:type="dxa"/>
            <w:tcMar>
              <w:top w:w="90" w:type="dxa"/>
              <w:left w:w="120" w:type="dxa"/>
              <w:bottom w:w="90" w:type="dxa"/>
              <w:right w:w="120" w:type="dxa"/>
            </w:tcMar>
          </w:tcPr>
          <w:p w14:paraId="1BA5A9E1" w14:textId="77777777" w:rsidR="00B038AF" w:rsidRDefault="00000000">
            <w:pPr>
              <w:spacing w:line="250" w:lineRule="auto"/>
            </w:pPr>
            <w:r>
              <w:rPr>
                <w:b/>
                <w:bCs/>
                <w:sz w:val="17"/>
                <w:szCs w:val="17"/>
              </w:rPr>
              <w:t>Brain</w:t>
            </w:r>
          </w:p>
        </w:tc>
        <w:tc>
          <w:tcPr>
            <w:tcW w:w="7120" w:type="dxa"/>
            <w:tcMar>
              <w:top w:w="90" w:type="dxa"/>
              <w:left w:w="120" w:type="dxa"/>
              <w:bottom w:w="90" w:type="dxa"/>
              <w:right w:w="120" w:type="dxa"/>
            </w:tcMar>
          </w:tcPr>
          <w:p w14:paraId="3D72EFD6" w14:textId="77777777" w:rsidR="00B038AF" w:rsidRDefault="00000000">
            <w:pPr>
              <w:spacing w:line="250" w:lineRule="auto"/>
            </w:pPr>
            <w:r>
              <w:rPr>
                <w:sz w:val="17"/>
                <w:szCs w:val="17"/>
              </w:rPr>
              <w:t>Neurological involvement can cause headache or visual disturbances and, in severe cases, seizures (eclampsia).</w:t>
            </w:r>
          </w:p>
        </w:tc>
      </w:tr>
      <w:tr w:rsidR="00B038AF" w14:paraId="345C5230" w14:textId="77777777">
        <w:tblPrEx>
          <w:tblCellMar>
            <w:top w:w="0" w:type="dxa"/>
            <w:bottom w:w="0" w:type="dxa"/>
          </w:tblCellMar>
        </w:tblPrEx>
        <w:trPr>
          <w:cantSplit/>
        </w:trPr>
        <w:tc>
          <w:tcPr>
            <w:tcW w:w="1900" w:type="dxa"/>
            <w:shd w:val="clear" w:color="auto" w:fill="FAF8F9"/>
            <w:tcMar>
              <w:top w:w="90" w:type="dxa"/>
              <w:left w:w="120" w:type="dxa"/>
              <w:bottom w:w="90" w:type="dxa"/>
              <w:right w:w="120" w:type="dxa"/>
            </w:tcMar>
          </w:tcPr>
          <w:p w14:paraId="0CCE30EC" w14:textId="77777777" w:rsidR="00B038AF" w:rsidRDefault="00000000">
            <w:pPr>
              <w:spacing w:line="250" w:lineRule="auto"/>
            </w:pPr>
            <w:r>
              <w:rPr>
                <w:b/>
                <w:bCs/>
                <w:sz w:val="17"/>
                <w:szCs w:val="17"/>
              </w:rPr>
              <w:t>Lungs</w:t>
            </w:r>
          </w:p>
        </w:tc>
        <w:tc>
          <w:tcPr>
            <w:tcW w:w="7120" w:type="dxa"/>
            <w:shd w:val="clear" w:color="auto" w:fill="FAF8F9"/>
            <w:tcMar>
              <w:top w:w="90" w:type="dxa"/>
              <w:left w:w="120" w:type="dxa"/>
              <w:bottom w:w="90" w:type="dxa"/>
              <w:right w:w="120" w:type="dxa"/>
            </w:tcMar>
          </w:tcPr>
          <w:p w14:paraId="5D377A51" w14:textId="77777777" w:rsidR="00B038AF" w:rsidRDefault="00000000">
            <w:pPr>
              <w:spacing w:line="250" w:lineRule="auto"/>
            </w:pPr>
            <w:r>
              <w:rPr>
                <w:sz w:val="17"/>
                <w:szCs w:val="17"/>
              </w:rPr>
              <w:t>Fluid can accumulate in the lungs (pulmonary edema), causing difficulty breathing.</w:t>
            </w:r>
          </w:p>
        </w:tc>
      </w:tr>
      <w:tr w:rsidR="00B038AF" w14:paraId="7F941FD5" w14:textId="77777777">
        <w:tblPrEx>
          <w:tblCellMar>
            <w:top w:w="0" w:type="dxa"/>
            <w:bottom w:w="0" w:type="dxa"/>
          </w:tblCellMar>
        </w:tblPrEx>
        <w:trPr>
          <w:cantSplit/>
        </w:trPr>
        <w:tc>
          <w:tcPr>
            <w:tcW w:w="1900" w:type="dxa"/>
            <w:tcMar>
              <w:top w:w="90" w:type="dxa"/>
              <w:left w:w="120" w:type="dxa"/>
              <w:bottom w:w="90" w:type="dxa"/>
              <w:right w:w="120" w:type="dxa"/>
            </w:tcMar>
          </w:tcPr>
          <w:p w14:paraId="54C9D055" w14:textId="77777777" w:rsidR="00B038AF" w:rsidRDefault="00000000">
            <w:pPr>
              <w:spacing w:line="250" w:lineRule="auto"/>
            </w:pPr>
            <w:r>
              <w:rPr>
                <w:b/>
                <w:bCs/>
                <w:sz w:val="17"/>
                <w:szCs w:val="17"/>
              </w:rPr>
              <w:t>Placenta / baby</w:t>
            </w:r>
          </w:p>
        </w:tc>
        <w:tc>
          <w:tcPr>
            <w:tcW w:w="7120" w:type="dxa"/>
            <w:tcMar>
              <w:top w:w="90" w:type="dxa"/>
              <w:left w:w="120" w:type="dxa"/>
              <w:bottom w:w="90" w:type="dxa"/>
              <w:right w:w="120" w:type="dxa"/>
            </w:tcMar>
          </w:tcPr>
          <w:p w14:paraId="5D4A1F00" w14:textId="77777777" w:rsidR="00B038AF" w:rsidRDefault="00000000">
            <w:pPr>
              <w:spacing w:line="250" w:lineRule="auto"/>
            </w:pPr>
            <w:r>
              <w:rPr>
                <w:sz w:val="17"/>
                <w:szCs w:val="17"/>
              </w:rPr>
              <w:t>Placental dysfunction can affect fetal growth and contribute to other pregnancy complications.</w:t>
            </w:r>
          </w:p>
        </w:tc>
      </w:tr>
    </w:tbl>
    <w:p w14:paraId="7096309A" w14:textId="77777777" w:rsidR="00B038AF" w:rsidRDefault="00B038AF">
      <w:pPr>
        <w:spacing w:after="120"/>
      </w:pPr>
    </w:p>
    <w:p w14:paraId="4CD37875" w14:textId="77777777" w:rsidR="00B038AF" w:rsidRDefault="00000000">
      <w:pPr>
        <w:spacing w:after="130" w:line="280" w:lineRule="auto"/>
      </w:pPr>
      <w:r>
        <w:rPr>
          <w:i/>
          <w:iCs/>
          <w:color w:val="6E6478"/>
        </w:rPr>
        <w:t>Important: These are possible effects of the disease. The specific organ findings used as clinical diagnostic criteria are covered separately in section 1.5.3.</w:t>
      </w:r>
    </w:p>
    <w:p w14:paraId="67C10BB9" w14:textId="77777777" w:rsidR="00B038AF" w:rsidRDefault="00000000">
      <w:pPr>
        <w:spacing w:before="300" w:after="110"/>
      </w:pPr>
      <w:proofErr w:type="gramStart"/>
      <w:r>
        <w:rPr>
          <w:b/>
          <w:bCs/>
          <w:color w:val="3B2F45"/>
          <w:sz w:val="24"/>
          <w:szCs w:val="24"/>
        </w:rPr>
        <w:lastRenderedPageBreak/>
        <w:t>1.4  Why</w:t>
      </w:r>
      <w:proofErr w:type="gramEnd"/>
      <w:r>
        <w:rPr>
          <w:b/>
          <w:bCs/>
          <w:color w:val="3B2F45"/>
          <w:sz w:val="24"/>
          <w:szCs w:val="24"/>
        </w:rPr>
        <w:t xml:space="preserve"> preeclampsia matters</w:t>
      </w:r>
    </w:p>
    <w:p w14:paraId="73EBB5A2" w14:textId="77777777" w:rsidR="00B038AF" w:rsidRDefault="00000000">
      <w:pPr>
        <w:spacing w:after="130" w:line="280" w:lineRule="auto"/>
      </w:pPr>
      <w:r>
        <w:t>Preeclampsia matters because it can progress quickly and unpredictably, sometimes even when the woman initially feels well.</w:t>
      </w:r>
    </w:p>
    <w:p w14:paraId="34A40A9A" w14:textId="77777777" w:rsidR="00B038AF" w:rsidRDefault="00000000">
      <w:pPr>
        <w:spacing w:after="130" w:line="280" w:lineRule="auto"/>
      </w:pPr>
      <w:r>
        <w:t>As the condition progresses, it can cause serious maternal complications, including eclampsia (seizures), stroke, HELLP syndrome, kidney or liver injury, pulmonary edema, and placental abruption. It can also affect the pregnancy and baby through complications such as fetal growth restriction, medically indicated preterm delivery, and, in severe cases, fetal or maternal death.</w:t>
      </w:r>
    </w:p>
    <w:p w14:paraId="14378E70" w14:textId="77777777" w:rsidR="00B038AF" w:rsidRDefault="00000000">
      <w:pPr>
        <w:spacing w:after="130" w:line="280" w:lineRule="auto"/>
      </w:pPr>
      <w:r>
        <w:t>Another important challenge is that management often involves timing. Definitive management ultimately requires delivery of the placenta. Other treatments, such as antihypertensive medication and magnesium sulfate, are used when appropriate to reduce complications and manage risk while clinicians determine the safest timing of delivery [1].</w:t>
      </w:r>
    </w:p>
    <w:p w14:paraId="32602605" w14:textId="77777777" w:rsidR="00B038AF" w:rsidRDefault="00000000">
      <w:pPr>
        <w:spacing w:after="130" w:line="280" w:lineRule="auto"/>
      </w:pPr>
      <w:r>
        <w:t>This can create a clinical balance between allowing more time for fetal maturity and avoiding increasing maternal or fetal risk if the condition worsens. For this reason, early recognition, regular monitoring, and timely clinical assessment are important.</w:t>
      </w:r>
    </w:p>
    <w:p w14:paraId="2D9F64A9" w14:textId="77777777" w:rsidR="00B038AF" w:rsidRDefault="00000000">
      <w:pPr>
        <w:spacing w:after="130" w:line="280" w:lineRule="auto"/>
      </w:pPr>
      <w:r>
        <w:t>Preeclampsia also has implications beyond the pregnancy, as a history of the condition is associated with increased long-term cardiovascular risk.</w:t>
      </w:r>
    </w:p>
    <w:p w14:paraId="56E56EE0" w14:textId="77777777" w:rsidR="00B038AF" w:rsidRDefault="00000000">
      <w:pPr>
        <w:spacing w:before="300" w:after="110"/>
      </w:pPr>
      <w:proofErr w:type="gramStart"/>
      <w:r>
        <w:rPr>
          <w:b/>
          <w:bCs/>
          <w:color w:val="3B2F45"/>
          <w:sz w:val="24"/>
          <w:szCs w:val="24"/>
        </w:rPr>
        <w:t>1.5  The</w:t>
      </w:r>
      <w:proofErr w:type="gramEnd"/>
      <w:r>
        <w:rPr>
          <w:b/>
          <w:bCs/>
          <w:color w:val="3B2F45"/>
          <w:sz w:val="24"/>
          <w:szCs w:val="24"/>
        </w:rPr>
        <w:t xml:space="preserve"> clinical diagnosis</w:t>
      </w:r>
    </w:p>
    <w:p w14:paraId="3ADB6C27" w14:textId="77777777" w:rsidR="00B038AF" w:rsidRDefault="00000000">
      <w:pPr>
        <w:spacing w:after="130" w:line="280" w:lineRule="auto"/>
      </w:pPr>
      <w:r>
        <w:t>Preeclampsia is diagnosed using a combination of blood pressure measurements and evidence of proteinuria and/or maternal organ involvement. The basic clinical framework is: new-onset hypertension after 20 weeks + proteinuria OR qualifying maternal organ dysfunction [1]. Therefore, hypertension is essential to the standard diagnostic framework, but proteinuria is not always required.</w:t>
      </w:r>
    </w:p>
    <w:p w14:paraId="0ED0F9C6" w14:textId="77777777" w:rsidR="00B038AF" w:rsidRDefault="00000000">
      <w:pPr>
        <w:spacing w:before="230" w:after="90"/>
      </w:pPr>
      <w:proofErr w:type="gramStart"/>
      <w:r>
        <w:rPr>
          <w:b/>
          <w:bCs/>
          <w:color w:val="6B5780"/>
          <w:sz w:val="21"/>
          <w:szCs w:val="21"/>
        </w:rPr>
        <w:t>1.5.1  Blood</w:t>
      </w:r>
      <w:proofErr w:type="gramEnd"/>
      <w:r>
        <w:rPr>
          <w:b/>
          <w:bCs/>
          <w:color w:val="6B5780"/>
          <w:sz w:val="21"/>
          <w:szCs w:val="21"/>
        </w:rPr>
        <w:t xml:space="preserve"> pressure criteria</w:t>
      </w:r>
    </w:p>
    <w:p w14:paraId="020AE019" w14:textId="77777777" w:rsidR="00B038AF" w:rsidRDefault="00000000">
      <w:pPr>
        <w:spacing w:after="130" w:line="280" w:lineRule="auto"/>
      </w:pPr>
      <w:r>
        <w:t>New-onset hypertension means that blood pressure becomes abnormal after 20 weeks of pregnancy in a woman who was previously normotensive.</w:t>
      </w:r>
    </w:p>
    <w:p w14:paraId="7643D746" w14:textId="77777777" w:rsidR="00B038AF" w:rsidRDefault="00000000">
      <w:pPr>
        <w:spacing w:after="80" w:line="270" w:lineRule="auto"/>
        <w:ind w:left="340" w:hanging="200"/>
      </w:pPr>
      <w:r>
        <w:rPr>
          <w:color w:val="A796B5"/>
        </w:rPr>
        <w:t xml:space="preserve">•   </w:t>
      </w:r>
      <w:r>
        <w:t>Systolic blood pressure ≥140 mmHg — the upper number, representing arterial pressure when the heart contracts.</w:t>
      </w:r>
    </w:p>
    <w:p w14:paraId="23A6A17A" w14:textId="77777777" w:rsidR="00B038AF" w:rsidRDefault="00000000">
      <w:pPr>
        <w:spacing w:after="80" w:line="270" w:lineRule="auto"/>
        <w:ind w:left="340" w:hanging="200"/>
      </w:pPr>
      <w:r>
        <w:rPr>
          <w:color w:val="A796B5"/>
        </w:rPr>
        <w:t xml:space="preserve">•   </w:t>
      </w:r>
      <w:r>
        <w:t>Diastolic blood pressure ≥90 mmHg — the lower number, representing arterial pressure between heartbeats.</w:t>
      </w:r>
    </w:p>
    <w:p w14:paraId="4A8D9844" w14:textId="77777777" w:rsidR="00B038AF" w:rsidRDefault="00B038AF">
      <w:pPr>
        <w:spacing w:after="90"/>
      </w:pPr>
    </w:p>
    <w:p w14:paraId="35174577" w14:textId="77777777" w:rsidR="00B038AF" w:rsidRDefault="00000000">
      <w:pPr>
        <w:spacing w:after="80" w:line="270" w:lineRule="auto"/>
        <w:ind w:left="340" w:hanging="200"/>
      </w:pPr>
      <w:r>
        <w:rPr>
          <w:color w:val="A796B5"/>
        </w:rPr>
        <w:t xml:space="preserve">•   </w:t>
      </w:r>
      <w:r>
        <w:t>Systolic ≥140 mmHg or diastolic ≥90 mmHg = hypertension.</w:t>
      </w:r>
    </w:p>
    <w:p w14:paraId="58D0BB1F" w14:textId="77777777" w:rsidR="00B038AF" w:rsidRDefault="00000000">
      <w:pPr>
        <w:spacing w:after="80" w:line="270" w:lineRule="auto"/>
        <w:ind w:left="340" w:hanging="200"/>
      </w:pPr>
      <w:r>
        <w:rPr>
          <w:color w:val="A796B5"/>
        </w:rPr>
        <w:t xml:space="preserve">•   </w:t>
      </w:r>
      <w:r>
        <w:t>Systolic ≥160 mmHg or diastolic ≥110 mmHg = severe-range hypertension.</w:t>
      </w:r>
    </w:p>
    <w:p w14:paraId="5AA78CBF" w14:textId="77777777" w:rsidR="00B038AF" w:rsidRDefault="00B038AF">
      <w:pPr>
        <w:spacing w:after="90"/>
      </w:pPr>
    </w:p>
    <w:p w14:paraId="68CF5839" w14:textId="77777777" w:rsidR="00B038AF" w:rsidRDefault="00000000">
      <w:pPr>
        <w:spacing w:after="130" w:line="280" w:lineRule="auto"/>
      </w:pPr>
      <w:r>
        <w:t>Either value crossing its threshold is sufficient; both do not need to be elevated. Hypertension identified before 20 weeks is more consistent with chronic or pre-existing hypertension, although the woman’s history and clinical context must be considered.</w:t>
      </w:r>
    </w:p>
    <w:p w14:paraId="75785E91" w14:textId="77777777" w:rsidR="00B038AF" w:rsidRDefault="00000000">
      <w:pPr>
        <w:spacing w:after="130" w:line="280" w:lineRule="auto"/>
      </w:pPr>
      <w:r>
        <w:t>Ordinarily, an abnormal blood pressure is confirmed on two measurements at least 4 hours apart [1]. This is important because blood pressure can temporarily change because of factors such as anxiety, pain, physical activity, bladder fullness, incorrect cuff size, or white-coat effects.</w:t>
      </w:r>
    </w:p>
    <w:p w14:paraId="25D0D50B" w14:textId="77777777" w:rsidR="00B038AF" w:rsidRDefault="00000000">
      <w:pPr>
        <w:spacing w:after="130" w:line="280" w:lineRule="auto"/>
      </w:pPr>
      <w:r>
        <w:t>An important ACOG distinction: if a woman has gestational hypertension and develops severe-range blood pressure, she is diagnosed and managed as having preeclampsia with severe features, even without proteinuria or another severe feature [1].</w:t>
      </w:r>
    </w:p>
    <w:p w14:paraId="5789BDEB" w14:textId="77777777" w:rsidR="00B038AF" w:rsidRDefault="00000000">
      <w:pPr>
        <w:spacing w:after="130" w:line="280" w:lineRule="auto"/>
      </w:pPr>
      <w:r>
        <w:t>Severe-range blood pressure is particularly important because very high blood pressure creates an immediate maternal risk, including increased risk of stroke. Unlike ordinary hypertension, it can be confirmed within a short interval so that treatment is not delayed.</w:t>
      </w:r>
    </w:p>
    <w:p w14:paraId="5A47BFAE" w14:textId="77777777" w:rsidR="00B038AF" w:rsidRDefault="00000000">
      <w:pPr>
        <w:spacing w:after="130" w:line="280" w:lineRule="auto"/>
      </w:pPr>
      <w:r>
        <w:lastRenderedPageBreak/>
        <w:t>Blood pressure is one of the most important routinely measurable signs used to identify and monitor hypertensive disorders during pregnancy. It can help detect abnormal changes even when a woman has no obvious symptoms.</w:t>
      </w:r>
    </w:p>
    <w:p w14:paraId="0D9151DA" w14:textId="77777777" w:rsidR="00B038AF" w:rsidRDefault="00000000">
      <w:pPr>
        <w:spacing w:after="130" w:line="280" w:lineRule="auto"/>
      </w:pPr>
      <w:r>
        <w:t>Because high blood pressure in pregnancy has several different causes, and they are not the same illness:</w:t>
      </w:r>
    </w:p>
    <w:p w14:paraId="1AFDD14B" w14:textId="77777777" w:rsidR="00B038AF" w:rsidRDefault="00000000">
      <w:pPr>
        <w:spacing w:after="80" w:line="270" w:lineRule="auto"/>
        <w:ind w:left="340" w:hanging="200"/>
      </w:pPr>
      <w:r>
        <w:rPr>
          <w:color w:val="A796B5"/>
        </w:rPr>
        <w:t xml:space="preserve">•   </w:t>
      </w:r>
      <w:r>
        <w:t>A woman can have had high blood pressure before she was pregnant (chronic hypertension).</w:t>
      </w:r>
    </w:p>
    <w:p w14:paraId="1652ED76" w14:textId="77777777" w:rsidR="00B038AF" w:rsidRDefault="00000000">
      <w:pPr>
        <w:spacing w:after="80" w:line="270" w:lineRule="auto"/>
        <w:ind w:left="340" w:hanging="200"/>
      </w:pPr>
      <w:r>
        <w:rPr>
          <w:color w:val="A796B5"/>
        </w:rPr>
        <w:t xml:space="preserve">•   </w:t>
      </w:r>
      <w:r>
        <w:t>She can develop high blood pressure during pregnancy with nothing else wrong (gestational hypertension).</w:t>
      </w:r>
    </w:p>
    <w:p w14:paraId="066C78B9" w14:textId="77777777" w:rsidR="00B038AF" w:rsidRDefault="00000000">
      <w:pPr>
        <w:spacing w:after="80" w:line="270" w:lineRule="auto"/>
        <w:ind w:left="340" w:hanging="200"/>
      </w:pPr>
      <w:r>
        <w:rPr>
          <w:color w:val="A796B5"/>
        </w:rPr>
        <w:t xml:space="preserve">•   </w:t>
      </w:r>
      <w:r>
        <w:t>Or she can develop high blood pressure plus evidence that her organs are being affected — that is preeclampsia.</w:t>
      </w:r>
    </w:p>
    <w:p w14:paraId="0A60152C" w14:textId="77777777" w:rsidR="00B038AF" w:rsidRDefault="00B038AF">
      <w:pPr>
        <w:spacing w:after="90"/>
      </w:pPr>
    </w:p>
    <w:tbl>
      <w:tblPr>
        <w:tblW w:w="9020" w:type="dxa"/>
        <w:tblCellMar>
          <w:left w:w="10" w:type="dxa"/>
          <w:right w:w="10" w:type="dxa"/>
        </w:tblCellMar>
        <w:tblLook w:val="04A0" w:firstRow="1" w:lastRow="0" w:firstColumn="1" w:lastColumn="0" w:noHBand="0" w:noVBand="1"/>
      </w:tblPr>
      <w:tblGrid>
        <w:gridCol w:w="9020"/>
      </w:tblGrid>
      <w:tr w:rsidR="00B038AF" w14:paraId="0CC16D3A" w14:textId="77777777">
        <w:tblPrEx>
          <w:tblCellMar>
            <w:top w:w="0" w:type="dxa"/>
            <w:bottom w:w="0" w:type="dxa"/>
          </w:tblCellMar>
        </w:tblPrEx>
        <w:trPr>
          <w:cantSplit/>
        </w:trPr>
        <w:tc>
          <w:tcPr>
            <w:tcW w:w="9020" w:type="dxa"/>
            <w:tcBorders>
              <w:left w:val="single" w:sz="28" w:space="0" w:color="3B2F45"/>
            </w:tcBorders>
            <w:shd w:val="clear" w:color="auto" w:fill="EFE7EC"/>
            <w:tcMar>
              <w:top w:w="200" w:type="dxa"/>
              <w:left w:w="260" w:type="dxa"/>
              <w:bottom w:w="200" w:type="dxa"/>
              <w:right w:w="240" w:type="dxa"/>
            </w:tcMar>
          </w:tcPr>
          <w:p w14:paraId="2318E2CC" w14:textId="77777777" w:rsidR="00B038AF" w:rsidRDefault="00000000">
            <w:pPr>
              <w:spacing w:line="285" w:lineRule="auto"/>
            </w:pPr>
            <w:r>
              <w:rPr>
                <w:b/>
                <w:bCs/>
              </w:rPr>
              <w:t>Two women can have identical blood pressure readings and have completely different conditions with completely different risks.</w:t>
            </w:r>
          </w:p>
        </w:tc>
      </w:tr>
    </w:tbl>
    <w:p w14:paraId="7387F7A0" w14:textId="77777777" w:rsidR="00B038AF" w:rsidRDefault="00B038AF">
      <w:pPr>
        <w:spacing w:after="140"/>
      </w:pPr>
    </w:p>
    <w:p w14:paraId="42339FC0" w14:textId="77777777" w:rsidR="00B038AF" w:rsidRDefault="00000000">
      <w:pPr>
        <w:spacing w:before="230" w:after="90"/>
      </w:pPr>
      <w:proofErr w:type="gramStart"/>
      <w:r>
        <w:rPr>
          <w:b/>
          <w:bCs/>
          <w:color w:val="6B5780"/>
          <w:sz w:val="21"/>
          <w:szCs w:val="21"/>
        </w:rPr>
        <w:t>1.5.2  Proteinuria</w:t>
      </w:r>
      <w:proofErr w:type="gramEnd"/>
      <w:r>
        <w:rPr>
          <w:b/>
          <w:bCs/>
          <w:color w:val="6B5780"/>
          <w:sz w:val="21"/>
          <w:szCs w:val="21"/>
        </w:rPr>
        <w:t xml:space="preserve"> criteria</w:t>
      </w:r>
    </w:p>
    <w:p w14:paraId="51844E82" w14:textId="77777777" w:rsidR="00B038AF" w:rsidRDefault="00000000">
      <w:pPr>
        <w:spacing w:after="130" w:line="280" w:lineRule="auto"/>
      </w:pPr>
      <w:r>
        <w:t>Proteinuria means protein is present in the urine. In preeclampsia, it reflects kidney involvement, as damage to the kidney’s filtering system allows protein to leak into the urine.</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3600"/>
        <w:gridCol w:w="5420"/>
      </w:tblGrid>
      <w:tr w:rsidR="00B038AF" w14:paraId="3D5A2A35" w14:textId="77777777">
        <w:tblPrEx>
          <w:tblCellMar>
            <w:top w:w="0" w:type="dxa"/>
            <w:bottom w:w="0" w:type="dxa"/>
          </w:tblCellMar>
        </w:tblPrEx>
        <w:trPr>
          <w:cantSplit/>
          <w:tblHeader/>
        </w:trPr>
        <w:tc>
          <w:tcPr>
            <w:tcW w:w="3600" w:type="dxa"/>
            <w:shd w:val="clear" w:color="auto" w:fill="EFE7EC"/>
            <w:tcMar>
              <w:top w:w="90" w:type="dxa"/>
              <w:left w:w="120" w:type="dxa"/>
              <w:bottom w:w="90" w:type="dxa"/>
              <w:right w:w="120" w:type="dxa"/>
            </w:tcMar>
          </w:tcPr>
          <w:p w14:paraId="5BC4AF2F" w14:textId="77777777" w:rsidR="00B038AF" w:rsidRDefault="00000000">
            <w:pPr>
              <w:spacing w:line="250" w:lineRule="auto"/>
            </w:pPr>
            <w:r>
              <w:rPr>
                <w:b/>
                <w:bCs/>
                <w:color w:val="261E2D"/>
                <w:sz w:val="17"/>
                <w:szCs w:val="17"/>
              </w:rPr>
              <w:t>Method</w:t>
            </w:r>
          </w:p>
        </w:tc>
        <w:tc>
          <w:tcPr>
            <w:tcW w:w="5420" w:type="dxa"/>
            <w:shd w:val="clear" w:color="auto" w:fill="EFE7EC"/>
            <w:tcMar>
              <w:top w:w="90" w:type="dxa"/>
              <w:left w:w="120" w:type="dxa"/>
              <w:bottom w:w="90" w:type="dxa"/>
              <w:right w:w="120" w:type="dxa"/>
            </w:tcMar>
          </w:tcPr>
          <w:p w14:paraId="238195BD" w14:textId="77777777" w:rsidR="00B038AF" w:rsidRDefault="00000000">
            <w:pPr>
              <w:spacing w:line="250" w:lineRule="auto"/>
            </w:pPr>
            <w:r>
              <w:rPr>
                <w:b/>
                <w:bCs/>
                <w:color w:val="261E2D"/>
                <w:sz w:val="17"/>
                <w:szCs w:val="17"/>
              </w:rPr>
              <w:t>Diagnostic threshold</w:t>
            </w:r>
          </w:p>
        </w:tc>
      </w:tr>
      <w:tr w:rsidR="00B038AF" w14:paraId="64952F98" w14:textId="77777777">
        <w:tblPrEx>
          <w:tblCellMar>
            <w:top w:w="0" w:type="dxa"/>
            <w:bottom w:w="0" w:type="dxa"/>
          </w:tblCellMar>
        </w:tblPrEx>
        <w:trPr>
          <w:cantSplit/>
        </w:trPr>
        <w:tc>
          <w:tcPr>
            <w:tcW w:w="3600" w:type="dxa"/>
            <w:tcMar>
              <w:top w:w="90" w:type="dxa"/>
              <w:left w:w="120" w:type="dxa"/>
              <w:bottom w:w="90" w:type="dxa"/>
              <w:right w:w="120" w:type="dxa"/>
            </w:tcMar>
          </w:tcPr>
          <w:p w14:paraId="47121616" w14:textId="77777777" w:rsidR="00B038AF" w:rsidRDefault="00000000">
            <w:pPr>
              <w:spacing w:line="250" w:lineRule="auto"/>
            </w:pPr>
            <w:r>
              <w:rPr>
                <w:b/>
                <w:bCs/>
                <w:sz w:val="17"/>
                <w:szCs w:val="17"/>
              </w:rPr>
              <w:t>24-hour urine collection</w:t>
            </w:r>
          </w:p>
        </w:tc>
        <w:tc>
          <w:tcPr>
            <w:tcW w:w="5420" w:type="dxa"/>
            <w:tcMar>
              <w:top w:w="90" w:type="dxa"/>
              <w:left w:w="120" w:type="dxa"/>
              <w:bottom w:w="90" w:type="dxa"/>
              <w:right w:w="120" w:type="dxa"/>
            </w:tcMar>
          </w:tcPr>
          <w:p w14:paraId="1BE613E0" w14:textId="77777777" w:rsidR="00B038AF" w:rsidRDefault="00000000">
            <w:pPr>
              <w:spacing w:line="250" w:lineRule="auto"/>
            </w:pPr>
            <w:r>
              <w:rPr>
                <w:sz w:val="17"/>
                <w:szCs w:val="17"/>
              </w:rPr>
              <w:t>≥300 mg per 24 hours</w:t>
            </w:r>
          </w:p>
        </w:tc>
      </w:tr>
      <w:tr w:rsidR="00B038AF" w14:paraId="58EF10FF" w14:textId="77777777">
        <w:tblPrEx>
          <w:tblCellMar>
            <w:top w:w="0" w:type="dxa"/>
            <w:bottom w:w="0" w:type="dxa"/>
          </w:tblCellMar>
        </w:tblPrEx>
        <w:trPr>
          <w:cantSplit/>
        </w:trPr>
        <w:tc>
          <w:tcPr>
            <w:tcW w:w="3600" w:type="dxa"/>
            <w:shd w:val="clear" w:color="auto" w:fill="FAF8F9"/>
            <w:tcMar>
              <w:top w:w="90" w:type="dxa"/>
              <w:left w:w="120" w:type="dxa"/>
              <w:bottom w:w="90" w:type="dxa"/>
              <w:right w:w="120" w:type="dxa"/>
            </w:tcMar>
          </w:tcPr>
          <w:p w14:paraId="4A4FD567" w14:textId="77777777" w:rsidR="00B038AF" w:rsidRDefault="00000000">
            <w:pPr>
              <w:spacing w:line="250" w:lineRule="auto"/>
            </w:pPr>
            <w:r>
              <w:rPr>
                <w:b/>
                <w:bCs/>
                <w:sz w:val="17"/>
                <w:szCs w:val="17"/>
              </w:rPr>
              <w:t>Protein-to-creatinine ratio (PCR)</w:t>
            </w:r>
          </w:p>
        </w:tc>
        <w:tc>
          <w:tcPr>
            <w:tcW w:w="5420" w:type="dxa"/>
            <w:shd w:val="clear" w:color="auto" w:fill="FAF8F9"/>
            <w:tcMar>
              <w:top w:w="90" w:type="dxa"/>
              <w:left w:w="120" w:type="dxa"/>
              <w:bottom w:w="90" w:type="dxa"/>
              <w:right w:w="120" w:type="dxa"/>
            </w:tcMar>
          </w:tcPr>
          <w:p w14:paraId="73BA9B91" w14:textId="77777777" w:rsidR="00B038AF" w:rsidRDefault="00000000">
            <w:pPr>
              <w:spacing w:line="250" w:lineRule="auto"/>
            </w:pPr>
            <w:r>
              <w:rPr>
                <w:sz w:val="17"/>
                <w:szCs w:val="17"/>
              </w:rPr>
              <w:t>≥0.3</w:t>
            </w:r>
          </w:p>
        </w:tc>
      </w:tr>
      <w:tr w:rsidR="00B038AF" w14:paraId="18E1CC0B" w14:textId="77777777">
        <w:tblPrEx>
          <w:tblCellMar>
            <w:top w:w="0" w:type="dxa"/>
            <w:bottom w:w="0" w:type="dxa"/>
          </w:tblCellMar>
        </w:tblPrEx>
        <w:trPr>
          <w:cantSplit/>
        </w:trPr>
        <w:tc>
          <w:tcPr>
            <w:tcW w:w="3600" w:type="dxa"/>
            <w:tcMar>
              <w:top w:w="90" w:type="dxa"/>
              <w:left w:w="120" w:type="dxa"/>
              <w:bottom w:w="90" w:type="dxa"/>
              <w:right w:w="120" w:type="dxa"/>
            </w:tcMar>
          </w:tcPr>
          <w:p w14:paraId="666BE246" w14:textId="77777777" w:rsidR="00B038AF" w:rsidRDefault="00000000">
            <w:pPr>
              <w:spacing w:line="250" w:lineRule="auto"/>
            </w:pPr>
            <w:r>
              <w:rPr>
                <w:b/>
                <w:bCs/>
                <w:sz w:val="17"/>
                <w:szCs w:val="17"/>
              </w:rPr>
              <w:t>Urine dipstick</w:t>
            </w:r>
          </w:p>
        </w:tc>
        <w:tc>
          <w:tcPr>
            <w:tcW w:w="5420" w:type="dxa"/>
            <w:tcMar>
              <w:top w:w="90" w:type="dxa"/>
              <w:left w:w="120" w:type="dxa"/>
              <w:bottom w:w="90" w:type="dxa"/>
              <w:right w:w="120" w:type="dxa"/>
            </w:tcMar>
          </w:tcPr>
          <w:p w14:paraId="53D476E3" w14:textId="77777777" w:rsidR="00B038AF" w:rsidRDefault="00000000">
            <w:pPr>
              <w:spacing w:line="250" w:lineRule="auto"/>
            </w:pPr>
            <w:r>
              <w:rPr>
                <w:sz w:val="17"/>
                <w:szCs w:val="17"/>
              </w:rPr>
              <w:t>2+ when quantitative methods are unavailable</w:t>
            </w:r>
          </w:p>
        </w:tc>
      </w:tr>
    </w:tbl>
    <w:p w14:paraId="295D72DA" w14:textId="77777777" w:rsidR="00B038AF" w:rsidRDefault="00B038AF">
      <w:pPr>
        <w:spacing w:after="140"/>
      </w:pPr>
    </w:p>
    <w:p w14:paraId="010BD929" w14:textId="77777777" w:rsidR="00B038AF" w:rsidRDefault="00000000">
      <w:pPr>
        <w:spacing w:before="230" w:after="90"/>
      </w:pPr>
      <w:proofErr w:type="gramStart"/>
      <w:r>
        <w:rPr>
          <w:b/>
          <w:bCs/>
          <w:color w:val="6B5780"/>
          <w:sz w:val="21"/>
          <w:szCs w:val="21"/>
        </w:rPr>
        <w:t>1.5.3  Preeclampsia</w:t>
      </w:r>
      <w:proofErr w:type="gramEnd"/>
      <w:r>
        <w:rPr>
          <w:b/>
          <w:bCs/>
          <w:color w:val="6B5780"/>
          <w:sz w:val="21"/>
          <w:szCs w:val="21"/>
        </w:rPr>
        <w:t xml:space="preserve"> without proteinuria</w:t>
      </w:r>
    </w:p>
    <w:p w14:paraId="3E96A3B4" w14:textId="77777777" w:rsidR="00B038AF" w:rsidRDefault="00000000">
      <w:pPr>
        <w:spacing w:after="130" w:line="280" w:lineRule="auto"/>
      </w:pPr>
      <w:r>
        <w:t>A major point in the modern definition is that proteinuria is not required in every case of preeclampsia [1].</w:t>
      </w:r>
    </w:p>
    <w:p w14:paraId="341317DE" w14:textId="77777777" w:rsidR="00B038AF" w:rsidRDefault="00000000">
      <w:pPr>
        <w:spacing w:after="130" w:line="280" w:lineRule="auto"/>
      </w:pPr>
      <w:r>
        <w:t>A woman with new-onset hypertension after 20 weeks can meet criteria for preeclampsia without proteinuria when qualifying new maternal organ dysfunction is present. Qualifying findings include:</w:t>
      </w:r>
    </w:p>
    <w:p w14:paraId="5B877F08" w14:textId="77777777" w:rsidR="00B038AF" w:rsidRDefault="00000000">
      <w:pPr>
        <w:spacing w:after="80" w:line="270" w:lineRule="auto"/>
        <w:ind w:left="340" w:hanging="200"/>
      </w:pPr>
      <w:r>
        <w:rPr>
          <w:color w:val="A796B5"/>
        </w:rPr>
        <w:t xml:space="preserve">•   </w:t>
      </w:r>
      <w:r>
        <w:t>Thrombocytopenia: platelet count &lt;100,000/µL. Falling platelets indicate involvement of the blood/clotting system.</w:t>
      </w:r>
    </w:p>
    <w:p w14:paraId="78213882" w14:textId="77777777" w:rsidR="00B038AF" w:rsidRDefault="00000000">
      <w:pPr>
        <w:spacing w:after="80" w:line="270" w:lineRule="auto"/>
        <w:ind w:left="340" w:hanging="200"/>
      </w:pPr>
      <w:r>
        <w:rPr>
          <w:color w:val="A796B5"/>
        </w:rPr>
        <w:t xml:space="preserve">•   </w:t>
      </w:r>
      <w:r>
        <w:t>Renal insufficiency: serum creatinine &gt;1.1 mg/dL or doubling of the woman’s baseline in the absence of other renal disease. The “doubling of baseline” criterion is important because a clinically meaningful decline in kidney function may occur even while the absolute creatinine value remains below 1.1 mg/dL.</w:t>
      </w:r>
    </w:p>
    <w:p w14:paraId="2D81D4EE" w14:textId="77777777" w:rsidR="00B038AF" w:rsidRDefault="00000000">
      <w:pPr>
        <w:spacing w:after="80" w:line="270" w:lineRule="auto"/>
        <w:ind w:left="340" w:hanging="200"/>
      </w:pPr>
      <w:r>
        <w:rPr>
          <w:color w:val="A796B5"/>
        </w:rPr>
        <w:t xml:space="preserve">•   </w:t>
      </w:r>
      <w:r>
        <w:t>Impaired liver function: liver transaminases ≥2× the upper limit of normal and/or severe persistent right-upper-quadrant or epigastric pain that is not otherwise explained.</w:t>
      </w:r>
    </w:p>
    <w:p w14:paraId="68D2721E" w14:textId="77777777" w:rsidR="00B038AF" w:rsidRDefault="00000000">
      <w:pPr>
        <w:spacing w:after="80" w:line="270" w:lineRule="auto"/>
        <w:ind w:left="340" w:hanging="200"/>
      </w:pPr>
      <w:r>
        <w:rPr>
          <w:color w:val="A796B5"/>
        </w:rPr>
        <w:t xml:space="preserve">•   </w:t>
      </w:r>
      <w:r>
        <w:t>Pulmonary edema: fluid accumulation in the lungs that can impair breathing and oxygenation.</w:t>
      </w:r>
    </w:p>
    <w:p w14:paraId="6C70E9EC" w14:textId="77777777" w:rsidR="00B038AF" w:rsidRDefault="00000000">
      <w:pPr>
        <w:spacing w:after="80" w:line="270" w:lineRule="auto"/>
        <w:ind w:left="340" w:hanging="200"/>
      </w:pPr>
      <w:r>
        <w:rPr>
          <w:color w:val="A796B5"/>
        </w:rPr>
        <w:t xml:space="preserve">•   </w:t>
      </w:r>
      <w:r>
        <w:t>Neurological or visual features: new-onset headache that is unresponsive to medication and not explained by another diagnosis, or visual symptoms not explained by another diagnosis.</w:t>
      </w:r>
    </w:p>
    <w:p w14:paraId="42CAFAB2" w14:textId="77777777" w:rsidR="00B038AF" w:rsidRDefault="00B038AF">
      <w:pPr>
        <w:spacing w:after="90"/>
      </w:pPr>
    </w:p>
    <w:p w14:paraId="0000512A" w14:textId="77777777" w:rsidR="00B038AF" w:rsidRDefault="00000000">
      <w:pPr>
        <w:spacing w:after="130" w:line="280" w:lineRule="auto"/>
      </w:pPr>
      <w:r>
        <w:t>This is important because clinically significant preeclampsia can occur with little or no proteinuria.</w:t>
      </w:r>
    </w:p>
    <w:p w14:paraId="27366B36" w14:textId="77777777" w:rsidR="00B038AF" w:rsidRDefault="00000000">
      <w:pPr>
        <w:spacing w:before="230" w:after="90"/>
      </w:pPr>
      <w:proofErr w:type="gramStart"/>
      <w:r>
        <w:rPr>
          <w:b/>
          <w:bCs/>
          <w:color w:val="6B5780"/>
          <w:sz w:val="21"/>
          <w:szCs w:val="21"/>
        </w:rPr>
        <w:t>1.5.4  The</w:t>
      </w:r>
      <w:proofErr w:type="gramEnd"/>
      <w:r>
        <w:rPr>
          <w:b/>
          <w:bCs/>
          <w:color w:val="6B5780"/>
          <w:sz w:val="21"/>
          <w:szCs w:val="21"/>
        </w:rPr>
        <w:t xml:space="preserve"> diagnostic logic</w:t>
      </w:r>
    </w:p>
    <w:p w14:paraId="6DBBBDDF" w14:textId="77777777" w:rsidR="00B038AF" w:rsidRDefault="00000000">
      <w:pPr>
        <w:spacing w:after="80" w:line="270" w:lineRule="auto"/>
        <w:ind w:left="400" w:hanging="260"/>
      </w:pPr>
      <w:r>
        <w:rPr>
          <w:b/>
          <w:bCs/>
          <w:color w:val="6B5780"/>
        </w:rPr>
        <w:t xml:space="preserve">1.   </w:t>
      </w:r>
      <w:r>
        <w:t>Is there new-onset hypertension after 20 weeks?</w:t>
      </w:r>
    </w:p>
    <w:p w14:paraId="56701809" w14:textId="77777777" w:rsidR="00B038AF" w:rsidRDefault="00000000">
      <w:pPr>
        <w:spacing w:after="80" w:line="270" w:lineRule="auto"/>
        <w:ind w:left="400" w:hanging="260"/>
      </w:pPr>
      <w:r>
        <w:rPr>
          <w:b/>
          <w:bCs/>
          <w:color w:val="6B5780"/>
        </w:rPr>
        <w:t xml:space="preserve">2.   </w:t>
      </w:r>
      <w:r>
        <w:t>If yes, is proteinuria present?</w:t>
      </w:r>
    </w:p>
    <w:p w14:paraId="2556ED35" w14:textId="77777777" w:rsidR="00B038AF" w:rsidRDefault="00000000">
      <w:pPr>
        <w:spacing w:after="80" w:line="270" w:lineRule="auto"/>
        <w:ind w:left="400" w:hanging="260"/>
      </w:pPr>
      <w:r>
        <w:rPr>
          <w:b/>
          <w:bCs/>
          <w:color w:val="6B5780"/>
        </w:rPr>
        <w:t xml:space="preserve">3.   </w:t>
      </w:r>
      <w:r>
        <w:t>If proteinuria is absent, is qualifying maternal organ dysfunction present?</w:t>
      </w:r>
    </w:p>
    <w:p w14:paraId="12D6DF3A" w14:textId="77777777" w:rsidR="00B038AF" w:rsidRDefault="00B038AF">
      <w:pPr>
        <w:spacing w:after="90"/>
      </w:pPr>
    </w:p>
    <w:p w14:paraId="583E66CC" w14:textId="77777777" w:rsidR="00B038AF" w:rsidRDefault="00000000">
      <w:pPr>
        <w:spacing w:after="130" w:line="280" w:lineRule="auto"/>
      </w:pPr>
      <w:r>
        <w:t>If the required accompanying findings are present, the clinical framework for preeclampsia can be met.</w:t>
      </w:r>
    </w:p>
    <w:tbl>
      <w:tblPr>
        <w:tblW w:w="9020" w:type="dxa"/>
        <w:tblCellMar>
          <w:left w:w="10" w:type="dxa"/>
          <w:right w:w="10" w:type="dxa"/>
        </w:tblCellMar>
        <w:tblLook w:val="04A0" w:firstRow="1" w:lastRow="0" w:firstColumn="1" w:lastColumn="0" w:noHBand="0" w:noVBand="1"/>
      </w:tblPr>
      <w:tblGrid>
        <w:gridCol w:w="9020"/>
      </w:tblGrid>
      <w:tr w:rsidR="00B038AF" w14:paraId="5FFA12E3" w14:textId="77777777">
        <w:tblPrEx>
          <w:tblCellMar>
            <w:top w:w="0" w:type="dxa"/>
            <w:bottom w:w="0" w:type="dxa"/>
          </w:tblCellMar>
        </w:tblPrEx>
        <w:trPr>
          <w:cantSplit/>
        </w:trPr>
        <w:tc>
          <w:tcPr>
            <w:tcW w:w="9020" w:type="dxa"/>
            <w:tcBorders>
              <w:left w:val="single" w:sz="28" w:space="0" w:color="3B2F45"/>
            </w:tcBorders>
            <w:shd w:val="clear" w:color="auto" w:fill="EFE7EC"/>
            <w:tcMar>
              <w:top w:w="200" w:type="dxa"/>
              <w:left w:w="260" w:type="dxa"/>
              <w:bottom w:w="200" w:type="dxa"/>
              <w:right w:w="240" w:type="dxa"/>
            </w:tcMar>
          </w:tcPr>
          <w:p w14:paraId="6CFA78D2" w14:textId="77777777" w:rsidR="00B038AF" w:rsidRDefault="00000000">
            <w:pPr>
              <w:spacing w:line="285" w:lineRule="auto"/>
            </w:pPr>
            <w:r>
              <w:rPr>
                <w:b/>
                <w:bCs/>
              </w:rPr>
              <w:t>Key principle: Preeclampsia is not defined by blood pressure alone, and it is not defined by proteinuria alone. The diagnosis depends on the combination of hypertension with the appropriate accompanying clinical findings.</w:t>
            </w:r>
          </w:p>
        </w:tc>
      </w:tr>
    </w:tbl>
    <w:p w14:paraId="17B37F62" w14:textId="77777777" w:rsidR="00B038AF" w:rsidRDefault="00B038AF">
      <w:pPr>
        <w:spacing w:after="140"/>
      </w:pPr>
    </w:p>
    <w:p w14:paraId="5C2AA22D" w14:textId="77777777" w:rsidR="00B038AF" w:rsidRDefault="00000000">
      <w:pPr>
        <w:spacing w:before="300" w:after="110"/>
      </w:pPr>
      <w:proofErr w:type="gramStart"/>
      <w:r>
        <w:rPr>
          <w:b/>
          <w:bCs/>
          <w:color w:val="3B2F45"/>
          <w:sz w:val="24"/>
          <w:szCs w:val="24"/>
        </w:rPr>
        <w:t>1.6  Distinguishing</w:t>
      </w:r>
      <w:proofErr w:type="gramEnd"/>
      <w:r>
        <w:rPr>
          <w:b/>
          <w:bCs/>
          <w:color w:val="3B2F45"/>
          <w:sz w:val="24"/>
          <w:szCs w:val="24"/>
        </w:rPr>
        <w:t xml:space="preserve"> preeclampsia from other hypertensive conditions</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3200"/>
        <w:gridCol w:w="5820"/>
      </w:tblGrid>
      <w:tr w:rsidR="00B038AF" w14:paraId="2306F608" w14:textId="77777777">
        <w:tblPrEx>
          <w:tblCellMar>
            <w:top w:w="0" w:type="dxa"/>
            <w:bottom w:w="0" w:type="dxa"/>
          </w:tblCellMar>
        </w:tblPrEx>
        <w:trPr>
          <w:cantSplit/>
          <w:tblHeader/>
        </w:trPr>
        <w:tc>
          <w:tcPr>
            <w:tcW w:w="3200" w:type="dxa"/>
            <w:shd w:val="clear" w:color="auto" w:fill="EFE7EC"/>
            <w:tcMar>
              <w:top w:w="90" w:type="dxa"/>
              <w:left w:w="120" w:type="dxa"/>
              <w:bottom w:w="90" w:type="dxa"/>
              <w:right w:w="120" w:type="dxa"/>
            </w:tcMar>
          </w:tcPr>
          <w:p w14:paraId="6A9C6E70" w14:textId="77777777" w:rsidR="00B038AF" w:rsidRDefault="00000000">
            <w:pPr>
              <w:spacing w:line="250" w:lineRule="auto"/>
            </w:pPr>
            <w:r>
              <w:rPr>
                <w:b/>
                <w:bCs/>
                <w:color w:val="261E2D"/>
                <w:sz w:val="17"/>
                <w:szCs w:val="17"/>
              </w:rPr>
              <w:t>Condition</w:t>
            </w:r>
          </w:p>
        </w:tc>
        <w:tc>
          <w:tcPr>
            <w:tcW w:w="5820" w:type="dxa"/>
            <w:shd w:val="clear" w:color="auto" w:fill="EFE7EC"/>
            <w:tcMar>
              <w:top w:w="90" w:type="dxa"/>
              <w:left w:w="120" w:type="dxa"/>
              <w:bottom w:w="90" w:type="dxa"/>
              <w:right w:w="120" w:type="dxa"/>
            </w:tcMar>
          </w:tcPr>
          <w:p w14:paraId="0E45B394" w14:textId="77777777" w:rsidR="00B038AF" w:rsidRDefault="00000000">
            <w:pPr>
              <w:spacing w:line="250" w:lineRule="auto"/>
            </w:pPr>
            <w:r>
              <w:rPr>
                <w:b/>
                <w:bCs/>
                <w:color w:val="261E2D"/>
                <w:sz w:val="17"/>
                <w:szCs w:val="17"/>
              </w:rPr>
              <w:t>Key distinction</w:t>
            </w:r>
          </w:p>
        </w:tc>
      </w:tr>
      <w:tr w:rsidR="00B038AF" w14:paraId="1CB3DA1F" w14:textId="77777777">
        <w:tblPrEx>
          <w:tblCellMar>
            <w:top w:w="0" w:type="dxa"/>
            <w:bottom w:w="0" w:type="dxa"/>
          </w:tblCellMar>
        </w:tblPrEx>
        <w:trPr>
          <w:cantSplit/>
        </w:trPr>
        <w:tc>
          <w:tcPr>
            <w:tcW w:w="3200" w:type="dxa"/>
            <w:tcMar>
              <w:top w:w="90" w:type="dxa"/>
              <w:left w:w="120" w:type="dxa"/>
              <w:bottom w:w="90" w:type="dxa"/>
              <w:right w:w="120" w:type="dxa"/>
            </w:tcMar>
          </w:tcPr>
          <w:p w14:paraId="5D194C66" w14:textId="77777777" w:rsidR="00B038AF" w:rsidRDefault="00000000">
            <w:pPr>
              <w:spacing w:line="250" w:lineRule="auto"/>
            </w:pPr>
            <w:r>
              <w:rPr>
                <w:b/>
                <w:bCs/>
                <w:sz w:val="17"/>
                <w:szCs w:val="17"/>
              </w:rPr>
              <w:t>Chronic hypertension</w:t>
            </w:r>
          </w:p>
        </w:tc>
        <w:tc>
          <w:tcPr>
            <w:tcW w:w="5820" w:type="dxa"/>
            <w:tcMar>
              <w:top w:w="90" w:type="dxa"/>
              <w:left w:w="120" w:type="dxa"/>
              <w:bottom w:w="90" w:type="dxa"/>
              <w:right w:w="120" w:type="dxa"/>
            </w:tcMar>
          </w:tcPr>
          <w:p w14:paraId="2E94C770" w14:textId="77777777" w:rsidR="00B038AF" w:rsidRDefault="00000000">
            <w:pPr>
              <w:spacing w:line="250" w:lineRule="auto"/>
            </w:pPr>
            <w:r>
              <w:rPr>
                <w:sz w:val="17"/>
                <w:szCs w:val="17"/>
              </w:rPr>
              <w:t>Hypertension present before pregnancy or before 20 weeks</w:t>
            </w:r>
          </w:p>
        </w:tc>
      </w:tr>
      <w:tr w:rsidR="00B038AF" w14:paraId="3B5232B9" w14:textId="77777777">
        <w:tblPrEx>
          <w:tblCellMar>
            <w:top w:w="0" w:type="dxa"/>
            <w:bottom w:w="0" w:type="dxa"/>
          </w:tblCellMar>
        </w:tblPrEx>
        <w:trPr>
          <w:cantSplit/>
        </w:trPr>
        <w:tc>
          <w:tcPr>
            <w:tcW w:w="3200" w:type="dxa"/>
            <w:shd w:val="clear" w:color="auto" w:fill="FAF8F9"/>
            <w:tcMar>
              <w:top w:w="90" w:type="dxa"/>
              <w:left w:w="120" w:type="dxa"/>
              <w:bottom w:w="90" w:type="dxa"/>
              <w:right w:w="120" w:type="dxa"/>
            </w:tcMar>
          </w:tcPr>
          <w:p w14:paraId="3AC3A736" w14:textId="77777777" w:rsidR="00B038AF" w:rsidRDefault="00000000">
            <w:pPr>
              <w:spacing w:line="250" w:lineRule="auto"/>
            </w:pPr>
            <w:r>
              <w:rPr>
                <w:b/>
                <w:bCs/>
                <w:sz w:val="17"/>
                <w:szCs w:val="17"/>
              </w:rPr>
              <w:t>Gestational hypertension</w:t>
            </w:r>
          </w:p>
        </w:tc>
        <w:tc>
          <w:tcPr>
            <w:tcW w:w="5820" w:type="dxa"/>
            <w:shd w:val="clear" w:color="auto" w:fill="FAF8F9"/>
            <w:tcMar>
              <w:top w:w="90" w:type="dxa"/>
              <w:left w:w="120" w:type="dxa"/>
              <w:bottom w:w="90" w:type="dxa"/>
              <w:right w:w="120" w:type="dxa"/>
            </w:tcMar>
          </w:tcPr>
          <w:p w14:paraId="7EF2952F" w14:textId="77777777" w:rsidR="00B038AF" w:rsidRDefault="00000000">
            <w:pPr>
              <w:spacing w:line="250" w:lineRule="auto"/>
            </w:pPr>
            <w:r>
              <w:rPr>
                <w:sz w:val="17"/>
                <w:szCs w:val="17"/>
              </w:rPr>
              <w:t>New hypertension after 20 weeks without proteinuria or qualifying organ dysfunction</w:t>
            </w:r>
          </w:p>
        </w:tc>
      </w:tr>
      <w:tr w:rsidR="00B038AF" w14:paraId="0DCDEC52" w14:textId="77777777">
        <w:tblPrEx>
          <w:tblCellMar>
            <w:top w:w="0" w:type="dxa"/>
            <w:bottom w:w="0" w:type="dxa"/>
          </w:tblCellMar>
        </w:tblPrEx>
        <w:trPr>
          <w:cantSplit/>
        </w:trPr>
        <w:tc>
          <w:tcPr>
            <w:tcW w:w="3200" w:type="dxa"/>
            <w:tcMar>
              <w:top w:w="90" w:type="dxa"/>
              <w:left w:w="120" w:type="dxa"/>
              <w:bottom w:w="90" w:type="dxa"/>
              <w:right w:w="120" w:type="dxa"/>
            </w:tcMar>
          </w:tcPr>
          <w:p w14:paraId="5B70A66B" w14:textId="77777777" w:rsidR="00B038AF" w:rsidRDefault="00000000">
            <w:pPr>
              <w:spacing w:line="250" w:lineRule="auto"/>
            </w:pPr>
            <w:r>
              <w:rPr>
                <w:b/>
                <w:bCs/>
                <w:sz w:val="17"/>
                <w:szCs w:val="17"/>
              </w:rPr>
              <w:t>Preeclampsia</w:t>
            </w:r>
          </w:p>
        </w:tc>
        <w:tc>
          <w:tcPr>
            <w:tcW w:w="5820" w:type="dxa"/>
            <w:tcMar>
              <w:top w:w="90" w:type="dxa"/>
              <w:left w:w="120" w:type="dxa"/>
              <w:bottom w:w="90" w:type="dxa"/>
              <w:right w:w="120" w:type="dxa"/>
            </w:tcMar>
          </w:tcPr>
          <w:p w14:paraId="0BAD2E17" w14:textId="77777777" w:rsidR="00B038AF" w:rsidRDefault="00000000">
            <w:pPr>
              <w:spacing w:line="250" w:lineRule="auto"/>
            </w:pPr>
            <w:r>
              <w:rPr>
                <w:sz w:val="17"/>
                <w:szCs w:val="17"/>
              </w:rPr>
              <w:t>New hypertension after 20 weeks with proteinuria and/or qualifying organ dysfunction</w:t>
            </w:r>
          </w:p>
        </w:tc>
      </w:tr>
      <w:tr w:rsidR="00B038AF" w14:paraId="7114DB5E" w14:textId="77777777">
        <w:tblPrEx>
          <w:tblCellMar>
            <w:top w:w="0" w:type="dxa"/>
            <w:bottom w:w="0" w:type="dxa"/>
          </w:tblCellMar>
        </w:tblPrEx>
        <w:trPr>
          <w:cantSplit/>
        </w:trPr>
        <w:tc>
          <w:tcPr>
            <w:tcW w:w="3200" w:type="dxa"/>
            <w:shd w:val="clear" w:color="auto" w:fill="FAF8F9"/>
            <w:tcMar>
              <w:top w:w="90" w:type="dxa"/>
              <w:left w:w="120" w:type="dxa"/>
              <w:bottom w:w="90" w:type="dxa"/>
              <w:right w:w="120" w:type="dxa"/>
            </w:tcMar>
          </w:tcPr>
          <w:p w14:paraId="2FEFAF9A" w14:textId="77777777" w:rsidR="00B038AF" w:rsidRDefault="00000000">
            <w:pPr>
              <w:spacing w:line="250" w:lineRule="auto"/>
            </w:pPr>
            <w:r>
              <w:rPr>
                <w:b/>
                <w:bCs/>
                <w:sz w:val="17"/>
                <w:szCs w:val="17"/>
              </w:rPr>
              <w:t>Preeclampsia with severe features</w:t>
            </w:r>
          </w:p>
        </w:tc>
        <w:tc>
          <w:tcPr>
            <w:tcW w:w="5820" w:type="dxa"/>
            <w:shd w:val="clear" w:color="auto" w:fill="FAF8F9"/>
            <w:tcMar>
              <w:top w:w="90" w:type="dxa"/>
              <w:left w:w="120" w:type="dxa"/>
              <w:bottom w:w="90" w:type="dxa"/>
              <w:right w:w="120" w:type="dxa"/>
            </w:tcMar>
          </w:tcPr>
          <w:p w14:paraId="19306810" w14:textId="77777777" w:rsidR="00B038AF" w:rsidRDefault="00000000">
            <w:pPr>
              <w:spacing w:line="250" w:lineRule="auto"/>
            </w:pPr>
            <w:r>
              <w:rPr>
                <w:sz w:val="17"/>
                <w:szCs w:val="17"/>
              </w:rPr>
              <w:t>Preeclampsia with severe-range BP or qualifying severe features</w:t>
            </w:r>
          </w:p>
        </w:tc>
      </w:tr>
    </w:tbl>
    <w:p w14:paraId="48308FC5" w14:textId="77777777" w:rsidR="00B038AF" w:rsidRDefault="00B038AF">
      <w:pPr>
        <w:spacing w:after="140"/>
      </w:pPr>
    </w:p>
    <w:p w14:paraId="0A0864B1" w14:textId="77777777" w:rsidR="00B038AF" w:rsidRDefault="00000000">
      <w:pPr>
        <w:spacing w:after="130" w:line="280" w:lineRule="auto"/>
      </w:pPr>
      <w:r>
        <w:t>These disorders can share the same finding — high blood pressure — but they are not the same condition. Correct classification depends on when the hypertension began, the woman’s previous history and baseline, and whether additional features develop.</w:t>
      </w:r>
    </w:p>
    <w:tbl>
      <w:tblPr>
        <w:tblW w:w="9020" w:type="dxa"/>
        <w:tblCellMar>
          <w:left w:w="10" w:type="dxa"/>
          <w:right w:w="10" w:type="dxa"/>
        </w:tblCellMar>
        <w:tblLook w:val="04A0" w:firstRow="1" w:lastRow="0" w:firstColumn="1" w:lastColumn="0" w:noHBand="0" w:noVBand="1"/>
      </w:tblPr>
      <w:tblGrid>
        <w:gridCol w:w="9020"/>
      </w:tblGrid>
      <w:tr w:rsidR="00B038AF" w14:paraId="79E8F5D9" w14:textId="77777777">
        <w:tblPrEx>
          <w:tblCellMar>
            <w:top w:w="0" w:type="dxa"/>
            <w:bottom w:w="0" w:type="dxa"/>
          </w:tblCellMar>
        </w:tblPrEx>
        <w:trPr>
          <w:cantSplit/>
        </w:trPr>
        <w:tc>
          <w:tcPr>
            <w:tcW w:w="9020" w:type="dxa"/>
            <w:tcBorders>
              <w:left w:val="single" w:sz="28" w:space="0" w:color="3B2F45"/>
            </w:tcBorders>
            <w:shd w:val="clear" w:color="auto" w:fill="EFE7EC"/>
            <w:tcMar>
              <w:top w:w="200" w:type="dxa"/>
              <w:left w:w="260" w:type="dxa"/>
              <w:bottom w:w="200" w:type="dxa"/>
              <w:right w:w="240" w:type="dxa"/>
            </w:tcMar>
          </w:tcPr>
          <w:p w14:paraId="7F0B91E5" w14:textId="77777777" w:rsidR="00B038AF" w:rsidRDefault="00000000">
            <w:pPr>
              <w:spacing w:line="285" w:lineRule="auto"/>
            </w:pPr>
            <w:r>
              <w:rPr>
                <w:b/>
                <w:bCs/>
              </w:rPr>
              <w:t>Key concept: A single blood-pressure reading does not tell the whole story. Pregnancy timing, previous measurements, and new clinical changes help determine what that reading means.</w:t>
            </w:r>
          </w:p>
        </w:tc>
      </w:tr>
    </w:tbl>
    <w:p w14:paraId="792C892E" w14:textId="77777777" w:rsidR="00B038AF" w:rsidRDefault="00B038AF">
      <w:pPr>
        <w:spacing w:after="140"/>
      </w:pPr>
    </w:p>
    <w:p w14:paraId="3C979396" w14:textId="77777777" w:rsidR="00B038AF" w:rsidRDefault="00000000">
      <w:pPr>
        <w:spacing w:before="230" w:after="90"/>
      </w:pPr>
      <w:proofErr w:type="gramStart"/>
      <w:r>
        <w:rPr>
          <w:b/>
          <w:bCs/>
          <w:color w:val="6B5780"/>
          <w:sz w:val="21"/>
          <w:szCs w:val="21"/>
        </w:rPr>
        <w:t>1.6.1  Superimposed</w:t>
      </w:r>
      <w:proofErr w:type="gramEnd"/>
      <w:r>
        <w:rPr>
          <w:b/>
          <w:bCs/>
          <w:color w:val="6B5780"/>
          <w:sz w:val="21"/>
          <w:szCs w:val="21"/>
        </w:rPr>
        <w:t xml:space="preserve"> preeclampsia</w:t>
      </w:r>
    </w:p>
    <w:p w14:paraId="1E05AE4C" w14:textId="77777777" w:rsidR="00B038AF" w:rsidRDefault="00000000">
      <w:pPr>
        <w:spacing w:after="130" w:line="280" w:lineRule="auto"/>
      </w:pPr>
      <w:r>
        <w:t>Superimposed preeclampsia occurs when a woman with chronic hypertension develops preeclampsia during pregnancy. It can be harder to recognize because her blood pressure may already be elevated and, in some cases, proteinuria may already exist.</w:t>
      </w:r>
    </w:p>
    <w:p w14:paraId="5AFC540D" w14:textId="77777777" w:rsidR="00B038AF" w:rsidRDefault="00000000">
      <w:pPr>
        <w:spacing w:after="130" w:line="280" w:lineRule="auto"/>
      </w:pPr>
      <w:r>
        <w:t>Clinicians therefore need to consider change from the woman’s own baseline, such as worsening hypertension or new clinical abnormalities.</w:t>
      </w:r>
    </w:p>
    <w:p w14:paraId="1D316AA4" w14:textId="77777777" w:rsidR="00B038AF" w:rsidRDefault="00000000">
      <w:pPr>
        <w:spacing w:after="130" w:line="280" w:lineRule="auto"/>
      </w:pPr>
      <w:r>
        <w:t>This is an important example of why previous measurements matter: the meaning of a current value can depend on what was present earlier in pregnancy.</w:t>
      </w:r>
    </w:p>
    <w:p w14:paraId="0BD4C8FC" w14:textId="77777777" w:rsidR="00B038AF" w:rsidRDefault="00000000">
      <w:pPr>
        <w:spacing w:before="300" w:after="110"/>
      </w:pPr>
      <w:proofErr w:type="gramStart"/>
      <w:r>
        <w:rPr>
          <w:b/>
          <w:bCs/>
          <w:color w:val="3B2F45"/>
          <w:sz w:val="24"/>
          <w:szCs w:val="24"/>
        </w:rPr>
        <w:t>1.7  Symptoms</w:t>
      </w:r>
      <w:proofErr w:type="gramEnd"/>
      <w:r>
        <w:rPr>
          <w:b/>
          <w:bCs/>
          <w:color w:val="3B2F45"/>
          <w:sz w:val="24"/>
          <w:szCs w:val="24"/>
        </w:rPr>
        <w:t>, warning signs, and what does NOT diagnose preeclampsia</w:t>
      </w:r>
    </w:p>
    <w:p w14:paraId="7D2F0FE2" w14:textId="77777777" w:rsidR="00B038AF" w:rsidRDefault="00000000">
      <w:pPr>
        <w:spacing w:after="130" w:line="280" w:lineRule="auto"/>
      </w:pPr>
      <w:r>
        <w:t>Preeclampsia may produce symptoms, but symptoms are not a substitute for the clinical diagnostic criteria described in section 1.5. Some women have no obvious symptoms, while many symptoms associated with preeclampsia can also occur for other reasons during pregnancy.</w:t>
      </w:r>
    </w:p>
    <w:p w14:paraId="118154FA" w14:textId="77777777" w:rsidR="00B038AF" w:rsidRDefault="00000000">
      <w:pPr>
        <w:spacing w:before="230" w:after="90"/>
      </w:pPr>
      <w:proofErr w:type="gramStart"/>
      <w:r>
        <w:rPr>
          <w:b/>
          <w:bCs/>
          <w:color w:val="6B5780"/>
          <w:sz w:val="21"/>
          <w:szCs w:val="21"/>
        </w:rPr>
        <w:t>1.7.1  Symptoms</w:t>
      </w:r>
      <w:proofErr w:type="gramEnd"/>
      <w:r>
        <w:rPr>
          <w:b/>
          <w:bCs/>
          <w:color w:val="6B5780"/>
          <w:sz w:val="21"/>
          <w:szCs w:val="21"/>
        </w:rPr>
        <w:t xml:space="preserve"> that may occur</w:t>
      </w:r>
    </w:p>
    <w:p w14:paraId="29A5C8AC" w14:textId="77777777" w:rsidR="00B038AF" w:rsidRDefault="00000000">
      <w:pPr>
        <w:spacing w:after="80" w:line="270" w:lineRule="auto"/>
        <w:ind w:left="340" w:hanging="200"/>
      </w:pPr>
      <w:r>
        <w:rPr>
          <w:color w:val="A796B5"/>
        </w:rPr>
        <w:t xml:space="preserve">•   </w:t>
      </w:r>
      <w:r>
        <w:t>Persistent or severe headache, particularly when it does not improve with usual treatment.</w:t>
      </w:r>
    </w:p>
    <w:p w14:paraId="58103DC2" w14:textId="77777777" w:rsidR="00B038AF" w:rsidRDefault="00000000">
      <w:pPr>
        <w:spacing w:after="80" w:line="270" w:lineRule="auto"/>
        <w:ind w:left="340" w:hanging="200"/>
      </w:pPr>
      <w:r>
        <w:rPr>
          <w:color w:val="A796B5"/>
        </w:rPr>
        <w:t xml:space="preserve">•   </w:t>
      </w:r>
      <w:r>
        <w:t>Visual disturbance, such as blurred vision, flashing lights, spots, or temporary changes in vision.</w:t>
      </w:r>
    </w:p>
    <w:p w14:paraId="021E1C10" w14:textId="77777777" w:rsidR="00B038AF" w:rsidRDefault="00000000">
      <w:pPr>
        <w:spacing w:after="80" w:line="270" w:lineRule="auto"/>
        <w:ind w:left="340" w:hanging="200"/>
      </w:pPr>
      <w:r>
        <w:rPr>
          <w:color w:val="A796B5"/>
        </w:rPr>
        <w:t xml:space="preserve">•   </w:t>
      </w:r>
      <w:r>
        <w:t>Pain in the right upper abdomen or epigastric area.</w:t>
      </w:r>
    </w:p>
    <w:p w14:paraId="58274A75" w14:textId="77777777" w:rsidR="00B038AF" w:rsidRDefault="00000000">
      <w:pPr>
        <w:spacing w:after="80" w:line="270" w:lineRule="auto"/>
        <w:ind w:left="340" w:hanging="200"/>
      </w:pPr>
      <w:r>
        <w:rPr>
          <w:color w:val="A796B5"/>
        </w:rPr>
        <w:t xml:space="preserve">•   </w:t>
      </w:r>
      <w:r>
        <w:t>New or unusual nausea and vomiting later in pregnancy.</w:t>
      </w:r>
    </w:p>
    <w:p w14:paraId="766050A1" w14:textId="77777777" w:rsidR="00B038AF" w:rsidRDefault="00000000">
      <w:pPr>
        <w:spacing w:after="80" w:line="270" w:lineRule="auto"/>
        <w:ind w:left="340" w:hanging="200"/>
      </w:pPr>
      <w:r>
        <w:rPr>
          <w:color w:val="A796B5"/>
        </w:rPr>
        <w:t xml:space="preserve">•   </w:t>
      </w:r>
      <w:r>
        <w:t>Sudden or marked swelling, particularly of the face or hands.</w:t>
      </w:r>
    </w:p>
    <w:p w14:paraId="6802376F" w14:textId="77777777" w:rsidR="00B038AF" w:rsidRDefault="00000000">
      <w:pPr>
        <w:spacing w:after="80" w:line="270" w:lineRule="auto"/>
        <w:ind w:left="340" w:hanging="200"/>
      </w:pPr>
      <w:r>
        <w:rPr>
          <w:color w:val="A796B5"/>
        </w:rPr>
        <w:lastRenderedPageBreak/>
        <w:t xml:space="preserve">•   </w:t>
      </w:r>
      <w:r>
        <w:t>Breathlessness or difficulty breathing.</w:t>
      </w:r>
    </w:p>
    <w:p w14:paraId="38157C69" w14:textId="77777777" w:rsidR="00B038AF" w:rsidRDefault="00000000">
      <w:pPr>
        <w:spacing w:after="80" w:line="270" w:lineRule="auto"/>
        <w:ind w:left="340" w:hanging="200"/>
      </w:pPr>
      <w:r>
        <w:rPr>
          <w:color w:val="A796B5"/>
        </w:rPr>
        <w:t xml:space="preserve">•   </w:t>
      </w:r>
      <w:r>
        <w:t>Reduced urine output.</w:t>
      </w:r>
    </w:p>
    <w:p w14:paraId="2B528EE1" w14:textId="77777777" w:rsidR="00B038AF" w:rsidRDefault="00B038AF">
      <w:pPr>
        <w:spacing w:after="90"/>
      </w:pPr>
    </w:p>
    <w:p w14:paraId="19401333" w14:textId="77777777" w:rsidR="00B038AF" w:rsidRDefault="00000000">
      <w:pPr>
        <w:spacing w:after="130" w:line="280" w:lineRule="auto"/>
      </w:pPr>
      <w:r>
        <w:rPr>
          <w:i/>
          <w:iCs/>
        </w:rPr>
        <w:t>Important: These symptoms should be taken seriously when clinically concerning, but none of them alone proves that a woman has preeclampsia.</w:t>
      </w:r>
    </w:p>
    <w:p w14:paraId="4A2D4D9D" w14:textId="77777777" w:rsidR="00B038AF" w:rsidRDefault="00000000">
      <w:pPr>
        <w:spacing w:before="230" w:after="90"/>
      </w:pPr>
      <w:proofErr w:type="gramStart"/>
      <w:r>
        <w:rPr>
          <w:b/>
          <w:bCs/>
          <w:color w:val="6B5780"/>
          <w:sz w:val="21"/>
          <w:szCs w:val="21"/>
        </w:rPr>
        <w:t>1.7.2  Why</w:t>
      </w:r>
      <w:proofErr w:type="gramEnd"/>
      <w:r>
        <w:rPr>
          <w:b/>
          <w:bCs/>
          <w:color w:val="6B5780"/>
          <w:sz w:val="21"/>
          <w:szCs w:val="21"/>
        </w:rPr>
        <w:t xml:space="preserve"> symptoms alone cannot diagnose or exclude preeclampsia</w:t>
      </w:r>
    </w:p>
    <w:p w14:paraId="470761D1" w14:textId="77777777" w:rsidR="00B038AF" w:rsidRDefault="00000000">
      <w:pPr>
        <w:spacing w:after="80" w:line="270" w:lineRule="auto"/>
        <w:ind w:left="400" w:hanging="260"/>
      </w:pPr>
      <w:r>
        <w:rPr>
          <w:b/>
          <w:bCs/>
          <w:color w:val="6B5780"/>
        </w:rPr>
        <w:t xml:space="preserve">1.   </w:t>
      </w:r>
      <w:r>
        <w:t>Symptoms cannot exclude the disease. Preeclampsia can be present without obvious symptoms. A woman feeling well therefore does not rule it out.</w:t>
      </w:r>
    </w:p>
    <w:p w14:paraId="01406A58" w14:textId="77777777" w:rsidR="00B038AF" w:rsidRDefault="00000000">
      <w:pPr>
        <w:spacing w:after="80" w:line="270" w:lineRule="auto"/>
        <w:ind w:left="400" w:hanging="260"/>
      </w:pPr>
      <w:r>
        <w:rPr>
          <w:b/>
          <w:bCs/>
          <w:color w:val="6B5780"/>
        </w:rPr>
        <w:t xml:space="preserve">2.   </w:t>
      </w:r>
      <w:r>
        <w:t>Symptoms cannot diagnose the disease. Many possible symptoms are non-specific and can occur during pregnancy for reasons unrelated to preeclampsia.</w:t>
      </w:r>
    </w:p>
    <w:p w14:paraId="1F3C5629" w14:textId="77777777" w:rsidR="00B038AF" w:rsidRDefault="00000000">
      <w:pPr>
        <w:spacing w:after="80" w:line="270" w:lineRule="auto"/>
        <w:ind w:left="400" w:hanging="260"/>
      </w:pPr>
      <w:r>
        <w:rPr>
          <w:b/>
          <w:bCs/>
          <w:color w:val="6B5780"/>
        </w:rPr>
        <w:t xml:space="preserve">3.   </w:t>
      </w:r>
      <w:r>
        <w:t>Clinical context matters. Diagnosis depends on the defined clinical framework in section 1.5. Even symptoms that appear within diagnostic criteria may require additional qualification and professional assessment.</w:t>
      </w:r>
    </w:p>
    <w:p w14:paraId="68C23278" w14:textId="77777777" w:rsidR="00B038AF" w:rsidRDefault="00000000">
      <w:pPr>
        <w:spacing w:before="230" w:after="90"/>
      </w:pPr>
      <w:proofErr w:type="gramStart"/>
      <w:r>
        <w:rPr>
          <w:b/>
          <w:bCs/>
          <w:color w:val="6B5780"/>
          <w:sz w:val="21"/>
          <w:szCs w:val="21"/>
        </w:rPr>
        <w:t>1.7.3  What</w:t>
      </w:r>
      <w:proofErr w:type="gramEnd"/>
      <w:r>
        <w:rPr>
          <w:b/>
          <w:bCs/>
          <w:color w:val="6B5780"/>
          <w:sz w:val="21"/>
          <w:szCs w:val="21"/>
        </w:rPr>
        <w:t xml:space="preserve"> does NOT diagnose preeclampsia</w:t>
      </w:r>
    </w:p>
    <w:p w14:paraId="7D17072F" w14:textId="77777777" w:rsidR="00B038AF" w:rsidRDefault="00000000">
      <w:pPr>
        <w:spacing w:after="130" w:line="280" w:lineRule="auto"/>
      </w:pPr>
      <w:r>
        <w:t>The following findings may be clinically useful or may prompt further assessment, but none should be treated as a diagnosis of preeclampsia by itself.</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100"/>
        <w:gridCol w:w="4200"/>
        <w:gridCol w:w="2720"/>
      </w:tblGrid>
      <w:tr w:rsidR="00B038AF" w14:paraId="7DF09BFB" w14:textId="77777777">
        <w:tblPrEx>
          <w:tblCellMar>
            <w:top w:w="0" w:type="dxa"/>
            <w:bottom w:w="0" w:type="dxa"/>
          </w:tblCellMar>
        </w:tblPrEx>
        <w:trPr>
          <w:cantSplit/>
          <w:tblHeader/>
        </w:trPr>
        <w:tc>
          <w:tcPr>
            <w:tcW w:w="2100" w:type="dxa"/>
            <w:shd w:val="clear" w:color="auto" w:fill="EFE7EC"/>
            <w:tcMar>
              <w:top w:w="90" w:type="dxa"/>
              <w:left w:w="120" w:type="dxa"/>
              <w:bottom w:w="90" w:type="dxa"/>
              <w:right w:w="120" w:type="dxa"/>
            </w:tcMar>
          </w:tcPr>
          <w:p w14:paraId="777B99A5" w14:textId="77777777" w:rsidR="00B038AF" w:rsidRDefault="00000000">
            <w:pPr>
              <w:spacing w:line="250" w:lineRule="auto"/>
            </w:pPr>
            <w:r>
              <w:rPr>
                <w:b/>
                <w:bCs/>
                <w:color w:val="261E2D"/>
                <w:sz w:val="16"/>
                <w:szCs w:val="16"/>
              </w:rPr>
              <w:t>Finding</w:t>
            </w:r>
          </w:p>
        </w:tc>
        <w:tc>
          <w:tcPr>
            <w:tcW w:w="4200" w:type="dxa"/>
            <w:shd w:val="clear" w:color="auto" w:fill="EFE7EC"/>
            <w:tcMar>
              <w:top w:w="90" w:type="dxa"/>
              <w:left w:w="120" w:type="dxa"/>
              <w:bottom w:w="90" w:type="dxa"/>
              <w:right w:w="120" w:type="dxa"/>
            </w:tcMar>
          </w:tcPr>
          <w:p w14:paraId="5BC24DA5" w14:textId="77777777" w:rsidR="00B038AF" w:rsidRDefault="00000000">
            <w:pPr>
              <w:spacing w:line="250" w:lineRule="auto"/>
            </w:pPr>
            <w:r>
              <w:rPr>
                <w:b/>
                <w:bCs/>
                <w:color w:val="261E2D"/>
                <w:sz w:val="16"/>
                <w:szCs w:val="16"/>
              </w:rPr>
              <w:t>Why it is not a diagnosis by itself</w:t>
            </w:r>
          </w:p>
        </w:tc>
        <w:tc>
          <w:tcPr>
            <w:tcW w:w="2720" w:type="dxa"/>
            <w:shd w:val="clear" w:color="auto" w:fill="EFE7EC"/>
            <w:tcMar>
              <w:top w:w="90" w:type="dxa"/>
              <w:left w:w="120" w:type="dxa"/>
              <w:bottom w:w="90" w:type="dxa"/>
              <w:right w:w="120" w:type="dxa"/>
            </w:tcMar>
          </w:tcPr>
          <w:p w14:paraId="482992C6" w14:textId="77777777" w:rsidR="00B038AF" w:rsidRDefault="00000000">
            <w:pPr>
              <w:spacing w:line="250" w:lineRule="auto"/>
            </w:pPr>
            <w:r>
              <w:rPr>
                <w:b/>
                <w:bCs/>
                <w:color w:val="261E2D"/>
                <w:sz w:val="16"/>
                <w:szCs w:val="16"/>
              </w:rPr>
              <w:t>What it represents</w:t>
            </w:r>
          </w:p>
        </w:tc>
      </w:tr>
      <w:tr w:rsidR="00B038AF" w14:paraId="35617C91" w14:textId="77777777">
        <w:tblPrEx>
          <w:tblCellMar>
            <w:top w:w="0" w:type="dxa"/>
            <w:bottom w:w="0" w:type="dxa"/>
          </w:tblCellMar>
        </w:tblPrEx>
        <w:trPr>
          <w:cantSplit/>
        </w:trPr>
        <w:tc>
          <w:tcPr>
            <w:tcW w:w="2100" w:type="dxa"/>
            <w:tcMar>
              <w:top w:w="90" w:type="dxa"/>
              <w:left w:w="120" w:type="dxa"/>
              <w:bottom w:w="90" w:type="dxa"/>
              <w:right w:w="120" w:type="dxa"/>
            </w:tcMar>
          </w:tcPr>
          <w:p w14:paraId="129CD529" w14:textId="77777777" w:rsidR="00B038AF" w:rsidRDefault="00000000">
            <w:pPr>
              <w:spacing w:line="250" w:lineRule="auto"/>
            </w:pPr>
            <w:r>
              <w:rPr>
                <w:b/>
                <w:bCs/>
                <w:sz w:val="16"/>
                <w:szCs w:val="16"/>
              </w:rPr>
              <w:t>One high blood-pressure reading</w:t>
            </w:r>
          </w:p>
        </w:tc>
        <w:tc>
          <w:tcPr>
            <w:tcW w:w="4200" w:type="dxa"/>
            <w:tcMar>
              <w:top w:w="90" w:type="dxa"/>
              <w:left w:w="120" w:type="dxa"/>
              <w:bottom w:w="90" w:type="dxa"/>
              <w:right w:w="120" w:type="dxa"/>
            </w:tcMar>
          </w:tcPr>
          <w:p w14:paraId="25AA4BCE" w14:textId="77777777" w:rsidR="00B038AF" w:rsidRDefault="00000000">
            <w:pPr>
              <w:spacing w:line="250" w:lineRule="auto"/>
            </w:pPr>
            <w:r>
              <w:rPr>
                <w:sz w:val="16"/>
                <w:szCs w:val="16"/>
              </w:rPr>
              <w:t>A single non-severe reading requires appropriate confirmation and interpretation rather than being treated as a diagnosis on its own.</w:t>
            </w:r>
          </w:p>
        </w:tc>
        <w:tc>
          <w:tcPr>
            <w:tcW w:w="2720" w:type="dxa"/>
            <w:tcMar>
              <w:top w:w="90" w:type="dxa"/>
              <w:left w:w="120" w:type="dxa"/>
              <w:bottom w:w="90" w:type="dxa"/>
              <w:right w:w="120" w:type="dxa"/>
            </w:tcMar>
          </w:tcPr>
          <w:p w14:paraId="112AE35F" w14:textId="77777777" w:rsidR="00B038AF" w:rsidRDefault="00000000">
            <w:pPr>
              <w:spacing w:line="250" w:lineRule="auto"/>
            </w:pPr>
            <w:r>
              <w:rPr>
                <w:sz w:val="16"/>
                <w:szCs w:val="16"/>
              </w:rPr>
              <w:t>A clinical measurement that may prompt repeat measurement or assessment</w:t>
            </w:r>
          </w:p>
        </w:tc>
      </w:tr>
      <w:tr w:rsidR="00B038AF" w14:paraId="705E5876" w14:textId="77777777">
        <w:tblPrEx>
          <w:tblCellMar>
            <w:top w:w="0" w:type="dxa"/>
            <w:bottom w:w="0" w:type="dxa"/>
          </w:tblCellMar>
        </w:tblPrEx>
        <w:trPr>
          <w:cantSplit/>
        </w:trPr>
        <w:tc>
          <w:tcPr>
            <w:tcW w:w="2100" w:type="dxa"/>
            <w:shd w:val="clear" w:color="auto" w:fill="FAF8F9"/>
            <w:tcMar>
              <w:top w:w="90" w:type="dxa"/>
              <w:left w:w="120" w:type="dxa"/>
              <w:bottom w:w="90" w:type="dxa"/>
              <w:right w:w="120" w:type="dxa"/>
            </w:tcMar>
          </w:tcPr>
          <w:p w14:paraId="77F4A455" w14:textId="77777777" w:rsidR="00B038AF" w:rsidRDefault="00000000">
            <w:pPr>
              <w:spacing w:line="250" w:lineRule="auto"/>
            </w:pPr>
            <w:r>
              <w:rPr>
                <w:b/>
                <w:bCs/>
                <w:sz w:val="16"/>
                <w:szCs w:val="16"/>
              </w:rPr>
              <w:t>Headache</w:t>
            </w:r>
          </w:p>
        </w:tc>
        <w:tc>
          <w:tcPr>
            <w:tcW w:w="4200" w:type="dxa"/>
            <w:shd w:val="clear" w:color="auto" w:fill="FAF8F9"/>
            <w:tcMar>
              <w:top w:w="90" w:type="dxa"/>
              <w:left w:w="120" w:type="dxa"/>
              <w:bottom w:w="90" w:type="dxa"/>
              <w:right w:w="120" w:type="dxa"/>
            </w:tcMar>
          </w:tcPr>
          <w:p w14:paraId="7F515307" w14:textId="77777777" w:rsidR="00B038AF" w:rsidRDefault="00000000">
            <w:pPr>
              <w:spacing w:line="250" w:lineRule="auto"/>
            </w:pPr>
            <w:r>
              <w:rPr>
                <w:sz w:val="16"/>
                <w:szCs w:val="16"/>
              </w:rPr>
              <w:t>Headache is common and can have many causes. The relevant neurological criterion is more specific than simply reporting a headache.</w:t>
            </w:r>
          </w:p>
        </w:tc>
        <w:tc>
          <w:tcPr>
            <w:tcW w:w="2720" w:type="dxa"/>
            <w:shd w:val="clear" w:color="auto" w:fill="FAF8F9"/>
            <w:tcMar>
              <w:top w:w="90" w:type="dxa"/>
              <w:left w:w="120" w:type="dxa"/>
              <w:bottom w:w="90" w:type="dxa"/>
              <w:right w:w="120" w:type="dxa"/>
            </w:tcMar>
          </w:tcPr>
          <w:p w14:paraId="6DEB2103" w14:textId="77777777" w:rsidR="00B038AF" w:rsidRDefault="00000000">
            <w:pPr>
              <w:spacing w:line="250" w:lineRule="auto"/>
            </w:pPr>
            <w:r>
              <w:rPr>
                <w:sz w:val="16"/>
                <w:szCs w:val="16"/>
              </w:rPr>
              <w:t>A symptom requiring clinical interpretation</w:t>
            </w:r>
          </w:p>
        </w:tc>
      </w:tr>
      <w:tr w:rsidR="00B038AF" w14:paraId="49463B8D" w14:textId="77777777">
        <w:tblPrEx>
          <w:tblCellMar>
            <w:top w:w="0" w:type="dxa"/>
            <w:bottom w:w="0" w:type="dxa"/>
          </w:tblCellMar>
        </w:tblPrEx>
        <w:trPr>
          <w:cantSplit/>
        </w:trPr>
        <w:tc>
          <w:tcPr>
            <w:tcW w:w="2100" w:type="dxa"/>
            <w:tcMar>
              <w:top w:w="90" w:type="dxa"/>
              <w:left w:w="120" w:type="dxa"/>
              <w:bottom w:w="90" w:type="dxa"/>
              <w:right w:w="120" w:type="dxa"/>
            </w:tcMar>
          </w:tcPr>
          <w:p w14:paraId="6E74A81E" w14:textId="77777777" w:rsidR="00B038AF" w:rsidRDefault="00000000">
            <w:pPr>
              <w:spacing w:line="250" w:lineRule="auto"/>
            </w:pPr>
            <w:r>
              <w:rPr>
                <w:b/>
                <w:bCs/>
                <w:sz w:val="16"/>
                <w:szCs w:val="16"/>
              </w:rPr>
              <w:t>Swelling (oedema)</w:t>
            </w:r>
          </w:p>
        </w:tc>
        <w:tc>
          <w:tcPr>
            <w:tcW w:w="4200" w:type="dxa"/>
            <w:tcMar>
              <w:top w:w="90" w:type="dxa"/>
              <w:left w:w="120" w:type="dxa"/>
              <w:bottom w:w="90" w:type="dxa"/>
              <w:right w:w="120" w:type="dxa"/>
            </w:tcMar>
          </w:tcPr>
          <w:p w14:paraId="0C626D7B" w14:textId="77777777" w:rsidR="00B038AF" w:rsidRDefault="00000000">
            <w:pPr>
              <w:spacing w:line="250" w:lineRule="auto"/>
            </w:pPr>
            <w:r>
              <w:rPr>
                <w:sz w:val="16"/>
                <w:szCs w:val="16"/>
              </w:rPr>
              <w:t>Swelling is common during pregnancy and is not, by itself, a diagnostic criterion for preeclampsia.</w:t>
            </w:r>
          </w:p>
        </w:tc>
        <w:tc>
          <w:tcPr>
            <w:tcW w:w="2720" w:type="dxa"/>
            <w:tcMar>
              <w:top w:w="90" w:type="dxa"/>
              <w:left w:w="120" w:type="dxa"/>
              <w:bottom w:w="90" w:type="dxa"/>
              <w:right w:w="120" w:type="dxa"/>
            </w:tcMar>
          </w:tcPr>
          <w:p w14:paraId="370EAE6C" w14:textId="77777777" w:rsidR="00B038AF" w:rsidRDefault="00000000">
            <w:pPr>
              <w:spacing w:line="250" w:lineRule="auto"/>
            </w:pPr>
            <w:r>
              <w:rPr>
                <w:sz w:val="16"/>
                <w:szCs w:val="16"/>
              </w:rPr>
              <w:t>A non-specific finding</w:t>
            </w:r>
          </w:p>
        </w:tc>
      </w:tr>
      <w:tr w:rsidR="00B038AF" w14:paraId="3266E7DE" w14:textId="77777777">
        <w:tblPrEx>
          <w:tblCellMar>
            <w:top w:w="0" w:type="dxa"/>
            <w:bottom w:w="0" w:type="dxa"/>
          </w:tblCellMar>
        </w:tblPrEx>
        <w:trPr>
          <w:cantSplit/>
        </w:trPr>
        <w:tc>
          <w:tcPr>
            <w:tcW w:w="2100" w:type="dxa"/>
            <w:shd w:val="clear" w:color="auto" w:fill="FAF8F9"/>
            <w:tcMar>
              <w:top w:w="90" w:type="dxa"/>
              <w:left w:w="120" w:type="dxa"/>
              <w:bottom w:w="90" w:type="dxa"/>
              <w:right w:w="120" w:type="dxa"/>
            </w:tcMar>
          </w:tcPr>
          <w:p w14:paraId="266773A8" w14:textId="77777777" w:rsidR="00B038AF" w:rsidRDefault="00000000">
            <w:pPr>
              <w:spacing w:line="250" w:lineRule="auto"/>
            </w:pPr>
            <w:r>
              <w:rPr>
                <w:b/>
                <w:bCs/>
                <w:sz w:val="16"/>
                <w:szCs w:val="16"/>
              </w:rPr>
              <w:t>Nausea</w:t>
            </w:r>
          </w:p>
        </w:tc>
        <w:tc>
          <w:tcPr>
            <w:tcW w:w="4200" w:type="dxa"/>
            <w:shd w:val="clear" w:color="auto" w:fill="FAF8F9"/>
            <w:tcMar>
              <w:top w:w="90" w:type="dxa"/>
              <w:left w:w="120" w:type="dxa"/>
              <w:bottom w:w="90" w:type="dxa"/>
              <w:right w:w="120" w:type="dxa"/>
            </w:tcMar>
          </w:tcPr>
          <w:p w14:paraId="69CCA8EE" w14:textId="77777777" w:rsidR="00B038AF" w:rsidRDefault="00000000">
            <w:pPr>
              <w:spacing w:line="250" w:lineRule="auto"/>
            </w:pPr>
            <w:r>
              <w:rPr>
                <w:sz w:val="16"/>
                <w:szCs w:val="16"/>
              </w:rPr>
              <w:t>Nausea can occur for many reasons during pregnancy and is not diagnostic on its own.</w:t>
            </w:r>
          </w:p>
        </w:tc>
        <w:tc>
          <w:tcPr>
            <w:tcW w:w="2720" w:type="dxa"/>
            <w:shd w:val="clear" w:color="auto" w:fill="FAF8F9"/>
            <w:tcMar>
              <w:top w:w="90" w:type="dxa"/>
              <w:left w:w="120" w:type="dxa"/>
              <w:bottom w:w="90" w:type="dxa"/>
              <w:right w:w="120" w:type="dxa"/>
            </w:tcMar>
          </w:tcPr>
          <w:p w14:paraId="6B799570" w14:textId="77777777" w:rsidR="00B038AF" w:rsidRDefault="00000000">
            <w:pPr>
              <w:spacing w:line="250" w:lineRule="auto"/>
            </w:pPr>
            <w:r>
              <w:rPr>
                <w:sz w:val="16"/>
                <w:szCs w:val="16"/>
              </w:rPr>
              <w:t>A non-specific symptom</w:t>
            </w:r>
          </w:p>
        </w:tc>
      </w:tr>
      <w:tr w:rsidR="00B038AF" w14:paraId="09FD46E1" w14:textId="77777777">
        <w:tblPrEx>
          <w:tblCellMar>
            <w:top w:w="0" w:type="dxa"/>
            <w:bottom w:w="0" w:type="dxa"/>
          </w:tblCellMar>
        </w:tblPrEx>
        <w:trPr>
          <w:cantSplit/>
        </w:trPr>
        <w:tc>
          <w:tcPr>
            <w:tcW w:w="2100" w:type="dxa"/>
            <w:tcMar>
              <w:top w:w="90" w:type="dxa"/>
              <w:left w:w="120" w:type="dxa"/>
              <w:bottom w:w="90" w:type="dxa"/>
              <w:right w:w="120" w:type="dxa"/>
            </w:tcMar>
          </w:tcPr>
          <w:p w14:paraId="30DA04FE" w14:textId="77777777" w:rsidR="00B038AF" w:rsidRDefault="00000000">
            <w:pPr>
              <w:spacing w:line="250" w:lineRule="auto"/>
            </w:pPr>
            <w:r>
              <w:rPr>
                <w:b/>
                <w:bCs/>
                <w:sz w:val="16"/>
                <w:szCs w:val="16"/>
              </w:rPr>
              <w:t>A risk factor or family history</w:t>
            </w:r>
          </w:p>
        </w:tc>
        <w:tc>
          <w:tcPr>
            <w:tcW w:w="4200" w:type="dxa"/>
            <w:tcMar>
              <w:top w:w="90" w:type="dxa"/>
              <w:left w:w="120" w:type="dxa"/>
              <w:bottom w:w="90" w:type="dxa"/>
              <w:right w:w="120" w:type="dxa"/>
            </w:tcMar>
          </w:tcPr>
          <w:p w14:paraId="36FE59D8" w14:textId="77777777" w:rsidR="00B038AF" w:rsidRDefault="00000000">
            <w:pPr>
              <w:spacing w:line="250" w:lineRule="auto"/>
            </w:pPr>
            <w:r>
              <w:rPr>
                <w:sz w:val="16"/>
                <w:szCs w:val="16"/>
              </w:rPr>
              <w:t>Risk factors change the probability of developing preeclampsia; they do not establish that the disease is currently present.</w:t>
            </w:r>
          </w:p>
        </w:tc>
        <w:tc>
          <w:tcPr>
            <w:tcW w:w="2720" w:type="dxa"/>
            <w:tcMar>
              <w:top w:w="90" w:type="dxa"/>
              <w:left w:w="120" w:type="dxa"/>
              <w:bottom w:w="90" w:type="dxa"/>
              <w:right w:w="120" w:type="dxa"/>
            </w:tcMar>
          </w:tcPr>
          <w:p w14:paraId="56C97794" w14:textId="77777777" w:rsidR="00B038AF" w:rsidRDefault="00000000">
            <w:pPr>
              <w:spacing w:line="250" w:lineRule="auto"/>
            </w:pPr>
            <w:r>
              <w:rPr>
                <w:sz w:val="16"/>
                <w:szCs w:val="16"/>
              </w:rPr>
              <w:t>An input to risk assessment</w:t>
            </w:r>
          </w:p>
        </w:tc>
      </w:tr>
      <w:tr w:rsidR="00B038AF" w14:paraId="50940059" w14:textId="77777777">
        <w:tblPrEx>
          <w:tblCellMar>
            <w:top w:w="0" w:type="dxa"/>
            <w:bottom w:w="0" w:type="dxa"/>
          </w:tblCellMar>
        </w:tblPrEx>
        <w:trPr>
          <w:cantSplit/>
        </w:trPr>
        <w:tc>
          <w:tcPr>
            <w:tcW w:w="2100" w:type="dxa"/>
            <w:shd w:val="clear" w:color="auto" w:fill="FAF8F9"/>
            <w:tcMar>
              <w:top w:w="90" w:type="dxa"/>
              <w:left w:w="120" w:type="dxa"/>
              <w:bottom w:w="90" w:type="dxa"/>
              <w:right w:w="120" w:type="dxa"/>
            </w:tcMar>
          </w:tcPr>
          <w:p w14:paraId="5494DE9C" w14:textId="77777777" w:rsidR="00B038AF" w:rsidRDefault="00000000">
            <w:pPr>
              <w:spacing w:line="250" w:lineRule="auto"/>
            </w:pPr>
            <w:r>
              <w:rPr>
                <w:b/>
                <w:bCs/>
                <w:sz w:val="16"/>
                <w:szCs w:val="16"/>
              </w:rPr>
              <w:t>An AI risk score</w:t>
            </w:r>
          </w:p>
        </w:tc>
        <w:tc>
          <w:tcPr>
            <w:tcW w:w="4200" w:type="dxa"/>
            <w:shd w:val="clear" w:color="auto" w:fill="FAF8F9"/>
            <w:tcMar>
              <w:top w:w="90" w:type="dxa"/>
              <w:left w:w="120" w:type="dxa"/>
              <w:bottom w:w="90" w:type="dxa"/>
              <w:right w:w="120" w:type="dxa"/>
            </w:tcMar>
          </w:tcPr>
          <w:p w14:paraId="6E2CDB57" w14:textId="77777777" w:rsidR="00B038AF" w:rsidRDefault="00000000">
            <w:pPr>
              <w:spacing w:line="250" w:lineRule="auto"/>
            </w:pPr>
            <w:r>
              <w:rPr>
                <w:sz w:val="16"/>
                <w:szCs w:val="16"/>
              </w:rPr>
              <w:t>A risk score estimates probability; it does not satisfy the clinical diagnostic criteria for preeclampsia.</w:t>
            </w:r>
          </w:p>
        </w:tc>
        <w:tc>
          <w:tcPr>
            <w:tcW w:w="2720" w:type="dxa"/>
            <w:shd w:val="clear" w:color="auto" w:fill="FAF8F9"/>
            <w:tcMar>
              <w:top w:w="90" w:type="dxa"/>
              <w:left w:w="120" w:type="dxa"/>
              <w:bottom w:w="90" w:type="dxa"/>
              <w:right w:w="120" w:type="dxa"/>
            </w:tcMar>
          </w:tcPr>
          <w:p w14:paraId="49E77C2F" w14:textId="77777777" w:rsidR="00B038AF" w:rsidRDefault="00000000">
            <w:pPr>
              <w:spacing w:line="250" w:lineRule="auto"/>
            </w:pPr>
            <w:r>
              <w:rPr>
                <w:sz w:val="16"/>
                <w:szCs w:val="16"/>
              </w:rPr>
              <w:t>A prediction or risk estimate</w:t>
            </w:r>
          </w:p>
        </w:tc>
      </w:tr>
      <w:tr w:rsidR="00B038AF" w14:paraId="46B771C0" w14:textId="77777777">
        <w:tblPrEx>
          <w:tblCellMar>
            <w:top w:w="0" w:type="dxa"/>
            <w:bottom w:w="0" w:type="dxa"/>
          </w:tblCellMar>
        </w:tblPrEx>
        <w:trPr>
          <w:cantSplit/>
        </w:trPr>
        <w:tc>
          <w:tcPr>
            <w:tcW w:w="2100" w:type="dxa"/>
            <w:tcMar>
              <w:top w:w="90" w:type="dxa"/>
              <w:left w:w="120" w:type="dxa"/>
              <w:bottom w:w="90" w:type="dxa"/>
              <w:right w:w="120" w:type="dxa"/>
            </w:tcMar>
          </w:tcPr>
          <w:p w14:paraId="58DE380A" w14:textId="77777777" w:rsidR="00B038AF" w:rsidRDefault="00000000">
            <w:pPr>
              <w:spacing w:line="250" w:lineRule="auto"/>
            </w:pPr>
            <w:r>
              <w:rPr>
                <w:b/>
                <w:bCs/>
                <w:sz w:val="16"/>
                <w:szCs w:val="16"/>
              </w:rPr>
              <w:t>First-trimester risk screening</w:t>
            </w:r>
          </w:p>
        </w:tc>
        <w:tc>
          <w:tcPr>
            <w:tcW w:w="4200" w:type="dxa"/>
            <w:tcMar>
              <w:top w:w="90" w:type="dxa"/>
              <w:left w:w="120" w:type="dxa"/>
              <w:bottom w:w="90" w:type="dxa"/>
              <w:right w:w="120" w:type="dxa"/>
            </w:tcMar>
          </w:tcPr>
          <w:p w14:paraId="6018AC13" w14:textId="77777777" w:rsidR="00B038AF" w:rsidRDefault="00000000">
            <w:pPr>
              <w:spacing w:line="250" w:lineRule="auto"/>
            </w:pPr>
            <w:r>
              <w:rPr>
                <w:sz w:val="16"/>
                <w:szCs w:val="16"/>
              </w:rPr>
              <w:t>Early screening estimates future risk and may guide prevention or surveillance; it is not a diagnosis of current preeclampsia.</w:t>
            </w:r>
          </w:p>
        </w:tc>
        <w:tc>
          <w:tcPr>
            <w:tcW w:w="2720" w:type="dxa"/>
            <w:tcMar>
              <w:top w:w="90" w:type="dxa"/>
              <w:left w:w="120" w:type="dxa"/>
              <w:bottom w:w="90" w:type="dxa"/>
              <w:right w:w="120" w:type="dxa"/>
            </w:tcMar>
          </w:tcPr>
          <w:p w14:paraId="2D8E49F1" w14:textId="77777777" w:rsidR="00B038AF" w:rsidRDefault="00000000">
            <w:pPr>
              <w:spacing w:line="250" w:lineRule="auto"/>
            </w:pPr>
            <w:r>
              <w:rPr>
                <w:sz w:val="16"/>
                <w:szCs w:val="16"/>
              </w:rPr>
              <w:t>Screening / risk estimation</w:t>
            </w:r>
          </w:p>
        </w:tc>
      </w:tr>
    </w:tbl>
    <w:p w14:paraId="0693AC5E" w14:textId="77777777" w:rsidR="00B038AF" w:rsidRDefault="00B038AF">
      <w:pPr>
        <w:spacing w:after="140"/>
      </w:pPr>
    </w:p>
    <w:tbl>
      <w:tblPr>
        <w:tblW w:w="9020" w:type="dxa"/>
        <w:tblCellMar>
          <w:left w:w="10" w:type="dxa"/>
          <w:right w:w="10" w:type="dxa"/>
        </w:tblCellMar>
        <w:tblLook w:val="04A0" w:firstRow="1" w:lastRow="0" w:firstColumn="1" w:lastColumn="0" w:noHBand="0" w:noVBand="1"/>
      </w:tblPr>
      <w:tblGrid>
        <w:gridCol w:w="9020"/>
      </w:tblGrid>
      <w:tr w:rsidR="00B038AF" w14:paraId="73084CC2" w14:textId="77777777">
        <w:tblPrEx>
          <w:tblCellMar>
            <w:top w:w="0" w:type="dxa"/>
            <w:bottom w:w="0" w:type="dxa"/>
          </w:tblCellMar>
        </w:tblPrEx>
        <w:trPr>
          <w:cantSplit/>
        </w:trPr>
        <w:tc>
          <w:tcPr>
            <w:tcW w:w="9020" w:type="dxa"/>
            <w:tcBorders>
              <w:left w:val="single" w:sz="28" w:space="0" w:color="3B2F45"/>
            </w:tcBorders>
            <w:shd w:val="clear" w:color="auto" w:fill="EFE7EC"/>
            <w:tcMar>
              <w:top w:w="200" w:type="dxa"/>
              <w:left w:w="260" w:type="dxa"/>
              <w:bottom w:w="200" w:type="dxa"/>
              <w:right w:w="240" w:type="dxa"/>
            </w:tcMar>
          </w:tcPr>
          <w:p w14:paraId="6A484EEA" w14:textId="77777777" w:rsidR="00B038AF" w:rsidRDefault="00000000">
            <w:pPr>
              <w:spacing w:line="285" w:lineRule="auto"/>
            </w:pPr>
            <w:r>
              <w:rPr>
                <w:b/>
                <w:bCs/>
              </w:rPr>
              <w:t>Key principle: A symptom, risk factor, screening result, single measurement, or AI output can contribute useful information, but it must not be presented as equivalent to a clinical diagnosis.</w:t>
            </w:r>
          </w:p>
        </w:tc>
      </w:tr>
    </w:tbl>
    <w:p w14:paraId="6A431FE2" w14:textId="63E557C8" w:rsidR="00B038AF" w:rsidRDefault="00B038AF">
      <w:pPr>
        <w:rPr>
          <w:b/>
          <w:bCs/>
          <w:color w:val="2F6FB5"/>
          <w:sz w:val="18"/>
          <w:szCs w:val="18"/>
        </w:rPr>
      </w:pPr>
    </w:p>
    <w:p w14:paraId="02D7FCC1" w14:textId="77777777" w:rsidR="00363CFE" w:rsidRDefault="00363CFE">
      <w:pPr>
        <w:rPr>
          <w:b/>
          <w:bCs/>
          <w:color w:val="2F6FB5"/>
          <w:sz w:val="18"/>
          <w:szCs w:val="18"/>
        </w:rPr>
      </w:pPr>
    </w:p>
    <w:p w14:paraId="5BFB8BD7" w14:textId="77777777" w:rsidR="00363CFE" w:rsidRDefault="00363CFE">
      <w:pPr>
        <w:rPr>
          <w:b/>
          <w:bCs/>
          <w:color w:val="2F6FB5"/>
          <w:sz w:val="18"/>
          <w:szCs w:val="18"/>
        </w:rPr>
      </w:pPr>
    </w:p>
    <w:p w14:paraId="4D694EC4" w14:textId="77777777" w:rsidR="00363CFE" w:rsidRDefault="00363CFE"/>
    <w:p w14:paraId="2C2B1EE8" w14:textId="77777777" w:rsidR="00B038AF" w:rsidRDefault="00000000">
      <w:pPr>
        <w:pBdr>
          <w:bottom w:val="single" w:sz="8" w:space="6" w:color="D8D0D6"/>
        </w:pBdr>
        <w:spacing w:before="400" w:after="150"/>
      </w:pPr>
      <w:r>
        <w:rPr>
          <w:b/>
          <w:bCs/>
          <w:color w:val="4B3A5A"/>
          <w:sz w:val="30"/>
          <w:szCs w:val="30"/>
        </w:rPr>
        <w:lastRenderedPageBreak/>
        <w:t>Part 2 — Route A: the risk-factor checklist</w:t>
      </w:r>
    </w:p>
    <w:p w14:paraId="0D4D8326" w14:textId="77777777" w:rsidR="00B038AF" w:rsidRDefault="00000000">
      <w:pPr>
        <w:spacing w:after="130" w:line="280" w:lineRule="auto"/>
      </w:pPr>
      <w:r>
        <w:rPr>
          <w:i/>
          <w:iCs/>
          <w:color w:val="6E6478"/>
        </w:rPr>
        <w:t>This is the first of the two prediction routes. It is the one that runs everywhere, because it needs nothing that a clinic might not have.</w:t>
      </w:r>
    </w:p>
    <w:p w14:paraId="71AD0C9D" w14:textId="77777777" w:rsidR="00B038AF" w:rsidRDefault="00000000">
      <w:pPr>
        <w:spacing w:before="300" w:after="110"/>
      </w:pPr>
      <w:proofErr w:type="gramStart"/>
      <w:r>
        <w:rPr>
          <w:b/>
          <w:bCs/>
          <w:color w:val="3B2F45"/>
          <w:sz w:val="24"/>
          <w:szCs w:val="24"/>
        </w:rPr>
        <w:t>2.1  What</w:t>
      </w:r>
      <w:proofErr w:type="gramEnd"/>
      <w:r>
        <w:rPr>
          <w:b/>
          <w:bCs/>
          <w:color w:val="3B2F45"/>
          <w:sz w:val="24"/>
          <w:szCs w:val="24"/>
        </w:rPr>
        <w:t xml:space="preserve"> this screening route is</w:t>
      </w:r>
    </w:p>
    <w:p w14:paraId="16C9CBA3" w14:textId="77777777" w:rsidR="00B038AF" w:rsidRDefault="00000000">
      <w:pPr>
        <w:spacing w:after="130" w:line="280" w:lineRule="auto"/>
      </w:pPr>
      <w:r>
        <w:t>Before preeclampsia develops, clinicians can flag women who have characteristics linked to a higher risk of developing it. The SMFM/ACOG checklist route is based mainly on maternal medical, obstetric and family history plus basic maternal characteristics [4][5].</w:t>
      </w:r>
    </w:p>
    <w:tbl>
      <w:tblPr>
        <w:tblW w:w="9020" w:type="dxa"/>
        <w:tblCellMar>
          <w:left w:w="10" w:type="dxa"/>
          <w:right w:w="10" w:type="dxa"/>
        </w:tblCellMar>
        <w:tblLook w:val="04A0" w:firstRow="1" w:lastRow="0" w:firstColumn="1" w:lastColumn="0" w:noHBand="0" w:noVBand="1"/>
      </w:tblPr>
      <w:tblGrid>
        <w:gridCol w:w="9020"/>
      </w:tblGrid>
      <w:tr w:rsidR="00B038AF" w14:paraId="51FAB535" w14:textId="77777777">
        <w:tblPrEx>
          <w:tblCellMar>
            <w:top w:w="0" w:type="dxa"/>
            <w:bottom w:w="0" w:type="dxa"/>
          </w:tblCellMar>
        </w:tblPrEx>
        <w:trPr>
          <w:cantSplit/>
        </w:trPr>
        <w:tc>
          <w:tcPr>
            <w:tcW w:w="9020" w:type="dxa"/>
            <w:tcBorders>
              <w:left w:val="single" w:sz="28" w:space="0" w:color="3E6B58"/>
            </w:tcBorders>
            <w:shd w:val="clear" w:color="auto" w:fill="EDF3F0"/>
            <w:tcMar>
              <w:top w:w="200" w:type="dxa"/>
              <w:left w:w="260" w:type="dxa"/>
              <w:bottom w:w="200" w:type="dxa"/>
              <w:right w:w="240" w:type="dxa"/>
            </w:tcMar>
          </w:tcPr>
          <w:p w14:paraId="5695F592" w14:textId="77777777" w:rsidR="00B038AF" w:rsidRDefault="00000000">
            <w:pPr>
              <w:spacing w:line="285" w:lineRule="auto"/>
            </w:pPr>
            <w:r>
              <w:rPr>
                <w:b/>
                <w:bCs/>
              </w:rPr>
              <w:t>Key point: this is risk assessment, not diagnosis. It asks who is more likely to develop preeclampsia later.</w:t>
            </w:r>
          </w:p>
        </w:tc>
      </w:tr>
    </w:tbl>
    <w:p w14:paraId="1A06A3EC" w14:textId="77777777" w:rsidR="00B038AF" w:rsidRDefault="00B038AF">
      <w:pPr>
        <w:spacing w:after="140"/>
      </w:pPr>
    </w:p>
    <w:p w14:paraId="0BCB5D45" w14:textId="77777777" w:rsidR="00B038AF" w:rsidRDefault="00000000">
      <w:pPr>
        <w:spacing w:before="300" w:after="110"/>
      </w:pPr>
      <w:proofErr w:type="gramStart"/>
      <w:r>
        <w:rPr>
          <w:b/>
          <w:bCs/>
          <w:color w:val="3B2F45"/>
          <w:sz w:val="24"/>
          <w:szCs w:val="24"/>
        </w:rPr>
        <w:t>2.2  High</w:t>
      </w:r>
      <w:proofErr w:type="gramEnd"/>
      <w:r>
        <w:rPr>
          <w:b/>
          <w:bCs/>
          <w:color w:val="3B2F45"/>
          <w:sz w:val="24"/>
          <w:szCs w:val="24"/>
        </w:rPr>
        <w:t>-risk factors</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3100"/>
        <w:gridCol w:w="5920"/>
      </w:tblGrid>
      <w:tr w:rsidR="00B038AF" w14:paraId="0CD5DDA3" w14:textId="77777777">
        <w:tblPrEx>
          <w:tblCellMar>
            <w:top w:w="0" w:type="dxa"/>
            <w:bottom w:w="0" w:type="dxa"/>
          </w:tblCellMar>
        </w:tblPrEx>
        <w:trPr>
          <w:cantSplit/>
          <w:tblHeader/>
        </w:trPr>
        <w:tc>
          <w:tcPr>
            <w:tcW w:w="3100" w:type="dxa"/>
            <w:shd w:val="clear" w:color="auto" w:fill="EFE7EC"/>
            <w:tcMar>
              <w:top w:w="90" w:type="dxa"/>
              <w:left w:w="120" w:type="dxa"/>
              <w:bottom w:w="90" w:type="dxa"/>
              <w:right w:w="120" w:type="dxa"/>
            </w:tcMar>
          </w:tcPr>
          <w:p w14:paraId="13C5CCF4" w14:textId="77777777" w:rsidR="00B038AF" w:rsidRDefault="00000000">
            <w:pPr>
              <w:spacing w:line="250" w:lineRule="auto"/>
            </w:pPr>
            <w:r>
              <w:rPr>
                <w:b/>
                <w:bCs/>
                <w:color w:val="261E2D"/>
                <w:sz w:val="17"/>
                <w:szCs w:val="17"/>
              </w:rPr>
              <w:t>High-risk factor</w:t>
            </w:r>
          </w:p>
        </w:tc>
        <w:tc>
          <w:tcPr>
            <w:tcW w:w="5920" w:type="dxa"/>
            <w:shd w:val="clear" w:color="auto" w:fill="EFE7EC"/>
            <w:tcMar>
              <w:top w:w="90" w:type="dxa"/>
              <w:left w:w="120" w:type="dxa"/>
              <w:bottom w:w="90" w:type="dxa"/>
              <w:right w:w="120" w:type="dxa"/>
            </w:tcMar>
          </w:tcPr>
          <w:p w14:paraId="2654588D" w14:textId="77777777" w:rsidR="00B038AF" w:rsidRDefault="00000000">
            <w:pPr>
              <w:spacing w:line="250" w:lineRule="auto"/>
            </w:pPr>
            <w:r>
              <w:rPr>
                <w:b/>
                <w:bCs/>
                <w:color w:val="261E2D"/>
                <w:sz w:val="17"/>
                <w:szCs w:val="17"/>
              </w:rPr>
              <w:t>Meaning</w:t>
            </w:r>
          </w:p>
        </w:tc>
      </w:tr>
      <w:tr w:rsidR="00B038AF" w14:paraId="232DE0EC" w14:textId="77777777">
        <w:tblPrEx>
          <w:tblCellMar>
            <w:top w:w="0" w:type="dxa"/>
            <w:bottom w:w="0" w:type="dxa"/>
          </w:tblCellMar>
        </w:tblPrEx>
        <w:trPr>
          <w:cantSplit/>
        </w:trPr>
        <w:tc>
          <w:tcPr>
            <w:tcW w:w="3100" w:type="dxa"/>
            <w:tcMar>
              <w:top w:w="90" w:type="dxa"/>
              <w:left w:w="120" w:type="dxa"/>
              <w:bottom w:w="90" w:type="dxa"/>
              <w:right w:w="120" w:type="dxa"/>
            </w:tcMar>
          </w:tcPr>
          <w:p w14:paraId="03A4637A" w14:textId="77777777" w:rsidR="00B038AF" w:rsidRDefault="00000000">
            <w:pPr>
              <w:spacing w:line="250" w:lineRule="auto"/>
            </w:pPr>
            <w:r>
              <w:rPr>
                <w:b/>
                <w:bCs/>
                <w:sz w:val="17"/>
                <w:szCs w:val="17"/>
              </w:rPr>
              <w:t>Previous preeclampsia</w:t>
            </w:r>
          </w:p>
        </w:tc>
        <w:tc>
          <w:tcPr>
            <w:tcW w:w="5920" w:type="dxa"/>
            <w:tcMar>
              <w:top w:w="90" w:type="dxa"/>
              <w:left w:w="120" w:type="dxa"/>
              <w:bottom w:w="90" w:type="dxa"/>
              <w:right w:w="120" w:type="dxa"/>
            </w:tcMar>
          </w:tcPr>
          <w:p w14:paraId="5488E7B5" w14:textId="77777777" w:rsidR="00B038AF" w:rsidRDefault="00000000">
            <w:pPr>
              <w:spacing w:line="250" w:lineRule="auto"/>
            </w:pPr>
            <w:r>
              <w:rPr>
                <w:sz w:val="17"/>
                <w:szCs w:val="17"/>
              </w:rPr>
              <w:t>Preeclampsia in a previous pregnancy</w:t>
            </w:r>
          </w:p>
        </w:tc>
      </w:tr>
      <w:tr w:rsidR="00B038AF" w14:paraId="485618A2" w14:textId="77777777">
        <w:tblPrEx>
          <w:tblCellMar>
            <w:top w:w="0" w:type="dxa"/>
            <w:bottom w:w="0" w:type="dxa"/>
          </w:tblCellMar>
        </w:tblPrEx>
        <w:trPr>
          <w:cantSplit/>
        </w:trPr>
        <w:tc>
          <w:tcPr>
            <w:tcW w:w="3100" w:type="dxa"/>
            <w:shd w:val="clear" w:color="auto" w:fill="FAF8F9"/>
            <w:tcMar>
              <w:top w:w="90" w:type="dxa"/>
              <w:left w:w="120" w:type="dxa"/>
              <w:bottom w:w="90" w:type="dxa"/>
              <w:right w:w="120" w:type="dxa"/>
            </w:tcMar>
          </w:tcPr>
          <w:p w14:paraId="321A933B" w14:textId="77777777" w:rsidR="00B038AF" w:rsidRDefault="00000000">
            <w:pPr>
              <w:spacing w:line="250" w:lineRule="auto"/>
            </w:pPr>
            <w:r>
              <w:rPr>
                <w:b/>
                <w:bCs/>
                <w:sz w:val="17"/>
                <w:szCs w:val="17"/>
              </w:rPr>
              <w:t>Multifetal gestation</w:t>
            </w:r>
          </w:p>
        </w:tc>
        <w:tc>
          <w:tcPr>
            <w:tcW w:w="5920" w:type="dxa"/>
            <w:shd w:val="clear" w:color="auto" w:fill="FAF8F9"/>
            <w:tcMar>
              <w:top w:w="90" w:type="dxa"/>
              <w:left w:w="120" w:type="dxa"/>
              <w:bottom w:w="90" w:type="dxa"/>
              <w:right w:w="120" w:type="dxa"/>
            </w:tcMar>
          </w:tcPr>
          <w:p w14:paraId="408EFB93" w14:textId="77777777" w:rsidR="00B038AF" w:rsidRDefault="00000000">
            <w:pPr>
              <w:spacing w:line="250" w:lineRule="auto"/>
            </w:pPr>
            <w:r>
              <w:rPr>
                <w:sz w:val="17"/>
                <w:szCs w:val="17"/>
              </w:rPr>
              <w:t>Current pregnancy with twins or more</w:t>
            </w:r>
          </w:p>
        </w:tc>
      </w:tr>
      <w:tr w:rsidR="00B038AF" w14:paraId="39091386" w14:textId="77777777">
        <w:tblPrEx>
          <w:tblCellMar>
            <w:top w:w="0" w:type="dxa"/>
            <w:bottom w:w="0" w:type="dxa"/>
          </w:tblCellMar>
        </w:tblPrEx>
        <w:trPr>
          <w:cantSplit/>
        </w:trPr>
        <w:tc>
          <w:tcPr>
            <w:tcW w:w="3100" w:type="dxa"/>
            <w:tcMar>
              <w:top w:w="90" w:type="dxa"/>
              <w:left w:w="120" w:type="dxa"/>
              <w:bottom w:w="90" w:type="dxa"/>
              <w:right w:w="120" w:type="dxa"/>
            </w:tcMar>
          </w:tcPr>
          <w:p w14:paraId="29FBDDB6" w14:textId="77777777" w:rsidR="00B038AF" w:rsidRDefault="00000000">
            <w:pPr>
              <w:spacing w:line="250" w:lineRule="auto"/>
            </w:pPr>
            <w:r>
              <w:rPr>
                <w:b/>
                <w:bCs/>
                <w:sz w:val="17"/>
                <w:szCs w:val="17"/>
              </w:rPr>
              <w:t>Chronic hypertension</w:t>
            </w:r>
          </w:p>
        </w:tc>
        <w:tc>
          <w:tcPr>
            <w:tcW w:w="5920" w:type="dxa"/>
            <w:tcMar>
              <w:top w:w="90" w:type="dxa"/>
              <w:left w:w="120" w:type="dxa"/>
              <w:bottom w:w="90" w:type="dxa"/>
              <w:right w:w="120" w:type="dxa"/>
            </w:tcMar>
          </w:tcPr>
          <w:p w14:paraId="3E75674F" w14:textId="77777777" w:rsidR="00B038AF" w:rsidRDefault="00000000">
            <w:pPr>
              <w:spacing w:line="250" w:lineRule="auto"/>
            </w:pPr>
            <w:r>
              <w:rPr>
                <w:sz w:val="17"/>
                <w:szCs w:val="17"/>
              </w:rPr>
              <w:t>Pre-existing chronic high blood pressure</w:t>
            </w:r>
          </w:p>
        </w:tc>
      </w:tr>
      <w:tr w:rsidR="00B038AF" w14:paraId="5AB70F99" w14:textId="77777777">
        <w:tblPrEx>
          <w:tblCellMar>
            <w:top w:w="0" w:type="dxa"/>
            <w:bottom w:w="0" w:type="dxa"/>
          </w:tblCellMar>
        </w:tblPrEx>
        <w:trPr>
          <w:cantSplit/>
        </w:trPr>
        <w:tc>
          <w:tcPr>
            <w:tcW w:w="3100" w:type="dxa"/>
            <w:shd w:val="clear" w:color="auto" w:fill="FAF8F9"/>
            <w:tcMar>
              <w:top w:w="90" w:type="dxa"/>
              <w:left w:w="120" w:type="dxa"/>
              <w:bottom w:w="90" w:type="dxa"/>
              <w:right w:w="120" w:type="dxa"/>
            </w:tcMar>
          </w:tcPr>
          <w:p w14:paraId="2C3EBCA5" w14:textId="77777777" w:rsidR="00B038AF" w:rsidRDefault="00000000">
            <w:pPr>
              <w:spacing w:line="250" w:lineRule="auto"/>
            </w:pPr>
            <w:r>
              <w:rPr>
                <w:b/>
                <w:bCs/>
                <w:sz w:val="17"/>
                <w:szCs w:val="17"/>
              </w:rPr>
              <w:t>Type 1 or type 2 diabetes</w:t>
            </w:r>
          </w:p>
        </w:tc>
        <w:tc>
          <w:tcPr>
            <w:tcW w:w="5920" w:type="dxa"/>
            <w:shd w:val="clear" w:color="auto" w:fill="FAF8F9"/>
            <w:tcMar>
              <w:top w:w="90" w:type="dxa"/>
              <w:left w:w="120" w:type="dxa"/>
              <w:bottom w:w="90" w:type="dxa"/>
              <w:right w:w="120" w:type="dxa"/>
            </w:tcMar>
          </w:tcPr>
          <w:p w14:paraId="7DD7CBEC" w14:textId="77777777" w:rsidR="00B038AF" w:rsidRDefault="00000000">
            <w:pPr>
              <w:spacing w:line="250" w:lineRule="auto"/>
            </w:pPr>
            <w:r>
              <w:rPr>
                <w:sz w:val="17"/>
                <w:szCs w:val="17"/>
              </w:rPr>
              <w:t>Pregestational diabetes</w:t>
            </w:r>
          </w:p>
        </w:tc>
      </w:tr>
      <w:tr w:rsidR="00B038AF" w14:paraId="6762F215" w14:textId="77777777">
        <w:tblPrEx>
          <w:tblCellMar>
            <w:top w:w="0" w:type="dxa"/>
            <w:bottom w:w="0" w:type="dxa"/>
          </w:tblCellMar>
        </w:tblPrEx>
        <w:trPr>
          <w:cantSplit/>
        </w:trPr>
        <w:tc>
          <w:tcPr>
            <w:tcW w:w="3100" w:type="dxa"/>
            <w:tcMar>
              <w:top w:w="90" w:type="dxa"/>
              <w:left w:w="120" w:type="dxa"/>
              <w:bottom w:w="90" w:type="dxa"/>
              <w:right w:w="120" w:type="dxa"/>
            </w:tcMar>
          </w:tcPr>
          <w:p w14:paraId="3BDE4BF4" w14:textId="77777777" w:rsidR="00B038AF" w:rsidRDefault="00000000">
            <w:pPr>
              <w:spacing w:line="250" w:lineRule="auto"/>
            </w:pPr>
            <w:r>
              <w:rPr>
                <w:b/>
                <w:bCs/>
                <w:sz w:val="17"/>
                <w:szCs w:val="17"/>
              </w:rPr>
              <w:t>Renal disease</w:t>
            </w:r>
          </w:p>
        </w:tc>
        <w:tc>
          <w:tcPr>
            <w:tcW w:w="5920" w:type="dxa"/>
            <w:tcMar>
              <w:top w:w="90" w:type="dxa"/>
              <w:left w:w="120" w:type="dxa"/>
              <w:bottom w:w="90" w:type="dxa"/>
              <w:right w:w="120" w:type="dxa"/>
            </w:tcMar>
          </w:tcPr>
          <w:p w14:paraId="5A14B4A5" w14:textId="77777777" w:rsidR="00B038AF" w:rsidRDefault="00000000">
            <w:pPr>
              <w:spacing w:line="250" w:lineRule="auto"/>
            </w:pPr>
            <w:r>
              <w:rPr>
                <w:sz w:val="17"/>
                <w:szCs w:val="17"/>
              </w:rPr>
              <w:t>Pre-existing kidney disease</w:t>
            </w:r>
          </w:p>
        </w:tc>
      </w:tr>
      <w:tr w:rsidR="00B038AF" w14:paraId="4BE08319" w14:textId="77777777">
        <w:tblPrEx>
          <w:tblCellMar>
            <w:top w:w="0" w:type="dxa"/>
            <w:bottom w:w="0" w:type="dxa"/>
          </w:tblCellMar>
        </w:tblPrEx>
        <w:trPr>
          <w:cantSplit/>
        </w:trPr>
        <w:tc>
          <w:tcPr>
            <w:tcW w:w="3100" w:type="dxa"/>
            <w:shd w:val="clear" w:color="auto" w:fill="FAF8F9"/>
            <w:tcMar>
              <w:top w:w="90" w:type="dxa"/>
              <w:left w:w="120" w:type="dxa"/>
              <w:bottom w:w="90" w:type="dxa"/>
              <w:right w:w="120" w:type="dxa"/>
            </w:tcMar>
          </w:tcPr>
          <w:p w14:paraId="59EE0F28" w14:textId="77777777" w:rsidR="00B038AF" w:rsidRDefault="00000000">
            <w:pPr>
              <w:spacing w:line="250" w:lineRule="auto"/>
            </w:pPr>
            <w:r>
              <w:rPr>
                <w:b/>
                <w:bCs/>
                <w:sz w:val="17"/>
                <w:szCs w:val="17"/>
              </w:rPr>
              <w:t>Autoimmune disease</w:t>
            </w:r>
          </w:p>
        </w:tc>
        <w:tc>
          <w:tcPr>
            <w:tcW w:w="5920" w:type="dxa"/>
            <w:shd w:val="clear" w:color="auto" w:fill="FAF8F9"/>
            <w:tcMar>
              <w:top w:w="90" w:type="dxa"/>
              <w:left w:w="120" w:type="dxa"/>
              <w:bottom w:w="90" w:type="dxa"/>
              <w:right w:w="120" w:type="dxa"/>
            </w:tcMar>
          </w:tcPr>
          <w:p w14:paraId="1CC85138" w14:textId="77777777" w:rsidR="00B038AF" w:rsidRDefault="00000000">
            <w:pPr>
              <w:spacing w:line="250" w:lineRule="auto"/>
            </w:pPr>
            <w:r>
              <w:rPr>
                <w:sz w:val="17"/>
                <w:szCs w:val="17"/>
              </w:rPr>
              <w:t xml:space="preserve">For </w:t>
            </w:r>
            <w:proofErr w:type="gramStart"/>
            <w:r>
              <w:rPr>
                <w:sz w:val="17"/>
                <w:szCs w:val="17"/>
              </w:rPr>
              <w:t>example</w:t>
            </w:r>
            <w:proofErr w:type="gramEnd"/>
            <w:r>
              <w:rPr>
                <w:sz w:val="17"/>
                <w:szCs w:val="17"/>
              </w:rPr>
              <w:t xml:space="preserve"> systemic lupus erythematosus or antiphospholipid syndrome</w:t>
            </w:r>
          </w:p>
        </w:tc>
      </w:tr>
    </w:tbl>
    <w:p w14:paraId="7F1220EF" w14:textId="77777777" w:rsidR="00B038AF" w:rsidRDefault="00B038AF">
      <w:pPr>
        <w:spacing w:after="120"/>
      </w:pPr>
    </w:p>
    <w:p w14:paraId="75865C45" w14:textId="77777777" w:rsidR="00B038AF" w:rsidRDefault="00000000">
      <w:pPr>
        <w:spacing w:after="130" w:line="280" w:lineRule="auto"/>
      </w:pPr>
      <w:r>
        <w:rPr>
          <w:b/>
          <w:bCs/>
        </w:rPr>
        <w:t>Decision rule: If a woman has at least one high-risk factor, ACOG/SMFM recommend low-dose aspirin to help prevent preeclampsia, when appropriate [5].</w:t>
      </w:r>
    </w:p>
    <w:p w14:paraId="3E8EAF30" w14:textId="77777777" w:rsidR="00B038AF" w:rsidRDefault="00000000">
      <w:pPr>
        <w:spacing w:before="300" w:after="110"/>
      </w:pPr>
      <w:proofErr w:type="gramStart"/>
      <w:r>
        <w:rPr>
          <w:b/>
          <w:bCs/>
          <w:color w:val="3B2F45"/>
          <w:sz w:val="24"/>
          <w:szCs w:val="24"/>
        </w:rPr>
        <w:t>2.3  Moderate</w:t>
      </w:r>
      <w:proofErr w:type="gramEnd"/>
      <w:r>
        <w:rPr>
          <w:b/>
          <w:bCs/>
          <w:color w:val="3B2F45"/>
          <w:sz w:val="24"/>
          <w:szCs w:val="24"/>
        </w:rPr>
        <w:t>-risk factors</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3100"/>
        <w:gridCol w:w="5920"/>
      </w:tblGrid>
      <w:tr w:rsidR="00B038AF" w14:paraId="3FC66780" w14:textId="77777777">
        <w:tblPrEx>
          <w:tblCellMar>
            <w:top w:w="0" w:type="dxa"/>
            <w:bottom w:w="0" w:type="dxa"/>
          </w:tblCellMar>
        </w:tblPrEx>
        <w:trPr>
          <w:cantSplit/>
          <w:tblHeader/>
        </w:trPr>
        <w:tc>
          <w:tcPr>
            <w:tcW w:w="3100" w:type="dxa"/>
            <w:shd w:val="clear" w:color="auto" w:fill="EFE7EC"/>
            <w:tcMar>
              <w:top w:w="90" w:type="dxa"/>
              <w:left w:w="120" w:type="dxa"/>
              <w:bottom w:w="90" w:type="dxa"/>
              <w:right w:w="120" w:type="dxa"/>
            </w:tcMar>
          </w:tcPr>
          <w:p w14:paraId="02E3A27A" w14:textId="77777777" w:rsidR="00B038AF" w:rsidRDefault="00000000">
            <w:pPr>
              <w:spacing w:line="250" w:lineRule="auto"/>
            </w:pPr>
            <w:r>
              <w:rPr>
                <w:b/>
                <w:bCs/>
                <w:color w:val="261E2D"/>
                <w:sz w:val="17"/>
                <w:szCs w:val="17"/>
              </w:rPr>
              <w:t>Moderate-risk factor</w:t>
            </w:r>
          </w:p>
        </w:tc>
        <w:tc>
          <w:tcPr>
            <w:tcW w:w="5920" w:type="dxa"/>
            <w:shd w:val="clear" w:color="auto" w:fill="EFE7EC"/>
            <w:tcMar>
              <w:top w:w="90" w:type="dxa"/>
              <w:left w:w="120" w:type="dxa"/>
              <w:bottom w:w="90" w:type="dxa"/>
              <w:right w:w="120" w:type="dxa"/>
            </w:tcMar>
          </w:tcPr>
          <w:p w14:paraId="71DCD438" w14:textId="77777777" w:rsidR="00B038AF" w:rsidRDefault="00000000">
            <w:pPr>
              <w:spacing w:line="250" w:lineRule="auto"/>
            </w:pPr>
            <w:r>
              <w:rPr>
                <w:b/>
                <w:bCs/>
                <w:color w:val="261E2D"/>
                <w:sz w:val="17"/>
                <w:szCs w:val="17"/>
              </w:rPr>
              <w:t>Meaning</w:t>
            </w:r>
          </w:p>
        </w:tc>
      </w:tr>
      <w:tr w:rsidR="00B038AF" w14:paraId="62633FED" w14:textId="77777777">
        <w:tblPrEx>
          <w:tblCellMar>
            <w:top w:w="0" w:type="dxa"/>
            <w:bottom w:w="0" w:type="dxa"/>
          </w:tblCellMar>
        </w:tblPrEx>
        <w:trPr>
          <w:cantSplit/>
        </w:trPr>
        <w:tc>
          <w:tcPr>
            <w:tcW w:w="3100" w:type="dxa"/>
            <w:tcMar>
              <w:top w:w="90" w:type="dxa"/>
              <w:left w:w="120" w:type="dxa"/>
              <w:bottom w:w="90" w:type="dxa"/>
              <w:right w:w="120" w:type="dxa"/>
            </w:tcMar>
          </w:tcPr>
          <w:p w14:paraId="397D6D58" w14:textId="77777777" w:rsidR="00B038AF" w:rsidRDefault="00000000">
            <w:pPr>
              <w:spacing w:line="250" w:lineRule="auto"/>
            </w:pPr>
            <w:r>
              <w:rPr>
                <w:b/>
                <w:bCs/>
                <w:sz w:val="17"/>
                <w:szCs w:val="17"/>
              </w:rPr>
              <w:t>Nulliparity</w:t>
            </w:r>
          </w:p>
        </w:tc>
        <w:tc>
          <w:tcPr>
            <w:tcW w:w="5920" w:type="dxa"/>
            <w:tcMar>
              <w:top w:w="90" w:type="dxa"/>
              <w:left w:w="120" w:type="dxa"/>
              <w:bottom w:w="90" w:type="dxa"/>
              <w:right w:w="120" w:type="dxa"/>
            </w:tcMar>
          </w:tcPr>
          <w:p w14:paraId="1BD8ACA0" w14:textId="77777777" w:rsidR="00B038AF" w:rsidRDefault="00000000">
            <w:pPr>
              <w:spacing w:line="250" w:lineRule="auto"/>
            </w:pPr>
            <w:r>
              <w:rPr>
                <w:sz w:val="17"/>
                <w:szCs w:val="17"/>
              </w:rPr>
              <w:t>No previous birth</w:t>
            </w:r>
          </w:p>
        </w:tc>
      </w:tr>
      <w:tr w:rsidR="00B038AF" w14:paraId="1360B809" w14:textId="77777777">
        <w:tblPrEx>
          <w:tblCellMar>
            <w:top w:w="0" w:type="dxa"/>
            <w:bottom w:w="0" w:type="dxa"/>
          </w:tblCellMar>
        </w:tblPrEx>
        <w:trPr>
          <w:cantSplit/>
        </w:trPr>
        <w:tc>
          <w:tcPr>
            <w:tcW w:w="3100" w:type="dxa"/>
            <w:shd w:val="clear" w:color="auto" w:fill="FAF8F9"/>
            <w:tcMar>
              <w:top w:w="90" w:type="dxa"/>
              <w:left w:w="120" w:type="dxa"/>
              <w:bottom w:w="90" w:type="dxa"/>
              <w:right w:w="120" w:type="dxa"/>
            </w:tcMar>
          </w:tcPr>
          <w:p w14:paraId="14986415" w14:textId="77777777" w:rsidR="00B038AF" w:rsidRDefault="00000000">
            <w:pPr>
              <w:spacing w:line="250" w:lineRule="auto"/>
            </w:pPr>
            <w:r>
              <w:rPr>
                <w:b/>
                <w:bCs/>
                <w:sz w:val="17"/>
                <w:szCs w:val="17"/>
              </w:rPr>
              <w:t>Obesity</w:t>
            </w:r>
          </w:p>
        </w:tc>
        <w:tc>
          <w:tcPr>
            <w:tcW w:w="5920" w:type="dxa"/>
            <w:shd w:val="clear" w:color="auto" w:fill="FAF8F9"/>
            <w:tcMar>
              <w:top w:w="90" w:type="dxa"/>
              <w:left w:w="120" w:type="dxa"/>
              <w:bottom w:w="90" w:type="dxa"/>
              <w:right w:w="120" w:type="dxa"/>
            </w:tcMar>
          </w:tcPr>
          <w:p w14:paraId="35442C35" w14:textId="77777777" w:rsidR="00B038AF" w:rsidRDefault="00000000">
            <w:pPr>
              <w:spacing w:line="250" w:lineRule="auto"/>
            </w:pPr>
            <w:proofErr w:type="spellStart"/>
            <w:r>
              <w:rPr>
                <w:sz w:val="17"/>
                <w:szCs w:val="17"/>
              </w:rPr>
              <w:t>Prepregnancy</w:t>
            </w:r>
            <w:proofErr w:type="spellEnd"/>
            <w:r>
              <w:rPr>
                <w:sz w:val="17"/>
                <w:szCs w:val="17"/>
              </w:rPr>
              <w:t xml:space="preserve"> BMI ≥30 kg/m²</w:t>
            </w:r>
          </w:p>
        </w:tc>
      </w:tr>
      <w:tr w:rsidR="00B038AF" w14:paraId="7478E650" w14:textId="77777777">
        <w:tblPrEx>
          <w:tblCellMar>
            <w:top w:w="0" w:type="dxa"/>
            <w:bottom w:w="0" w:type="dxa"/>
          </w:tblCellMar>
        </w:tblPrEx>
        <w:trPr>
          <w:cantSplit/>
        </w:trPr>
        <w:tc>
          <w:tcPr>
            <w:tcW w:w="3100" w:type="dxa"/>
            <w:tcMar>
              <w:top w:w="90" w:type="dxa"/>
              <w:left w:w="120" w:type="dxa"/>
              <w:bottom w:w="90" w:type="dxa"/>
              <w:right w:w="120" w:type="dxa"/>
            </w:tcMar>
          </w:tcPr>
          <w:p w14:paraId="0080EF64" w14:textId="77777777" w:rsidR="00B038AF" w:rsidRDefault="00000000">
            <w:pPr>
              <w:spacing w:line="250" w:lineRule="auto"/>
            </w:pPr>
            <w:r>
              <w:rPr>
                <w:b/>
                <w:bCs/>
                <w:sz w:val="17"/>
                <w:szCs w:val="17"/>
              </w:rPr>
              <w:t>Family history</w:t>
            </w:r>
          </w:p>
        </w:tc>
        <w:tc>
          <w:tcPr>
            <w:tcW w:w="5920" w:type="dxa"/>
            <w:tcMar>
              <w:top w:w="90" w:type="dxa"/>
              <w:left w:w="120" w:type="dxa"/>
              <w:bottom w:w="90" w:type="dxa"/>
              <w:right w:w="120" w:type="dxa"/>
            </w:tcMar>
          </w:tcPr>
          <w:p w14:paraId="6D6C72B1" w14:textId="77777777" w:rsidR="00B038AF" w:rsidRDefault="00000000">
            <w:pPr>
              <w:spacing w:line="250" w:lineRule="auto"/>
            </w:pPr>
            <w:r>
              <w:rPr>
                <w:sz w:val="17"/>
                <w:szCs w:val="17"/>
              </w:rPr>
              <w:t>Mother or sister had preeclampsia</w:t>
            </w:r>
          </w:p>
        </w:tc>
      </w:tr>
      <w:tr w:rsidR="00B038AF" w14:paraId="62DC1777" w14:textId="77777777">
        <w:tblPrEx>
          <w:tblCellMar>
            <w:top w:w="0" w:type="dxa"/>
            <w:bottom w:w="0" w:type="dxa"/>
          </w:tblCellMar>
        </w:tblPrEx>
        <w:trPr>
          <w:cantSplit/>
        </w:trPr>
        <w:tc>
          <w:tcPr>
            <w:tcW w:w="3100" w:type="dxa"/>
            <w:shd w:val="clear" w:color="auto" w:fill="FAF8F9"/>
            <w:tcMar>
              <w:top w:w="90" w:type="dxa"/>
              <w:left w:w="120" w:type="dxa"/>
              <w:bottom w:w="90" w:type="dxa"/>
              <w:right w:w="120" w:type="dxa"/>
            </w:tcMar>
          </w:tcPr>
          <w:p w14:paraId="5D2873BC" w14:textId="77777777" w:rsidR="00B038AF" w:rsidRDefault="00000000">
            <w:pPr>
              <w:spacing w:line="250" w:lineRule="auto"/>
            </w:pPr>
            <w:r>
              <w:rPr>
                <w:b/>
                <w:bCs/>
                <w:sz w:val="17"/>
                <w:szCs w:val="17"/>
              </w:rPr>
              <w:t>Low socioeconomic status</w:t>
            </w:r>
          </w:p>
        </w:tc>
        <w:tc>
          <w:tcPr>
            <w:tcW w:w="5920" w:type="dxa"/>
            <w:shd w:val="clear" w:color="auto" w:fill="FAF8F9"/>
            <w:tcMar>
              <w:top w:w="90" w:type="dxa"/>
              <w:left w:w="120" w:type="dxa"/>
              <w:bottom w:w="90" w:type="dxa"/>
              <w:right w:w="120" w:type="dxa"/>
            </w:tcMar>
          </w:tcPr>
          <w:p w14:paraId="73ECEA0E" w14:textId="77777777" w:rsidR="00B038AF" w:rsidRDefault="00000000">
            <w:pPr>
              <w:spacing w:line="250" w:lineRule="auto"/>
            </w:pPr>
            <w:r>
              <w:rPr>
                <w:sz w:val="17"/>
                <w:szCs w:val="17"/>
              </w:rPr>
              <w:t>A social-risk factor in the 2020 checklist</w:t>
            </w:r>
          </w:p>
        </w:tc>
      </w:tr>
      <w:tr w:rsidR="00B038AF" w14:paraId="079599B5" w14:textId="77777777">
        <w:tblPrEx>
          <w:tblCellMar>
            <w:top w:w="0" w:type="dxa"/>
            <w:bottom w:w="0" w:type="dxa"/>
          </w:tblCellMar>
        </w:tblPrEx>
        <w:trPr>
          <w:cantSplit/>
        </w:trPr>
        <w:tc>
          <w:tcPr>
            <w:tcW w:w="3100" w:type="dxa"/>
            <w:tcMar>
              <w:top w:w="90" w:type="dxa"/>
              <w:left w:w="120" w:type="dxa"/>
              <w:bottom w:w="90" w:type="dxa"/>
              <w:right w:w="120" w:type="dxa"/>
            </w:tcMar>
          </w:tcPr>
          <w:p w14:paraId="307D1E27" w14:textId="77777777" w:rsidR="00B038AF" w:rsidRDefault="00000000">
            <w:pPr>
              <w:spacing w:line="250" w:lineRule="auto"/>
            </w:pPr>
            <w:r>
              <w:rPr>
                <w:b/>
                <w:bCs/>
                <w:sz w:val="17"/>
                <w:szCs w:val="17"/>
              </w:rPr>
              <w:t>Maternal age ≥35 years</w:t>
            </w:r>
          </w:p>
        </w:tc>
        <w:tc>
          <w:tcPr>
            <w:tcW w:w="5920" w:type="dxa"/>
            <w:tcMar>
              <w:top w:w="90" w:type="dxa"/>
              <w:left w:w="120" w:type="dxa"/>
              <w:bottom w:w="90" w:type="dxa"/>
              <w:right w:w="120" w:type="dxa"/>
            </w:tcMar>
          </w:tcPr>
          <w:p w14:paraId="4AFA838D" w14:textId="77777777" w:rsidR="00B038AF" w:rsidRDefault="00000000">
            <w:pPr>
              <w:spacing w:line="250" w:lineRule="auto"/>
            </w:pPr>
            <w:r>
              <w:rPr>
                <w:sz w:val="17"/>
                <w:szCs w:val="17"/>
              </w:rPr>
              <w:t>Age 35 years or older</w:t>
            </w:r>
          </w:p>
        </w:tc>
      </w:tr>
      <w:tr w:rsidR="00B038AF" w14:paraId="49CD8A98" w14:textId="77777777">
        <w:tblPrEx>
          <w:tblCellMar>
            <w:top w:w="0" w:type="dxa"/>
            <w:bottom w:w="0" w:type="dxa"/>
          </w:tblCellMar>
        </w:tblPrEx>
        <w:trPr>
          <w:cantSplit/>
        </w:trPr>
        <w:tc>
          <w:tcPr>
            <w:tcW w:w="3100" w:type="dxa"/>
            <w:shd w:val="clear" w:color="auto" w:fill="FAF8F9"/>
            <w:tcMar>
              <w:top w:w="90" w:type="dxa"/>
              <w:left w:w="120" w:type="dxa"/>
              <w:bottom w:w="90" w:type="dxa"/>
              <w:right w:w="120" w:type="dxa"/>
            </w:tcMar>
          </w:tcPr>
          <w:p w14:paraId="1136744C" w14:textId="77777777" w:rsidR="00B038AF" w:rsidRDefault="00000000">
            <w:pPr>
              <w:spacing w:line="250" w:lineRule="auto"/>
            </w:pPr>
            <w:r>
              <w:rPr>
                <w:b/>
                <w:bCs/>
                <w:sz w:val="17"/>
                <w:szCs w:val="17"/>
              </w:rPr>
              <w:t>Prior low-birthweight / SGA history</w:t>
            </w:r>
          </w:p>
        </w:tc>
        <w:tc>
          <w:tcPr>
            <w:tcW w:w="5920" w:type="dxa"/>
            <w:shd w:val="clear" w:color="auto" w:fill="FAF8F9"/>
            <w:tcMar>
              <w:top w:w="90" w:type="dxa"/>
              <w:left w:w="120" w:type="dxa"/>
              <w:bottom w:w="90" w:type="dxa"/>
              <w:right w:w="120" w:type="dxa"/>
            </w:tcMar>
          </w:tcPr>
          <w:p w14:paraId="71183C48" w14:textId="77777777" w:rsidR="00B038AF" w:rsidRDefault="00000000">
            <w:pPr>
              <w:spacing w:line="250" w:lineRule="auto"/>
            </w:pPr>
            <w:r>
              <w:rPr>
                <w:sz w:val="17"/>
                <w:szCs w:val="17"/>
              </w:rPr>
              <w:t>Relevant previous low-birthweight or small-for-gestational-age history</w:t>
            </w:r>
          </w:p>
        </w:tc>
      </w:tr>
      <w:tr w:rsidR="00B038AF" w14:paraId="793CAF7E" w14:textId="77777777">
        <w:tblPrEx>
          <w:tblCellMar>
            <w:top w:w="0" w:type="dxa"/>
            <w:bottom w:w="0" w:type="dxa"/>
          </w:tblCellMar>
        </w:tblPrEx>
        <w:trPr>
          <w:cantSplit/>
        </w:trPr>
        <w:tc>
          <w:tcPr>
            <w:tcW w:w="3100" w:type="dxa"/>
            <w:tcMar>
              <w:top w:w="90" w:type="dxa"/>
              <w:left w:w="120" w:type="dxa"/>
              <w:bottom w:w="90" w:type="dxa"/>
              <w:right w:w="120" w:type="dxa"/>
            </w:tcMar>
          </w:tcPr>
          <w:p w14:paraId="6D4ACD8C" w14:textId="77777777" w:rsidR="00B038AF" w:rsidRDefault="00000000">
            <w:pPr>
              <w:spacing w:line="250" w:lineRule="auto"/>
            </w:pPr>
            <w:r>
              <w:rPr>
                <w:b/>
                <w:bCs/>
                <w:sz w:val="17"/>
                <w:szCs w:val="17"/>
              </w:rPr>
              <w:t>Previous adverse pregnancy outcome</w:t>
            </w:r>
          </w:p>
        </w:tc>
        <w:tc>
          <w:tcPr>
            <w:tcW w:w="5920" w:type="dxa"/>
            <w:tcMar>
              <w:top w:w="90" w:type="dxa"/>
              <w:left w:w="120" w:type="dxa"/>
              <w:bottom w:w="90" w:type="dxa"/>
              <w:right w:w="120" w:type="dxa"/>
            </w:tcMar>
          </w:tcPr>
          <w:p w14:paraId="69BC5603" w14:textId="77777777" w:rsidR="00B038AF" w:rsidRDefault="00000000">
            <w:pPr>
              <w:spacing w:line="250" w:lineRule="auto"/>
            </w:pPr>
            <w:r>
              <w:rPr>
                <w:sz w:val="17"/>
                <w:szCs w:val="17"/>
              </w:rPr>
              <w:t>Relevant adverse outcome in a previous pregnancy</w:t>
            </w:r>
          </w:p>
        </w:tc>
      </w:tr>
      <w:tr w:rsidR="00B038AF" w14:paraId="748E84F0" w14:textId="77777777">
        <w:tblPrEx>
          <w:tblCellMar>
            <w:top w:w="0" w:type="dxa"/>
            <w:bottom w:w="0" w:type="dxa"/>
          </w:tblCellMar>
        </w:tblPrEx>
        <w:trPr>
          <w:cantSplit/>
        </w:trPr>
        <w:tc>
          <w:tcPr>
            <w:tcW w:w="3100" w:type="dxa"/>
            <w:shd w:val="clear" w:color="auto" w:fill="FAF8F9"/>
            <w:tcMar>
              <w:top w:w="90" w:type="dxa"/>
              <w:left w:w="120" w:type="dxa"/>
              <w:bottom w:w="90" w:type="dxa"/>
              <w:right w:w="120" w:type="dxa"/>
            </w:tcMar>
          </w:tcPr>
          <w:p w14:paraId="28255F06" w14:textId="77777777" w:rsidR="00B038AF" w:rsidRDefault="00000000">
            <w:pPr>
              <w:spacing w:line="250" w:lineRule="auto"/>
            </w:pPr>
            <w:r>
              <w:rPr>
                <w:b/>
                <w:bCs/>
                <w:sz w:val="17"/>
                <w:szCs w:val="17"/>
              </w:rPr>
              <w:t>Interpregnancy interval &gt;10 years</w:t>
            </w:r>
          </w:p>
        </w:tc>
        <w:tc>
          <w:tcPr>
            <w:tcW w:w="5920" w:type="dxa"/>
            <w:shd w:val="clear" w:color="auto" w:fill="FAF8F9"/>
            <w:tcMar>
              <w:top w:w="90" w:type="dxa"/>
              <w:left w:w="120" w:type="dxa"/>
              <w:bottom w:w="90" w:type="dxa"/>
              <w:right w:w="120" w:type="dxa"/>
            </w:tcMar>
          </w:tcPr>
          <w:p w14:paraId="3CBB3289" w14:textId="77777777" w:rsidR="00B038AF" w:rsidRDefault="00000000">
            <w:pPr>
              <w:spacing w:line="250" w:lineRule="auto"/>
            </w:pPr>
            <w:r>
              <w:rPr>
                <w:sz w:val="17"/>
                <w:szCs w:val="17"/>
              </w:rPr>
              <w:t>More than 10 years since the previous pregnancy</w:t>
            </w:r>
          </w:p>
        </w:tc>
      </w:tr>
      <w:tr w:rsidR="00B038AF" w14:paraId="3616D379" w14:textId="77777777">
        <w:tblPrEx>
          <w:tblCellMar>
            <w:top w:w="0" w:type="dxa"/>
            <w:bottom w:w="0" w:type="dxa"/>
          </w:tblCellMar>
        </w:tblPrEx>
        <w:trPr>
          <w:cantSplit/>
        </w:trPr>
        <w:tc>
          <w:tcPr>
            <w:tcW w:w="3100" w:type="dxa"/>
            <w:tcMar>
              <w:top w:w="90" w:type="dxa"/>
              <w:left w:w="120" w:type="dxa"/>
              <w:bottom w:w="90" w:type="dxa"/>
              <w:right w:w="120" w:type="dxa"/>
            </w:tcMar>
          </w:tcPr>
          <w:p w14:paraId="1A8EDCDB" w14:textId="77777777" w:rsidR="00B038AF" w:rsidRDefault="00000000">
            <w:pPr>
              <w:spacing w:line="250" w:lineRule="auto"/>
            </w:pPr>
            <w:r>
              <w:rPr>
                <w:b/>
                <w:bCs/>
                <w:sz w:val="17"/>
                <w:szCs w:val="17"/>
              </w:rPr>
              <w:t>Race factor</w:t>
            </w:r>
          </w:p>
        </w:tc>
        <w:tc>
          <w:tcPr>
            <w:tcW w:w="5920" w:type="dxa"/>
            <w:tcMar>
              <w:top w:w="90" w:type="dxa"/>
              <w:left w:w="120" w:type="dxa"/>
              <w:bottom w:w="90" w:type="dxa"/>
              <w:right w:w="120" w:type="dxa"/>
            </w:tcMar>
          </w:tcPr>
          <w:p w14:paraId="75BB8629" w14:textId="77777777" w:rsidR="00B038AF" w:rsidRDefault="00000000">
            <w:pPr>
              <w:spacing w:line="250" w:lineRule="auto"/>
            </w:pPr>
            <w:r>
              <w:rPr>
                <w:sz w:val="17"/>
                <w:szCs w:val="17"/>
              </w:rPr>
              <w:t>Included as a moderate-risk factor in the U.S.-based checklist, reflecting social and healthcare disparities rather than biological differences</w:t>
            </w:r>
          </w:p>
        </w:tc>
      </w:tr>
    </w:tbl>
    <w:p w14:paraId="24BB971C" w14:textId="77777777" w:rsidR="00B038AF" w:rsidRDefault="00B038AF">
      <w:pPr>
        <w:spacing w:after="120"/>
      </w:pPr>
    </w:p>
    <w:p w14:paraId="4BA0D1F5" w14:textId="77777777" w:rsidR="00B038AF" w:rsidRDefault="00000000">
      <w:pPr>
        <w:spacing w:after="130" w:line="280" w:lineRule="auto"/>
      </w:pPr>
      <w:r>
        <w:rPr>
          <w:b/>
          <w:bCs/>
        </w:rPr>
        <w:t>Decision rule: with more than one moderate-risk factor, low-dose aspirin should be considered/recommended according to the applicable ACOG/SMFM guidance [5].</w:t>
      </w:r>
    </w:p>
    <w:p w14:paraId="73A37419" w14:textId="77777777" w:rsidR="00B038AF" w:rsidRDefault="00000000">
      <w:pPr>
        <w:spacing w:before="300" w:after="110"/>
      </w:pPr>
      <w:proofErr w:type="gramStart"/>
      <w:r>
        <w:rPr>
          <w:b/>
          <w:bCs/>
          <w:color w:val="3B2F45"/>
          <w:sz w:val="24"/>
          <w:szCs w:val="24"/>
        </w:rPr>
        <w:lastRenderedPageBreak/>
        <w:t>2.4  How</w:t>
      </w:r>
      <w:proofErr w:type="gramEnd"/>
      <w:r>
        <w:rPr>
          <w:b/>
          <w:bCs/>
          <w:color w:val="3B2F45"/>
          <w:sz w:val="24"/>
          <w:szCs w:val="24"/>
        </w:rPr>
        <w:t xml:space="preserve"> the factors combine</w:t>
      </w:r>
    </w:p>
    <w:p w14:paraId="60A9E9F4" w14:textId="77777777" w:rsidR="00B038AF" w:rsidRDefault="00000000">
      <w:pPr>
        <w:spacing w:after="130" w:line="280" w:lineRule="auto"/>
      </w:pPr>
      <w:r>
        <w:t>The two decision rules above are not independent statements about single factors. They are a counting rule, and a woman normally arrives with several factors at once. The table below works the rule through the combinations that occur most often, and shows what the same woman would look like to a combined model of the kind described in Part 3.</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900"/>
        <w:gridCol w:w="900"/>
        <w:gridCol w:w="900"/>
        <w:gridCol w:w="2100"/>
        <w:gridCol w:w="2220"/>
      </w:tblGrid>
      <w:tr w:rsidR="00B038AF" w14:paraId="2518626B" w14:textId="77777777">
        <w:tblPrEx>
          <w:tblCellMar>
            <w:top w:w="0" w:type="dxa"/>
            <w:bottom w:w="0" w:type="dxa"/>
          </w:tblCellMar>
        </w:tblPrEx>
        <w:trPr>
          <w:cantSplit/>
          <w:tblHeader/>
        </w:trPr>
        <w:tc>
          <w:tcPr>
            <w:tcW w:w="2900" w:type="dxa"/>
            <w:shd w:val="clear" w:color="auto" w:fill="EFE7EC"/>
            <w:tcMar>
              <w:top w:w="90" w:type="dxa"/>
              <w:left w:w="120" w:type="dxa"/>
              <w:bottom w:w="90" w:type="dxa"/>
              <w:right w:w="120" w:type="dxa"/>
            </w:tcMar>
          </w:tcPr>
          <w:p w14:paraId="71810DAE" w14:textId="77777777" w:rsidR="00B038AF" w:rsidRDefault="00000000">
            <w:pPr>
              <w:spacing w:line="250" w:lineRule="auto"/>
            </w:pPr>
            <w:r>
              <w:rPr>
                <w:b/>
                <w:bCs/>
                <w:color w:val="261E2D"/>
                <w:sz w:val="15"/>
                <w:szCs w:val="15"/>
              </w:rPr>
              <w:t>Combination she arrives with</w:t>
            </w:r>
          </w:p>
        </w:tc>
        <w:tc>
          <w:tcPr>
            <w:tcW w:w="900" w:type="dxa"/>
            <w:shd w:val="clear" w:color="auto" w:fill="EFE7EC"/>
            <w:tcMar>
              <w:top w:w="90" w:type="dxa"/>
              <w:left w:w="120" w:type="dxa"/>
              <w:bottom w:w="90" w:type="dxa"/>
              <w:right w:w="120" w:type="dxa"/>
            </w:tcMar>
          </w:tcPr>
          <w:p w14:paraId="7EF6B675" w14:textId="77777777" w:rsidR="00B038AF" w:rsidRDefault="00000000">
            <w:pPr>
              <w:spacing w:line="250" w:lineRule="auto"/>
            </w:pPr>
            <w:r>
              <w:rPr>
                <w:b/>
                <w:bCs/>
                <w:color w:val="261E2D"/>
                <w:sz w:val="15"/>
                <w:szCs w:val="15"/>
              </w:rPr>
              <w:t>High</w:t>
            </w:r>
          </w:p>
        </w:tc>
        <w:tc>
          <w:tcPr>
            <w:tcW w:w="900" w:type="dxa"/>
            <w:shd w:val="clear" w:color="auto" w:fill="EFE7EC"/>
            <w:tcMar>
              <w:top w:w="90" w:type="dxa"/>
              <w:left w:w="120" w:type="dxa"/>
              <w:bottom w:w="90" w:type="dxa"/>
              <w:right w:w="120" w:type="dxa"/>
            </w:tcMar>
          </w:tcPr>
          <w:p w14:paraId="59C29639" w14:textId="77777777" w:rsidR="00B038AF" w:rsidRDefault="00000000">
            <w:pPr>
              <w:spacing w:line="250" w:lineRule="auto"/>
            </w:pPr>
            <w:r>
              <w:rPr>
                <w:b/>
                <w:bCs/>
                <w:color w:val="261E2D"/>
                <w:sz w:val="15"/>
                <w:szCs w:val="15"/>
              </w:rPr>
              <w:t>Mod.</w:t>
            </w:r>
          </w:p>
        </w:tc>
        <w:tc>
          <w:tcPr>
            <w:tcW w:w="2100" w:type="dxa"/>
            <w:shd w:val="clear" w:color="auto" w:fill="EFE7EC"/>
            <w:tcMar>
              <w:top w:w="90" w:type="dxa"/>
              <w:left w:w="120" w:type="dxa"/>
              <w:bottom w:w="90" w:type="dxa"/>
              <w:right w:w="120" w:type="dxa"/>
            </w:tcMar>
          </w:tcPr>
          <w:p w14:paraId="1909DBF4" w14:textId="77777777" w:rsidR="00B038AF" w:rsidRDefault="00000000">
            <w:pPr>
              <w:spacing w:line="250" w:lineRule="auto"/>
            </w:pPr>
            <w:r>
              <w:rPr>
                <w:b/>
                <w:bCs/>
                <w:color w:val="261E2D"/>
                <w:sz w:val="15"/>
                <w:szCs w:val="15"/>
              </w:rPr>
              <w:t>What the checklist decides</w:t>
            </w:r>
          </w:p>
        </w:tc>
        <w:tc>
          <w:tcPr>
            <w:tcW w:w="2220" w:type="dxa"/>
            <w:shd w:val="clear" w:color="auto" w:fill="EFE7EC"/>
            <w:tcMar>
              <w:top w:w="90" w:type="dxa"/>
              <w:left w:w="120" w:type="dxa"/>
              <w:bottom w:w="90" w:type="dxa"/>
              <w:right w:w="120" w:type="dxa"/>
            </w:tcMar>
          </w:tcPr>
          <w:p w14:paraId="2A47F1EA" w14:textId="77777777" w:rsidR="00B038AF" w:rsidRDefault="00000000">
            <w:pPr>
              <w:spacing w:line="250" w:lineRule="auto"/>
            </w:pPr>
            <w:r>
              <w:rPr>
                <w:b/>
                <w:bCs/>
                <w:color w:val="261E2D"/>
                <w:sz w:val="15"/>
                <w:szCs w:val="15"/>
              </w:rPr>
              <w:t>What a combined model would add</w:t>
            </w:r>
          </w:p>
        </w:tc>
      </w:tr>
      <w:tr w:rsidR="00B038AF" w14:paraId="37B513EA" w14:textId="77777777">
        <w:tblPrEx>
          <w:tblCellMar>
            <w:top w:w="0" w:type="dxa"/>
            <w:bottom w:w="0" w:type="dxa"/>
          </w:tblCellMar>
        </w:tblPrEx>
        <w:trPr>
          <w:cantSplit/>
        </w:trPr>
        <w:tc>
          <w:tcPr>
            <w:tcW w:w="2900" w:type="dxa"/>
            <w:tcMar>
              <w:top w:w="90" w:type="dxa"/>
              <w:left w:w="120" w:type="dxa"/>
              <w:bottom w:w="90" w:type="dxa"/>
              <w:right w:w="120" w:type="dxa"/>
            </w:tcMar>
          </w:tcPr>
          <w:p w14:paraId="3384767E" w14:textId="77777777" w:rsidR="00B038AF" w:rsidRDefault="00000000">
            <w:pPr>
              <w:spacing w:line="250" w:lineRule="auto"/>
            </w:pPr>
            <w:r>
              <w:rPr>
                <w:b/>
                <w:bCs/>
                <w:sz w:val="15"/>
                <w:szCs w:val="15"/>
              </w:rPr>
              <w:t>Chronic hypertension only</w:t>
            </w:r>
          </w:p>
        </w:tc>
        <w:tc>
          <w:tcPr>
            <w:tcW w:w="900" w:type="dxa"/>
            <w:tcMar>
              <w:top w:w="90" w:type="dxa"/>
              <w:left w:w="120" w:type="dxa"/>
              <w:bottom w:w="90" w:type="dxa"/>
              <w:right w:w="120" w:type="dxa"/>
            </w:tcMar>
          </w:tcPr>
          <w:p w14:paraId="7BC28E85" w14:textId="77777777" w:rsidR="00B038AF" w:rsidRDefault="00000000">
            <w:pPr>
              <w:spacing w:line="250" w:lineRule="auto"/>
            </w:pPr>
            <w:r>
              <w:rPr>
                <w:sz w:val="15"/>
                <w:szCs w:val="15"/>
              </w:rPr>
              <w:t>1</w:t>
            </w:r>
          </w:p>
        </w:tc>
        <w:tc>
          <w:tcPr>
            <w:tcW w:w="900" w:type="dxa"/>
            <w:tcMar>
              <w:top w:w="90" w:type="dxa"/>
              <w:left w:w="120" w:type="dxa"/>
              <w:bottom w:w="90" w:type="dxa"/>
              <w:right w:w="120" w:type="dxa"/>
            </w:tcMar>
          </w:tcPr>
          <w:p w14:paraId="71E280D8" w14:textId="77777777" w:rsidR="00B038AF" w:rsidRDefault="00000000">
            <w:pPr>
              <w:spacing w:line="250" w:lineRule="auto"/>
            </w:pPr>
            <w:r>
              <w:rPr>
                <w:sz w:val="15"/>
                <w:szCs w:val="15"/>
              </w:rPr>
              <w:t>0</w:t>
            </w:r>
          </w:p>
        </w:tc>
        <w:tc>
          <w:tcPr>
            <w:tcW w:w="2100" w:type="dxa"/>
            <w:tcMar>
              <w:top w:w="90" w:type="dxa"/>
              <w:left w:w="120" w:type="dxa"/>
              <w:bottom w:w="90" w:type="dxa"/>
              <w:right w:w="120" w:type="dxa"/>
            </w:tcMar>
          </w:tcPr>
          <w:p w14:paraId="1975DA7A" w14:textId="77777777" w:rsidR="00B038AF" w:rsidRDefault="00000000">
            <w:pPr>
              <w:spacing w:line="250" w:lineRule="auto"/>
            </w:pPr>
            <w:r>
              <w:rPr>
                <w:sz w:val="15"/>
                <w:szCs w:val="15"/>
              </w:rPr>
              <w:t>Aspirin recommended — one high-risk factor is enough</w:t>
            </w:r>
          </w:p>
        </w:tc>
        <w:tc>
          <w:tcPr>
            <w:tcW w:w="2220" w:type="dxa"/>
            <w:tcMar>
              <w:top w:w="90" w:type="dxa"/>
              <w:left w:w="120" w:type="dxa"/>
              <w:bottom w:w="90" w:type="dxa"/>
              <w:right w:w="120" w:type="dxa"/>
            </w:tcMar>
          </w:tcPr>
          <w:p w14:paraId="594B4579" w14:textId="77777777" w:rsidR="00B038AF" w:rsidRDefault="00000000">
            <w:pPr>
              <w:spacing w:line="250" w:lineRule="auto"/>
            </w:pPr>
            <w:r>
              <w:rPr>
                <w:sz w:val="15"/>
                <w:szCs w:val="15"/>
              </w:rPr>
              <w:t>How high her pressure actually is today, and for how long</w:t>
            </w:r>
          </w:p>
        </w:tc>
      </w:tr>
      <w:tr w:rsidR="00B038AF" w14:paraId="199656D8" w14:textId="77777777">
        <w:tblPrEx>
          <w:tblCellMar>
            <w:top w:w="0" w:type="dxa"/>
            <w:bottom w:w="0" w:type="dxa"/>
          </w:tblCellMar>
        </w:tblPrEx>
        <w:trPr>
          <w:cantSplit/>
        </w:trPr>
        <w:tc>
          <w:tcPr>
            <w:tcW w:w="2900" w:type="dxa"/>
            <w:shd w:val="clear" w:color="auto" w:fill="FAF8F9"/>
            <w:tcMar>
              <w:top w:w="90" w:type="dxa"/>
              <w:left w:w="120" w:type="dxa"/>
              <w:bottom w:w="90" w:type="dxa"/>
              <w:right w:w="120" w:type="dxa"/>
            </w:tcMar>
          </w:tcPr>
          <w:p w14:paraId="38C9D37F" w14:textId="77777777" w:rsidR="00B038AF" w:rsidRDefault="00000000">
            <w:pPr>
              <w:spacing w:line="250" w:lineRule="auto"/>
            </w:pPr>
            <w:r>
              <w:rPr>
                <w:b/>
                <w:bCs/>
                <w:sz w:val="15"/>
                <w:szCs w:val="15"/>
              </w:rPr>
              <w:t>Twin pregnancy + obesity</w:t>
            </w:r>
          </w:p>
        </w:tc>
        <w:tc>
          <w:tcPr>
            <w:tcW w:w="900" w:type="dxa"/>
            <w:shd w:val="clear" w:color="auto" w:fill="FAF8F9"/>
            <w:tcMar>
              <w:top w:w="90" w:type="dxa"/>
              <w:left w:w="120" w:type="dxa"/>
              <w:bottom w:w="90" w:type="dxa"/>
              <w:right w:w="120" w:type="dxa"/>
            </w:tcMar>
          </w:tcPr>
          <w:p w14:paraId="31C380A9" w14:textId="77777777" w:rsidR="00B038AF" w:rsidRDefault="00000000">
            <w:pPr>
              <w:spacing w:line="250" w:lineRule="auto"/>
            </w:pPr>
            <w:r>
              <w:rPr>
                <w:sz w:val="15"/>
                <w:szCs w:val="15"/>
              </w:rPr>
              <w:t>1</w:t>
            </w:r>
          </w:p>
        </w:tc>
        <w:tc>
          <w:tcPr>
            <w:tcW w:w="900" w:type="dxa"/>
            <w:shd w:val="clear" w:color="auto" w:fill="FAF8F9"/>
            <w:tcMar>
              <w:top w:w="90" w:type="dxa"/>
              <w:left w:w="120" w:type="dxa"/>
              <w:bottom w:w="90" w:type="dxa"/>
              <w:right w:w="120" w:type="dxa"/>
            </w:tcMar>
          </w:tcPr>
          <w:p w14:paraId="342B9ED9" w14:textId="77777777" w:rsidR="00B038AF" w:rsidRDefault="00000000">
            <w:pPr>
              <w:spacing w:line="250" w:lineRule="auto"/>
            </w:pPr>
            <w:r>
              <w:rPr>
                <w:sz w:val="15"/>
                <w:szCs w:val="15"/>
              </w:rPr>
              <w:t>1</w:t>
            </w:r>
          </w:p>
        </w:tc>
        <w:tc>
          <w:tcPr>
            <w:tcW w:w="2100" w:type="dxa"/>
            <w:shd w:val="clear" w:color="auto" w:fill="FAF8F9"/>
            <w:tcMar>
              <w:top w:w="90" w:type="dxa"/>
              <w:left w:w="120" w:type="dxa"/>
              <w:bottom w:w="90" w:type="dxa"/>
              <w:right w:w="120" w:type="dxa"/>
            </w:tcMar>
          </w:tcPr>
          <w:p w14:paraId="0879C14E" w14:textId="77777777" w:rsidR="00B038AF" w:rsidRDefault="00000000">
            <w:pPr>
              <w:spacing w:line="250" w:lineRule="auto"/>
            </w:pPr>
            <w:r>
              <w:rPr>
                <w:sz w:val="15"/>
                <w:szCs w:val="15"/>
              </w:rPr>
              <w:t>Aspirin recommended — the high-risk factor alone triggers it; the obesity changes nothing</w:t>
            </w:r>
          </w:p>
        </w:tc>
        <w:tc>
          <w:tcPr>
            <w:tcW w:w="2220" w:type="dxa"/>
            <w:shd w:val="clear" w:color="auto" w:fill="FAF8F9"/>
            <w:tcMar>
              <w:top w:w="90" w:type="dxa"/>
              <w:left w:w="120" w:type="dxa"/>
              <w:bottom w:w="90" w:type="dxa"/>
              <w:right w:w="120" w:type="dxa"/>
            </w:tcMar>
          </w:tcPr>
          <w:p w14:paraId="41F971FA" w14:textId="77777777" w:rsidR="00B038AF" w:rsidRDefault="00000000">
            <w:pPr>
              <w:spacing w:line="250" w:lineRule="auto"/>
            </w:pPr>
            <w:r>
              <w:rPr>
                <w:sz w:val="15"/>
                <w:szCs w:val="15"/>
              </w:rPr>
              <w:t>Combines both into one number, separating her from a woman carrying twins at a normal BMI</w:t>
            </w:r>
          </w:p>
        </w:tc>
      </w:tr>
      <w:tr w:rsidR="00B038AF" w14:paraId="5A4E9995" w14:textId="77777777">
        <w:tblPrEx>
          <w:tblCellMar>
            <w:top w:w="0" w:type="dxa"/>
            <w:bottom w:w="0" w:type="dxa"/>
          </w:tblCellMar>
        </w:tblPrEx>
        <w:trPr>
          <w:cantSplit/>
        </w:trPr>
        <w:tc>
          <w:tcPr>
            <w:tcW w:w="2900" w:type="dxa"/>
            <w:tcMar>
              <w:top w:w="90" w:type="dxa"/>
              <w:left w:w="120" w:type="dxa"/>
              <w:bottom w:w="90" w:type="dxa"/>
              <w:right w:w="120" w:type="dxa"/>
            </w:tcMar>
          </w:tcPr>
          <w:p w14:paraId="378E59D6" w14:textId="77777777" w:rsidR="00B038AF" w:rsidRDefault="00000000">
            <w:pPr>
              <w:spacing w:line="250" w:lineRule="auto"/>
            </w:pPr>
            <w:r>
              <w:rPr>
                <w:b/>
                <w:bCs/>
                <w:sz w:val="15"/>
                <w:szCs w:val="15"/>
              </w:rPr>
              <w:t>Previous preeclampsia + chronic hypertension + type 2 diabetes</w:t>
            </w:r>
          </w:p>
        </w:tc>
        <w:tc>
          <w:tcPr>
            <w:tcW w:w="900" w:type="dxa"/>
            <w:tcMar>
              <w:top w:w="90" w:type="dxa"/>
              <w:left w:w="120" w:type="dxa"/>
              <w:bottom w:w="90" w:type="dxa"/>
              <w:right w:w="120" w:type="dxa"/>
            </w:tcMar>
          </w:tcPr>
          <w:p w14:paraId="6B193783" w14:textId="77777777" w:rsidR="00B038AF" w:rsidRDefault="00000000">
            <w:pPr>
              <w:spacing w:line="250" w:lineRule="auto"/>
            </w:pPr>
            <w:r>
              <w:rPr>
                <w:sz w:val="15"/>
                <w:szCs w:val="15"/>
              </w:rPr>
              <w:t>3</w:t>
            </w:r>
          </w:p>
        </w:tc>
        <w:tc>
          <w:tcPr>
            <w:tcW w:w="900" w:type="dxa"/>
            <w:tcMar>
              <w:top w:w="90" w:type="dxa"/>
              <w:left w:w="120" w:type="dxa"/>
              <w:bottom w:w="90" w:type="dxa"/>
              <w:right w:w="120" w:type="dxa"/>
            </w:tcMar>
          </w:tcPr>
          <w:p w14:paraId="41739573" w14:textId="77777777" w:rsidR="00B038AF" w:rsidRDefault="00000000">
            <w:pPr>
              <w:spacing w:line="250" w:lineRule="auto"/>
            </w:pPr>
            <w:r>
              <w:rPr>
                <w:sz w:val="15"/>
                <w:szCs w:val="15"/>
              </w:rPr>
              <w:t>0</w:t>
            </w:r>
          </w:p>
        </w:tc>
        <w:tc>
          <w:tcPr>
            <w:tcW w:w="2100" w:type="dxa"/>
            <w:tcMar>
              <w:top w:w="90" w:type="dxa"/>
              <w:left w:w="120" w:type="dxa"/>
              <w:bottom w:w="90" w:type="dxa"/>
              <w:right w:w="120" w:type="dxa"/>
            </w:tcMar>
          </w:tcPr>
          <w:p w14:paraId="0A39362C" w14:textId="77777777" w:rsidR="00B038AF" w:rsidRDefault="00000000">
            <w:pPr>
              <w:spacing w:line="250" w:lineRule="auto"/>
            </w:pPr>
            <w:r>
              <w:rPr>
                <w:sz w:val="15"/>
                <w:szCs w:val="15"/>
              </w:rPr>
              <w:t>Aspirin recommended — the same output as one factor alone</w:t>
            </w:r>
          </w:p>
        </w:tc>
        <w:tc>
          <w:tcPr>
            <w:tcW w:w="2220" w:type="dxa"/>
            <w:tcMar>
              <w:top w:w="90" w:type="dxa"/>
              <w:left w:w="120" w:type="dxa"/>
              <w:bottom w:w="90" w:type="dxa"/>
              <w:right w:w="120" w:type="dxa"/>
            </w:tcMar>
          </w:tcPr>
          <w:p w14:paraId="4FDFDDD8" w14:textId="77777777" w:rsidR="00B038AF" w:rsidRDefault="00000000">
            <w:pPr>
              <w:spacing w:line="250" w:lineRule="auto"/>
            </w:pPr>
            <w:r>
              <w:rPr>
                <w:sz w:val="15"/>
                <w:szCs w:val="15"/>
              </w:rPr>
              <w:t>Places her far above a woman with a single high-risk factor, which the checklist cannot express</w:t>
            </w:r>
          </w:p>
        </w:tc>
      </w:tr>
      <w:tr w:rsidR="00B038AF" w14:paraId="2EDC0B02" w14:textId="77777777">
        <w:tblPrEx>
          <w:tblCellMar>
            <w:top w:w="0" w:type="dxa"/>
            <w:bottom w:w="0" w:type="dxa"/>
          </w:tblCellMar>
        </w:tblPrEx>
        <w:trPr>
          <w:cantSplit/>
        </w:trPr>
        <w:tc>
          <w:tcPr>
            <w:tcW w:w="2900" w:type="dxa"/>
            <w:shd w:val="clear" w:color="auto" w:fill="FAF8F9"/>
            <w:tcMar>
              <w:top w:w="90" w:type="dxa"/>
              <w:left w:w="120" w:type="dxa"/>
              <w:bottom w:w="90" w:type="dxa"/>
              <w:right w:w="120" w:type="dxa"/>
            </w:tcMar>
          </w:tcPr>
          <w:p w14:paraId="1466DB79" w14:textId="77777777" w:rsidR="00B038AF" w:rsidRDefault="00000000">
            <w:pPr>
              <w:spacing w:line="250" w:lineRule="auto"/>
            </w:pPr>
            <w:r>
              <w:rPr>
                <w:b/>
                <w:bCs/>
                <w:sz w:val="15"/>
                <w:szCs w:val="15"/>
              </w:rPr>
              <w:t>First pregnancy + BMI ≥30 + age ≥35</w:t>
            </w:r>
          </w:p>
        </w:tc>
        <w:tc>
          <w:tcPr>
            <w:tcW w:w="900" w:type="dxa"/>
            <w:shd w:val="clear" w:color="auto" w:fill="FAF8F9"/>
            <w:tcMar>
              <w:top w:w="90" w:type="dxa"/>
              <w:left w:w="120" w:type="dxa"/>
              <w:bottom w:w="90" w:type="dxa"/>
              <w:right w:w="120" w:type="dxa"/>
            </w:tcMar>
          </w:tcPr>
          <w:p w14:paraId="48FE6B7A" w14:textId="77777777" w:rsidR="00B038AF" w:rsidRDefault="00000000">
            <w:pPr>
              <w:spacing w:line="250" w:lineRule="auto"/>
            </w:pPr>
            <w:r>
              <w:rPr>
                <w:sz w:val="15"/>
                <w:szCs w:val="15"/>
              </w:rPr>
              <w:t>0</w:t>
            </w:r>
          </w:p>
        </w:tc>
        <w:tc>
          <w:tcPr>
            <w:tcW w:w="900" w:type="dxa"/>
            <w:shd w:val="clear" w:color="auto" w:fill="FAF8F9"/>
            <w:tcMar>
              <w:top w:w="90" w:type="dxa"/>
              <w:left w:w="120" w:type="dxa"/>
              <w:bottom w:w="90" w:type="dxa"/>
              <w:right w:w="120" w:type="dxa"/>
            </w:tcMar>
          </w:tcPr>
          <w:p w14:paraId="636DFBD6" w14:textId="77777777" w:rsidR="00B038AF" w:rsidRDefault="00000000">
            <w:pPr>
              <w:spacing w:line="250" w:lineRule="auto"/>
            </w:pPr>
            <w:r>
              <w:rPr>
                <w:sz w:val="15"/>
                <w:szCs w:val="15"/>
              </w:rPr>
              <w:t>3</w:t>
            </w:r>
          </w:p>
        </w:tc>
        <w:tc>
          <w:tcPr>
            <w:tcW w:w="2100" w:type="dxa"/>
            <w:shd w:val="clear" w:color="auto" w:fill="FAF8F9"/>
            <w:tcMar>
              <w:top w:w="90" w:type="dxa"/>
              <w:left w:w="120" w:type="dxa"/>
              <w:bottom w:w="90" w:type="dxa"/>
              <w:right w:w="120" w:type="dxa"/>
            </w:tcMar>
          </w:tcPr>
          <w:p w14:paraId="0D633CC0" w14:textId="77777777" w:rsidR="00B038AF" w:rsidRDefault="00000000">
            <w:pPr>
              <w:spacing w:line="250" w:lineRule="auto"/>
            </w:pPr>
            <w:r>
              <w:rPr>
                <w:sz w:val="15"/>
                <w:szCs w:val="15"/>
              </w:rPr>
              <w:t>Aspirin recommended — more than one moderate factor</w:t>
            </w:r>
          </w:p>
        </w:tc>
        <w:tc>
          <w:tcPr>
            <w:tcW w:w="2220" w:type="dxa"/>
            <w:shd w:val="clear" w:color="auto" w:fill="FAF8F9"/>
            <w:tcMar>
              <w:top w:w="90" w:type="dxa"/>
              <w:left w:w="120" w:type="dxa"/>
              <w:bottom w:w="90" w:type="dxa"/>
              <w:right w:w="120" w:type="dxa"/>
            </w:tcMar>
          </w:tcPr>
          <w:p w14:paraId="331E5CD4" w14:textId="77777777" w:rsidR="00B038AF" w:rsidRDefault="00000000">
            <w:pPr>
              <w:spacing w:line="250" w:lineRule="auto"/>
            </w:pPr>
            <w:r>
              <w:rPr>
                <w:sz w:val="15"/>
                <w:szCs w:val="15"/>
              </w:rPr>
              <w:t>Weighs how far above 30 the BMI is and how far above 35 the age is, rather than counting boxes</w:t>
            </w:r>
          </w:p>
        </w:tc>
      </w:tr>
      <w:tr w:rsidR="00B038AF" w14:paraId="261287F1" w14:textId="77777777">
        <w:tblPrEx>
          <w:tblCellMar>
            <w:top w:w="0" w:type="dxa"/>
            <w:bottom w:w="0" w:type="dxa"/>
          </w:tblCellMar>
        </w:tblPrEx>
        <w:trPr>
          <w:cantSplit/>
        </w:trPr>
        <w:tc>
          <w:tcPr>
            <w:tcW w:w="2900" w:type="dxa"/>
            <w:tcMar>
              <w:top w:w="90" w:type="dxa"/>
              <w:left w:w="120" w:type="dxa"/>
              <w:bottom w:w="90" w:type="dxa"/>
              <w:right w:w="120" w:type="dxa"/>
            </w:tcMar>
          </w:tcPr>
          <w:p w14:paraId="4A9F04F9" w14:textId="77777777" w:rsidR="00B038AF" w:rsidRDefault="00000000">
            <w:pPr>
              <w:spacing w:line="250" w:lineRule="auto"/>
            </w:pPr>
            <w:r>
              <w:rPr>
                <w:b/>
                <w:bCs/>
                <w:sz w:val="15"/>
                <w:szCs w:val="15"/>
              </w:rPr>
              <w:t>First pregnancy + family history</w:t>
            </w:r>
          </w:p>
        </w:tc>
        <w:tc>
          <w:tcPr>
            <w:tcW w:w="900" w:type="dxa"/>
            <w:tcMar>
              <w:top w:w="90" w:type="dxa"/>
              <w:left w:w="120" w:type="dxa"/>
              <w:bottom w:w="90" w:type="dxa"/>
              <w:right w:w="120" w:type="dxa"/>
            </w:tcMar>
          </w:tcPr>
          <w:p w14:paraId="518E959B" w14:textId="77777777" w:rsidR="00B038AF" w:rsidRDefault="00000000">
            <w:pPr>
              <w:spacing w:line="250" w:lineRule="auto"/>
            </w:pPr>
            <w:r>
              <w:rPr>
                <w:sz w:val="15"/>
                <w:szCs w:val="15"/>
              </w:rPr>
              <w:t>0</w:t>
            </w:r>
          </w:p>
        </w:tc>
        <w:tc>
          <w:tcPr>
            <w:tcW w:w="900" w:type="dxa"/>
            <w:tcMar>
              <w:top w:w="90" w:type="dxa"/>
              <w:left w:w="120" w:type="dxa"/>
              <w:bottom w:w="90" w:type="dxa"/>
              <w:right w:w="120" w:type="dxa"/>
            </w:tcMar>
          </w:tcPr>
          <w:p w14:paraId="660E2A48" w14:textId="77777777" w:rsidR="00B038AF" w:rsidRDefault="00000000">
            <w:pPr>
              <w:spacing w:line="250" w:lineRule="auto"/>
            </w:pPr>
            <w:r>
              <w:rPr>
                <w:sz w:val="15"/>
                <w:szCs w:val="15"/>
              </w:rPr>
              <w:t>2</w:t>
            </w:r>
          </w:p>
        </w:tc>
        <w:tc>
          <w:tcPr>
            <w:tcW w:w="2100" w:type="dxa"/>
            <w:tcMar>
              <w:top w:w="90" w:type="dxa"/>
              <w:left w:w="120" w:type="dxa"/>
              <w:bottom w:w="90" w:type="dxa"/>
              <w:right w:w="120" w:type="dxa"/>
            </w:tcMar>
          </w:tcPr>
          <w:p w14:paraId="4878F73B" w14:textId="77777777" w:rsidR="00B038AF" w:rsidRDefault="00000000">
            <w:pPr>
              <w:spacing w:line="250" w:lineRule="auto"/>
            </w:pPr>
            <w:r>
              <w:rPr>
                <w:sz w:val="15"/>
                <w:szCs w:val="15"/>
              </w:rPr>
              <w:t>Aspirin recommended — more than one moderate factor</w:t>
            </w:r>
          </w:p>
        </w:tc>
        <w:tc>
          <w:tcPr>
            <w:tcW w:w="2220" w:type="dxa"/>
            <w:tcMar>
              <w:top w:w="90" w:type="dxa"/>
              <w:left w:w="120" w:type="dxa"/>
              <w:bottom w:w="90" w:type="dxa"/>
              <w:right w:w="120" w:type="dxa"/>
            </w:tcMar>
          </w:tcPr>
          <w:p w14:paraId="63B15B90" w14:textId="77777777" w:rsidR="00B038AF" w:rsidRDefault="00000000">
            <w:pPr>
              <w:spacing w:line="250" w:lineRule="auto"/>
            </w:pPr>
            <w:r>
              <w:rPr>
                <w:sz w:val="15"/>
                <w:szCs w:val="15"/>
              </w:rPr>
              <w:t>Same, plus her measured blood pressure</w:t>
            </w:r>
          </w:p>
        </w:tc>
      </w:tr>
      <w:tr w:rsidR="00B038AF" w14:paraId="3E40074C" w14:textId="77777777">
        <w:tblPrEx>
          <w:tblCellMar>
            <w:top w:w="0" w:type="dxa"/>
            <w:bottom w:w="0" w:type="dxa"/>
          </w:tblCellMar>
        </w:tblPrEx>
        <w:trPr>
          <w:cantSplit/>
        </w:trPr>
        <w:tc>
          <w:tcPr>
            <w:tcW w:w="2900" w:type="dxa"/>
            <w:shd w:val="clear" w:color="auto" w:fill="FAF8F9"/>
            <w:tcMar>
              <w:top w:w="90" w:type="dxa"/>
              <w:left w:w="120" w:type="dxa"/>
              <w:bottom w:w="90" w:type="dxa"/>
              <w:right w:w="120" w:type="dxa"/>
            </w:tcMar>
          </w:tcPr>
          <w:p w14:paraId="2FF60038" w14:textId="77777777" w:rsidR="00B038AF" w:rsidRDefault="00000000">
            <w:pPr>
              <w:spacing w:line="250" w:lineRule="auto"/>
            </w:pPr>
            <w:r>
              <w:rPr>
                <w:b/>
                <w:bCs/>
                <w:sz w:val="15"/>
                <w:szCs w:val="15"/>
              </w:rPr>
              <w:t>First pregnancy only</w:t>
            </w:r>
          </w:p>
        </w:tc>
        <w:tc>
          <w:tcPr>
            <w:tcW w:w="900" w:type="dxa"/>
            <w:shd w:val="clear" w:color="auto" w:fill="FAF8F9"/>
            <w:tcMar>
              <w:top w:w="90" w:type="dxa"/>
              <w:left w:w="120" w:type="dxa"/>
              <w:bottom w:w="90" w:type="dxa"/>
              <w:right w:w="120" w:type="dxa"/>
            </w:tcMar>
          </w:tcPr>
          <w:p w14:paraId="0B732BC1" w14:textId="77777777" w:rsidR="00B038AF" w:rsidRDefault="00000000">
            <w:pPr>
              <w:spacing w:line="250" w:lineRule="auto"/>
            </w:pPr>
            <w:r>
              <w:rPr>
                <w:sz w:val="15"/>
                <w:szCs w:val="15"/>
              </w:rPr>
              <w:t>0</w:t>
            </w:r>
          </w:p>
        </w:tc>
        <w:tc>
          <w:tcPr>
            <w:tcW w:w="900" w:type="dxa"/>
            <w:shd w:val="clear" w:color="auto" w:fill="FAF8F9"/>
            <w:tcMar>
              <w:top w:w="90" w:type="dxa"/>
              <w:left w:w="120" w:type="dxa"/>
              <w:bottom w:w="90" w:type="dxa"/>
              <w:right w:w="120" w:type="dxa"/>
            </w:tcMar>
          </w:tcPr>
          <w:p w14:paraId="5C62428F" w14:textId="77777777" w:rsidR="00B038AF" w:rsidRDefault="00000000">
            <w:pPr>
              <w:spacing w:line="250" w:lineRule="auto"/>
            </w:pPr>
            <w:r>
              <w:rPr>
                <w:sz w:val="15"/>
                <w:szCs w:val="15"/>
              </w:rPr>
              <w:t>1</w:t>
            </w:r>
          </w:p>
        </w:tc>
        <w:tc>
          <w:tcPr>
            <w:tcW w:w="2100" w:type="dxa"/>
            <w:shd w:val="clear" w:color="auto" w:fill="FAF8F9"/>
            <w:tcMar>
              <w:top w:w="90" w:type="dxa"/>
              <w:left w:w="120" w:type="dxa"/>
              <w:bottom w:w="90" w:type="dxa"/>
              <w:right w:w="120" w:type="dxa"/>
            </w:tcMar>
          </w:tcPr>
          <w:p w14:paraId="40A051AC" w14:textId="77777777" w:rsidR="00B038AF" w:rsidRDefault="00000000">
            <w:pPr>
              <w:spacing w:line="250" w:lineRule="auto"/>
            </w:pPr>
            <w:r>
              <w:rPr>
                <w:sz w:val="15"/>
                <w:szCs w:val="15"/>
              </w:rPr>
              <w:t>The checklist alone does not trigger aspirin</w:t>
            </w:r>
          </w:p>
        </w:tc>
        <w:tc>
          <w:tcPr>
            <w:tcW w:w="2220" w:type="dxa"/>
            <w:shd w:val="clear" w:color="auto" w:fill="FAF8F9"/>
            <w:tcMar>
              <w:top w:w="90" w:type="dxa"/>
              <w:left w:w="120" w:type="dxa"/>
              <w:bottom w:w="90" w:type="dxa"/>
              <w:right w:w="120" w:type="dxa"/>
            </w:tcMar>
          </w:tcPr>
          <w:p w14:paraId="616A18A3" w14:textId="77777777" w:rsidR="00B038AF" w:rsidRDefault="00000000">
            <w:pPr>
              <w:spacing w:line="250" w:lineRule="auto"/>
            </w:pPr>
            <w:r>
              <w:rPr>
                <w:sz w:val="15"/>
                <w:szCs w:val="15"/>
              </w:rPr>
              <w:t>Still returns a risk number, which may be high or low depending on her measurements</w:t>
            </w:r>
          </w:p>
        </w:tc>
      </w:tr>
      <w:tr w:rsidR="00B038AF" w14:paraId="4C7EE19A" w14:textId="77777777">
        <w:tblPrEx>
          <w:tblCellMar>
            <w:top w:w="0" w:type="dxa"/>
            <w:bottom w:w="0" w:type="dxa"/>
          </w:tblCellMar>
        </w:tblPrEx>
        <w:trPr>
          <w:cantSplit/>
        </w:trPr>
        <w:tc>
          <w:tcPr>
            <w:tcW w:w="2900" w:type="dxa"/>
            <w:tcMar>
              <w:top w:w="90" w:type="dxa"/>
              <w:left w:w="120" w:type="dxa"/>
              <w:bottom w:w="90" w:type="dxa"/>
              <w:right w:w="120" w:type="dxa"/>
            </w:tcMar>
          </w:tcPr>
          <w:p w14:paraId="3964BF88" w14:textId="77777777" w:rsidR="00B038AF" w:rsidRDefault="00000000">
            <w:pPr>
              <w:spacing w:line="250" w:lineRule="auto"/>
            </w:pPr>
            <w:r>
              <w:rPr>
                <w:b/>
                <w:bCs/>
                <w:sz w:val="15"/>
                <w:szCs w:val="15"/>
              </w:rPr>
              <w:t>No listed factor at all</w:t>
            </w:r>
          </w:p>
        </w:tc>
        <w:tc>
          <w:tcPr>
            <w:tcW w:w="900" w:type="dxa"/>
            <w:tcMar>
              <w:top w:w="90" w:type="dxa"/>
              <w:left w:w="120" w:type="dxa"/>
              <w:bottom w:w="90" w:type="dxa"/>
              <w:right w:w="120" w:type="dxa"/>
            </w:tcMar>
          </w:tcPr>
          <w:p w14:paraId="6914A4D6" w14:textId="77777777" w:rsidR="00B038AF" w:rsidRDefault="00000000">
            <w:pPr>
              <w:spacing w:line="250" w:lineRule="auto"/>
            </w:pPr>
            <w:r>
              <w:rPr>
                <w:sz w:val="15"/>
                <w:szCs w:val="15"/>
              </w:rPr>
              <w:t>0</w:t>
            </w:r>
          </w:p>
        </w:tc>
        <w:tc>
          <w:tcPr>
            <w:tcW w:w="900" w:type="dxa"/>
            <w:tcMar>
              <w:top w:w="90" w:type="dxa"/>
              <w:left w:w="120" w:type="dxa"/>
              <w:bottom w:w="90" w:type="dxa"/>
              <w:right w:w="120" w:type="dxa"/>
            </w:tcMar>
          </w:tcPr>
          <w:p w14:paraId="58049D2D" w14:textId="77777777" w:rsidR="00B038AF" w:rsidRDefault="00000000">
            <w:pPr>
              <w:spacing w:line="250" w:lineRule="auto"/>
            </w:pPr>
            <w:r>
              <w:rPr>
                <w:sz w:val="15"/>
                <w:szCs w:val="15"/>
              </w:rPr>
              <w:t>0</w:t>
            </w:r>
          </w:p>
        </w:tc>
        <w:tc>
          <w:tcPr>
            <w:tcW w:w="2100" w:type="dxa"/>
            <w:tcMar>
              <w:top w:w="90" w:type="dxa"/>
              <w:left w:w="120" w:type="dxa"/>
              <w:bottom w:w="90" w:type="dxa"/>
              <w:right w:w="120" w:type="dxa"/>
            </w:tcMar>
          </w:tcPr>
          <w:p w14:paraId="440EB5B8" w14:textId="77777777" w:rsidR="00B038AF" w:rsidRDefault="00000000">
            <w:pPr>
              <w:spacing w:line="250" w:lineRule="auto"/>
            </w:pPr>
            <w:r>
              <w:rPr>
                <w:sz w:val="15"/>
                <w:szCs w:val="15"/>
              </w:rPr>
              <w:t>She is not flagged</w:t>
            </w:r>
          </w:p>
        </w:tc>
        <w:tc>
          <w:tcPr>
            <w:tcW w:w="2220" w:type="dxa"/>
            <w:tcMar>
              <w:top w:w="90" w:type="dxa"/>
              <w:left w:w="120" w:type="dxa"/>
              <w:bottom w:w="90" w:type="dxa"/>
              <w:right w:w="120" w:type="dxa"/>
            </w:tcMar>
          </w:tcPr>
          <w:p w14:paraId="035E1CAE" w14:textId="77777777" w:rsidR="00B038AF" w:rsidRDefault="00000000">
            <w:pPr>
              <w:spacing w:line="250" w:lineRule="auto"/>
            </w:pPr>
            <w:r>
              <w:rPr>
                <w:sz w:val="15"/>
                <w:szCs w:val="15"/>
              </w:rPr>
              <w:t>Can still return an elevated risk from blood pressure or biomarkers alone — this is the group the checklist misses</w:t>
            </w:r>
          </w:p>
        </w:tc>
      </w:tr>
    </w:tbl>
    <w:p w14:paraId="3AA1B919" w14:textId="77777777" w:rsidR="00B038AF" w:rsidRDefault="00B038AF">
      <w:pPr>
        <w:spacing w:after="140"/>
      </w:pPr>
    </w:p>
    <w:tbl>
      <w:tblPr>
        <w:tblW w:w="9020" w:type="dxa"/>
        <w:tblCellMar>
          <w:left w:w="10" w:type="dxa"/>
          <w:right w:w="10" w:type="dxa"/>
        </w:tblCellMar>
        <w:tblLook w:val="04A0" w:firstRow="1" w:lastRow="0" w:firstColumn="1" w:lastColumn="0" w:noHBand="0" w:noVBand="1"/>
      </w:tblPr>
      <w:tblGrid>
        <w:gridCol w:w="9020"/>
      </w:tblGrid>
      <w:tr w:rsidR="00B038AF" w14:paraId="11A84B47" w14:textId="77777777">
        <w:tblPrEx>
          <w:tblCellMar>
            <w:top w:w="0" w:type="dxa"/>
            <w:bottom w:w="0" w:type="dxa"/>
          </w:tblCellMar>
        </w:tblPrEx>
        <w:trPr>
          <w:cantSplit/>
        </w:trPr>
        <w:tc>
          <w:tcPr>
            <w:tcW w:w="9020" w:type="dxa"/>
            <w:tcBorders>
              <w:left w:val="single" w:sz="28" w:space="0" w:color="A2564A"/>
            </w:tcBorders>
            <w:shd w:val="clear" w:color="auto" w:fill="FBF1EE"/>
            <w:tcMar>
              <w:top w:w="200" w:type="dxa"/>
              <w:left w:w="260" w:type="dxa"/>
              <w:bottom w:w="200" w:type="dxa"/>
              <w:right w:w="240" w:type="dxa"/>
            </w:tcMar>
          </w:tcPr>
          <w:p w14:paraId="6946B9FD" w14:textId="77777777" w:rsidR="00B038AF" w:rsidRDefault="00000000">
            <w:pPr>
              <w:spacing w:after="100" w:line="285" w:lineRule="auto"/>
            </w:pPr>
            <w:r>
              <w:rPr>
                <w:b/>
                <w:bCs/>
                <w:color w:val="A2564A"/>
                <w:sz w:val="17"/>
                <w:szCs w:val="17"/>
              </w:rPr>
              <w:t>READ THE TABLE CAREFULLY — IT SAYS TWO THINGS</w:t>
            </w:r>
          </w:p>
          <w:p w14:paraId="595A0ACE" w14:textId="77777777" w:rsidR="00B038AF" w:rsidRDefault="00000000">
            <w:pPr>
              <w:spacing w:after="100" w:line="285" w:lineRule="auto"/>
            </w:pPr>
            <w:r>
              <w:rPr>
                <w:sz w:val="19"/>
                <w:szCs w:val="19"/>
              </w:rPr>
              <w:t>First: combination raises probability. It never produces certainty. A woman with three high-risk factors may have an entirely normal pregnancy, and a woman with none may develop preeclampsia. That is exactly why the output of this route is a preventive treatment and not a diagnosis — the checklist is allowed to be wrong in both directions, and aspirin is safe enough that acting on an uncertain signal is reasonable.</w:t>
            </w:r>
          </w:p>
          <w:p w14:paraId="6E5D7040" w14:textId="77777777" w:rsidR="00B038AF" w:rsidRDefault="00000000">
            <w:pPr>
              <w:spacing w:line="285" w:lineRule="auto"/>
            </w:pPr>
            <w:r>
              <w:rPr>
                <w:sz w:val="19"/>
                <w:szCs w:val="19"/>
              </w:rPr>
              <w:t>Second: look down the fourth column. Rows 1, 2 and 3 produce the identical decision from one factor, from two, and from three. The checklist cannot tell the difference between a woman at moderately raised risk and a woman at very high risk, because a checklist counts and does not compute. That single limitation is the reason Route B exists, and it is the gap Badira is aimed at.</w:t>
            </w:r>
          </w:p>
        </w:tc>
      </w:tr>
    </w:tbl>
    <w:p w14:paraId="7B4E231D" w14:textId="77777777" w:rsidR="00B038AF" w:rsidRDefault="00000000">
      <w:pPr>
        <w:spacing w:before="300" w:after="110"/>
      </w:pPr>
      <w:proofErr w:type="gramStart"/>
      <w:r>
        <w:rPr>
          <w:b/>
          <w:bCs/>
          <w:color w:val="3B2F45"/>
          <w:sz w:val="24"/>
          <w:szCs w:val="24"/>
        </w:rPr>
        <w:t>2.5  What</w:t>
      </w:r>
      <w:proofErr w:type="gramEnd"/>
      <w:r>
        <w:rPr>
          <w:b/>
          <w:bCs/>
          <w:color w:val="3B2F45"/>
          <w:sz w:val="24"/>
          <w:szCs w:val="24"/>
        </w:rPr>
        <w:t xml:space="preserve"> happens after a woman is flagged?</w:t>
      </w:r>
    </w:p>
    <w:p w14:paraId="7FA60EFC" w14:textId="77777777" w:rsidR="00B038AF" w:rsidRDefault="00000000">
      <w:pPr>
        <w:spacing w:after="130" w:line="280" w:lineRule="auto"/>
      </w:pPr>
      <w:r>
        <w:t>ACOG/SMFM recommend low-dose aspirin 81 mg/day for women who meet the risk-factor criteria. It is started between 12 and 28 weeks of gestation and ideally before 16 weeks, and continued until delivery [5].</w:t>
      </w:r>
    </w:p>
    <w:p w14:paraId="2099E717" w14:textId="77777777" w:rsidR="00B038AF" w:rsidRDefault="00000000">
      <w:pPr>
        <w:spacing w:after="130" w:line="280" w:lineRule="auto"/>
      </w:pPr>
      <w:r>
        <w:rPr>
          <w:i/>
          <w:iCs/>
        </w:rPr>
        <w:t>Important: being high-risk does not mean the woman has preeclampsia or will definitely develop it.</w:t>
      </w:r>
    </w:p>
    <w:p w14:paraId="4B43157A" w14:textId="77777777" w:rsidR="00B038AF" w:rsidRDefault="00000000">
      <w:pPr>
        <w:spacing w:before="300" w:after="110"/>
      </w:pPr>
      <w:proofErr w:type="gramStart"/>
      <w:r>
        <w:rPr>
          <w:b/>
          <w:bCs/>
          <w:color w:val="3B2F45"/>
          <w:sz w:val="24"/>
          <w:szCs w:val="24"/>
        </w:rPr>
        <w:t>2.6  What</w:t>
      </w:r>
      <w:proofErr w:type="gramEnd"/>
      <w:r>
        <w:rPr>
          <w:b/>
          <w:bCs/>
          <w:color w:val="3B2F45"/>
          <w:sz w:val="24"/>
          <w:szCs w:val="24"/>
        </w:rPr>
        <w:t xml:space="preserve"> does this route require?</w:t>
      </w:r>
    </w:p>
    <w:p w14:paraId="679BC508" w14:textId="77777777" w:rsidR="00B038AF" w:rsidRDefault="00000000">
      <w:pPr>
        <w:spacing w:after="130" w:line="280" w:lineRule="auto"/>
      </w:pPr>
      <w:r>
        <w:lastRenderedPageBreak/>
        <w:t xml:space="preserve">The checklist uses information that can be collected early in prenatal care: previous pregnancy history, current pregnancy information, medical history, family history, age, and </w:t>
      </w:r>
      <w:proofErr w:type="spellStart"/>
      <w:r>
        <w:t>prepregnancy</w:t>
      </w:r>
      <w:proofErr w:type="spellEnd"/>
      <w:r>
        <w:t xml:space="preserve"> BMI.</w:t>
      </w:r>
    </w:p>
    <w:p w14:paraId="5DE2AA55" w14:textId="77777777" w:rsidR="00B038AF" w:rsidRDefault="00000000">
      <w:pPr>
        <w:spacing w:after="130" w:line="280" w:lineRule="auto"/>
      </w:pPr>
      <w:r>
        <w:rPr>
          <w:b/>
          <w:bCs/>
        </w:rPr>
        <w:t>No specialized preeclampsia biomarker test or uterine artery Doppler is required for this checklist route. Those measurements belong to the FMF screening pathway in Part 3.</w:t>
      </w:r>
    </w:p>
    <w:p w14:paraId="5BAD6455" w14:textId="77777777" w:rsidR="00B038AF" w:rsidRDefault="00000000">
      <w:pPr>
        <w:spacing w:before="300" w:after="110"/>
      </w:pPr>
      <w:proofErr w:type="gramStart"/>
      <w:r>
        <w:rPr>
          <w:b/>
          <w:bCs/>
          <w:color w:val="3B2F45"/>
          <w:sz w:val="24"/>
          <w:szCs w:val="24"/>
        </w:rPr>
        <w:t>2.7  Main</w:t>
      </w:r>
      <w:proofErr w:type="gramEnd"/>
      <w:r>
        <w:rPr>
          <w:b/>
          <w:bCs/>
          <w:color w:val="3B2F45"/>
          <w:sz w:val="24"/>
          <w:szCs w:val="24"/>
        </w:rPr>
        <w:t xml:space="preserve"> limitation</w:t>
      </w:r>
    </w:p>
    <w:p w14:paraId="25EEE879" w14:textId="77777777" w:rsidR="00B038AF" w:rsidRDefault="00000000">
      <w:pPr>
        <w:spacing w:after="130" w:line="280" w:lineRule="auto"/>
      </w:pPr>
      <w:r>
        <w:t>The checklist identifies increased risk but cannot tell with certainty who will develop preeclampsia. Its result also depends on having a complete and accurate history. A woman without recognized checklist risk factors can still develop the disease.</w:t>
      </w:r>
    </w:p>
    <w:p w14:paraId="59592A65" w14:textId="77777777" w:rsidR="00B038AF" w:rsidRDefault="00000000">
      <w:pPr>
        <w:spacing w:before="300" w:after="110"/>
      </w:pPr>
      <w:proofErr w:type="gramStart"/>
      <w:r>
        <w:rPr>
          <w:b/>
          <w:bCs/>
          <w:color w:val="3B2F45"/>
          <w:sz w:val="24"/>
          <w:szCs w:val="24"/>
        </w:rPr>
        <w:t>2.8  The</w:t>
      </w:r>
      <w:proofErr w:type="gramEnd"/>
      <w:r>
        <w:rPr>
          <w:b/>
          <w:bCs/>
          <w:color w:val="3B2F45"/>
          <w:sz w:val="24"/>
          <w:szCs w:val="24"/>
        </w:rPr>
        <w:t xml:space="preserve"> updated 2026 SMFM checklist</w:t>
      </w:r>
    </w:p>
    <w:p w14:paraId="4CBC469F" w14:textId="77777777" w:rsidR="00B038AF" w:rsidRDefault="00000000">
      <w:pPr>
        <w:spacing w:after="130" w:line="280" w:lineRule="auto"/>
      </w:pPr>
      <w:r>
        <w:t>SMFM published an updated checklist in 2026 that replaces the 2020 statement [6]. The main updates are:</w:t>
      </w:r>
    </w:p>
    <w:p w14:paraId="6DEE2B1C" w14:textId="77777777" w:rsidR="00B038AF" w:rsidRDefault="00000000">
      <w:pPr>
        <w:spacing w:after="80" w:line="270" w:lineRule="auto"/>
        <w:ind w:left="340" w:hanging="200"/>
      </w:pPr>
      <w:r>
        <w:rPr>
          <w:color w:val="A796B5"/>
        </w:rPr>
        <w:t xml:space="preserve">•   </w:t>
      </w:r>
      <w:r>
        <w:t>IVF is added as a moderate-risk factor.</w:t>
      </w:r>
    </w:p>
    <w:p w14:paraId="64F8B9D8" w14:textId="77777777" w:rsidR="00B038AF" w:rsidRDefault="00000000">
      <w:pPr>
        <w:spacing w:after="80" w:line="270" w:lineRule="auto"/>
        <w:ind w:left="340" w:hanging="200"/>
      </w:pPr>
      <w:r>
        <w:rPr>
          <w:color w:val="A796B5"/>
        </w:rPr>
        <w:t xml:space="preserve">•   </w:t>
      </w:r>
      <w:r>
        <w:t>Sociodemographic factors are updated, emphasizing that increased risk associated with race reflects social inequities and racism rather than biological differences.</w:t>
      </w:r>
    </w:p>
    <w:p w14:paraId="34FE8A3B" w14:textId="77777777" w:rsidR="00B038AF" w:rsidRDefault="00000000">
      <w:pPr>
        <w:spacing w:before="300" w:after="110"/>
      </w:pPr>
      <w:proofErr w:type="gramStart"/>
      <w:r>
        <w:rPr>
          <w:b/>
          <w:bCs/>
          <w:color w:val="3B2F45"/>
          <w:sz w:val="24"/>
          <w:szCs w:val="24"/>
        </w:rPr>
        <w:t>2.9  Clinical</w:t>
      </w:r>
      <w:proofErr w:type="gramEnd"/>
      <w:r>
        <w:rPr>
          <w:b/>
          <w:bCs/>
          <w:color w:val="3B2F45"/>
          <w:sz w:val="24"/>
          <w:szCs w:val="24"/>
        </w:rPr>
        <w:t xml:space="preserve"> path in one view</w:t>
      </w:r>
    </w:p>
    <w:p w14:paraId="2409CF74" w14:textId="77777777" w:rsidR="00B038AF" w:rsidRDefault="00000000">
      <w:pPr>
        <w:spacing w:after="80" w:line="270" w:lineRule="auto"/>
        <w:ind w:left="400" w:hanging="260"/>
      </w:pPr>
      <w:r>
        <w:rPr>
          <w:b/>
          <w:bCs/>
          <w:color w:val="6B5780"/>
        </w:rPr>
        <w:t xml:space="preserve">1.   </w:t>
      </w:r>
      <w:r>
        <w:t>Initial prenatal visit</w:t>
      </w:r>
    </w:p>
    <w:p w14:paraId="27685CB3" w14:textId="77777777" w:rsidR="00B038AF" w:rsidRDefault="00000000">
      <w:pPr>
        <w:spacing w:after="80" w:line="270" w:lineRule="auto"/>
        <w:ind w:left="400" w:hanging="260"/>
      </w:pPr>
      <w:r>
        <w:rPr>
          <w:b/>
          <w:bCs/>
          <w:color w:val="6B5780"/>
        </w:rPr>
        <w:t xml:space="preserve">2.   </w:t>
      </w:r>
      <w:r>
        <w:t>Collect medical, obstetric and family history + maternal characteristics</w:t>
      </w:r>
    </w:p>
    <w:p w14:paraId="69B90469" w14:textId="77777777" w:rsidR="00B038AF" w:rsidRDefault="00000000">
      <w:pPr>
        <w:spacing w:after="80" w:line="270" w:lineRule="auto"/>
        <w:ind w:left="400" w:hanging="260"/>
      </w:pPr>
      <w:r>
        <w:rPr>
          <w:b/>
          <w:bCs/>
          <w:color w:val="6B5780"/>
        </w:rPr>
        <w:t xml:space="preserve">3.   </w:t>
      </w:r>
      <w:r>
        <w:t>Check high-risk and moderate-risk factors</w:t>
      </w:r>
    </w:p>
    <w:p w14:paraId="79EB119F" w14:textId="77777777" w:rsidR="00B038AF" w:rsidRDefault="00000000">
      <w:pPr>
        <w:spacing w:after="80" w:line="270" w:lineRule="auto"/>
        <w:ind w:left="400" w:hanging="260"/>
      </w:pPr>
      <w:r>
        <w:rPr>
          <w:b/>
          <w:bCs/>
          <w:color w:val="6B5780"/>
        </w:rPr>
        <w:t xml:space="preserve">4.   </w:t>
      </w:r>
      <w:r>
        <w:t>≥1 high-risk factor → low-dose aspirin recommended when appropriate</w:t>
      </w:r>
    </w:p>
    <w:p w14:paraId="4A100D07" w14:textId="77777777" w:rsidR="00B038AF" w:rsidRDefault="00000000">
      <w:pPr>
        <w:spacing w:after="80" w:line="270" w:lineRule="auto"/>
        <w:ind w:left="400" w:hanging="260"/>
      </w:pPr>
      <w:r>
        <w:rPr>
          <w:b/>
          <w:bCs/>
          <w:color w:val="6B5780"/>
        </w:rPr>
        <w:t xml:space="preserve">5.   </w:t>
      </w:r>
      <w:r>
        <w:t>&gt;1 moderate-risk factor → low-dose aspirin considered/recommended according to the applicable guidance</w:t>
      </w:r>
    </w:p>
    <w:p w14:paraId="64D0A094" w14:textId="77777777" w:rsidR="00B038AF" w:rsidRDefault="00000000">
      <w:pPr>
        <w:spacing w:after="80" w:line="270" w:lineRule="auto"/>
        <w:ind w:left="400" w:hanging="260"/>
      </w:pPr>
      <w:r>
        <w:rPr>
          <w:b/>
          <w:bCs/>
          <w:color w:val="6B5780"/>
        </w:rPr>
        <w:t xml:space="preserve">6.   </w:t>
      </w:r>
      <w:r>
        <w:t>Continue antenatal surveillance</w:t>
      </w:r>
    </w:p>
    <w:p w14:paraId="32AD4235" w14:textId="77777777" w:rsidR="00B038AF" w:rsidRDefault="00000000">
      <w:pPr>
        <w:spacing w:after="80" w:line="270" w:lineRule="auto"/>
        <w:ind w:left="400" w:hanging="260"/>
      </w:pPr>
      <w:r>
        <w:rPr>
          <w:b/>
          <w:bCs/>
          <w:color w:val="6B5780"/>
        </w:rPr>
        <w:t xml:space="preserve">7.   </w:t>
      </w:r>
      <w:r>
        <w:t>Risk screening ≠ diagnosis of preeclampsia</w:t>
      </w:r>
    </w:p>
    <w:tbl>
      <w:tblPr>
        <w:tblW w:w="9020" w:type="dxa"/>
        <w:tblCellMar>
          <w:left w:w="10" w:type="dxa"/>
          <w:right w:w="10" w:type="dxa"/>
        </w:tblCellMar>
        <w:tblLook w:val="04A0" w:firstRow="1" w:lastRow="0" w:firstColumn="1" w:lastColumn="0" w:noHBand="0" w:noVBand="1"/>
      </w:tblPr>
      <w:tblGrid>
        <w:gridCol w:w="9020"/>
      </w:tblGrid>
      <w:tr w:rsidR="00B038AF" w14:paraId="248BA950" w14:textId="77777777">
        <w:tblPrEx>
          <w:tblCellMar>
            <w:top w:w="0" w:type="dxa"/>
            <w:bottom w:w="0" w:type="dxa"/>
          </w:tblCellMar>
        </w:tblPrEx>
        <w:trPr>
          <w:cantSplit/>
        </w:trPr>
        <w:tc>
          <w:tcPr>
            <w:tcW w:w="9020" w:type="dxa"/>
            <w:tcBorders>
              <w:left w:val="single" w:sz="28" w:space="0" w:color="2F6FB5"/>
            </w:tcBorders>
            <w:shd w:val="clear" w:color="auto" w:fill="EAF2FA"/>
            <w:tcMar>
              <w:top w:w="200" w:type="dxa"/>
              <w:left w:w="260" w:type="dxa"/>
              <w:bottom w:w="200" w:type="dxa"/>
              <w:right w:w="240" w:type="dxa"/>
            </w:tcMar>
          </w:tcPr>
          <w:p w14:paraId="754FEBC1" w14:textId="77777777" w:rsidR="00B038AF" w:rsidRDefault="00000000">
            <w:pPr>
              <w:spacing w:after="100" w:line="285" w:lineRule="auto"/>
            </w:pPr>
            <w:r>
              <w:rPr>
                <w:b/>
                <w:bCs/>
                <w:color w:val="2F6FB5"/>
                <w:sz w:val="18"/>
                <w:szCs w:val="18"/>
              </w:rPr>
              <w:t>BRIDGE — HOLD ON TO STEP 4</w:t>
            </w:r>
          </w:p>
          <w:p w14:paraId="1614519D" w14:textId="77777777" w:rsidR="00B038AF" w:rsidRDefault="00000000">
            <w:pPr>
              <w:spacing w:line="285" w:lineRule="auto"/>
            </w:pPr>
            <w:r>
              <w:t>Route A ends at one instruction: low-dose aspirin, started before 16 weeks. Keep that sentence in mind while reading Part 3, because Part 3 ends at the same place by a completely different road.</w:t>
            </w:r>
          </w:p>
        </w:tc>
      </w:tr>
    </w:tbl>
    <w:p w14:paraId="1CEB1B29" w14:textId="77777777" w:rsidR="00B038AF" w:rsidRDefault="00000000">
      <w:r>
        <w:br w:type="page"/>
      </w:r>
    </w:p>
    <w:p w14:paraId="027DB71C" w14:textId="77777777" w:rsidR="00B038AF" w:rsidRDefault="00000000">
      <w:pPr>
        <w:pBdr>
          <w:bottom w:val="single" w:sz="8" w:space="6" w:color="D8D0D6"/>
        </w:pBdr>
        <w:spacing w:before="400" w:after="150"/>
      </w:pPr>
      <w:r>
        <w:rPr>
          <w:b/>
          <w:bCs/>
          <w:color w:val="4B3A5A"/>
          <w:sz w:val="30"/>
          <w:szCs w:val="30"/>
        </w:rPr>
        <w:lastRenderedPageBreak/>
        <w:t>Part 3 — Route B: FMF first-trimester combined screening</w:t>
      </w:r>
    </w:p>
    <w:p w14:paraId="2BE65E07" w14:textId="77777777" w:rsidR="00B038AF" w:rsidRDefault="00000000">
      <w:pPr>
        <w:spacing w:after="130" w:line="280" w:lineRule="auto"/>
      </w:pPr>
      <w:r>
        <w:rPr>
          <w:i/>
          <w:iCs/>
          <w:color w:val="6E6478"/>
        </w:rPr>
        <w:t>This is the second prediction route, and the one usually described as the gold standard. It measures more, catches more, and needs more.</w:t>
      </w:r>
    </w:p>
    <w:p w14:paraId="3FB1F681" w14:textId="77777777" w:rsidR="00B038AF" w:rsidRDefault="00000000">
      <w:pPr>
        <w:spacing w:before="300" w:after="110"/>
      </w:pPr>
      <w:proofErr w:type="gramStart"/>
      <w:r>
        <w:rPr>
          <w:b/>
          <w:bCs/>
          <w:color w:val="3B2F45"/>
          <w:sz w:val="24"/>
          <w:szCs w:val="24"/>
        </w:rPr>
        <w:t>3.1  What</w:t>
      </w:r>
      <w:proofErr w:type="gramEnd"/>
      <w:r>
        <w:rPr>
          <w:b/>
          <w:bCs/>
          <w:color w:val="3B2F45"/>
          <w:sz w:val="24"/>
          <w:szCs w:val="24"/>
        </w:rPr>
        <w:t xml:space="preserve"> is the FMF screening model?</w:t>
      </w:r>
    </w:p>
    <w:p w14:paraId="294A9A0B" w14:textId="77777777" w:rsidR="00B038AF" w:rsidRDefault="00000000">
      <w:pPr>
        <w:spacing w:after="130" w:line="280" w:lineRule="auto"/>
      </w:pPr>
      <w:r>
        <w:t>The Fetal Medicine Foundation (FMF) model estimates a woman’s risk of developing preeclampsia, especially preterm preeclampsia, at about 11–14 weeks. It combines maternal characteristics and medical/obstetric history with measured biomarkers [7][8].</w:t>
      </w:r>
    </w:p>
    <w:tbl>
      <w:tblPr>
        <w:tblW w:w="9020" w:type="dxa"/>
        <w:tblCellMar>
          <w:left w:w="10" w:type="dxa"/>
          <w:right w:w="10" w:type="dxa"/>
        </w:tblCellMar>
        <w:tblLook w:val="04A0" w:firstRow="1" w:lastRow="0" w:firstColumn="1" w:lastColumn="0" w:noHBand="0" w:noVBand="1"/>
      </w:tblPr>
      <w:tblGrid>
        <w:gridCol w:w="9020"/>
      </w:tblGrid>
      <w:tr w:rsidR="00B038AF" w14:paraId="767F8ABD" w14:textId="77777777">
        <w:tblPrEx>
          <w:tblCellMar>
            <w:top w:w="0" w:type="dxa"/>
            <w:bottom w:w="0" w:type="dxa"/>
          </w:tblCellMar>
        </w:tblPrEx>
        <w:trPr>
          <w:cantSplit/>
        </w:trPr>
        <w:tc>
          <w:tcPr>
            <w:tcW w:w="9020" w:type="dxa"/>
            <w:tcBorders>
              <w:left w:val="single" w:sz="28" w:space="0" w:color="A2564A"/>
            </w:tcBorders>
            <w:shd w:val="clear" w:color="auto" w:fill="FBF1EE"/>
            <w:tcMar>
              <w:top w:w="200" w:type="dxa"/>
              <w:left w:w="260" w:type="dxa"/>
              <w:bottom w:w="200" w:type="dxa"/>
              <w:right w:w="240" w:type="dxa"/>
            </w:tcMar>
          </w:tcPr>
          <w:p w14:paraId="2E04500B" w14:textId="77777777" w:rsidR="00B038AF" w:rsidRDefault="00000000">
            <w:pPr>
              <w:spacing w:line="285" w:lineRule="auto"/>
            </w:pPr>
            <w:r>
              <w:rPr>
                <w:b/>
                <w:bCs/>
              </w:rPr>
              <w:t>Key point: The result is an individual risk estimate — not a diagnosis of preeclampsia.</w:t>
            </w:r>
          </w:p>
        </w:tc>
      </w:tr>
    </w:tbl>
    <w:p w14:paraId="15FA5F36" w14:textId="77777777" w:rsidR="00B038AF" w:rsidRDefault="00B038AF">
      <w:pPr>
        <w:spacing w:after="140"/>
      </w:pPr>
    </w:p>
    <w:p w14:paraId="4123597B" w14:textId="77777777" w:rsidR="00B038AF" w:rsidRDefault="00000000">
      <w:pPr>
        <w:spacing w:before="300" w:after="110"/>
      </w:pPr>
      <w:proofErr w:type="gramStart"/>
      <w:r>
        <w:rPr>
          <w:b/>
          <w:bCs/>
          <w:color w:val="3B2F45"/>
          <w:sz w:val="24"/>
          <w:szCs w:val="24"/>
        </w:rPr>
        <w:t>3.2  What</w:t>
      </w:r>
      <w:proofErr w:type="gramEnd"/>
      <w:r>
        <w:rPr>
          <w:b/>
          <w:bCs/>
          <w:color w:val="3B2F45"/>
          <w:sz w:val="24"/>
          <w:szCs w:val="24"/>
        </w:rPr>
        <w:t xml:space="preserve"> does it measure?</w:t>
      </w:r>
    </w:p>
    <w:p w14:paraId="042CACBD" w14:textId="77777777" w:rsidR="00B038AF" w:rsidRDefault="00000000">
      <w:pPr>
        <w:spacing w:after="130" w:line="280" w:lineRule="auto"/>
      </w:pPr>
      <w:r>
        <w:t>The main high-performance FMF first-trimester combination is maternal factors + mean arterial pressure (MAP) + uterine artery pulsatility index (</w:t>
      </w:r>
      <w:proofErr w:type="spellStart"/>
      <w:r>
        <w:t>UtA</w:t>
      </w:r>
      <w:proofErr w:type="spellEnd"/>
      <w:r>
        <w:t>-PI) + placental growth factor (</w:t>
      </w:r>
      <w:proofErr w:type="spellStart"/>
      <w:r>
        <w:t>PlGF</w:t>
      </w:r>
      <w:proofErr w:type="spellEnd"/>
      <w:r>
        <w:t>) [9].</w:t>
      </w:r>
    </w:p>
    <w:p w14:paraId="40EB7519" w14:textId="77777777" w:rsidR="00B038AF" w:rsidRDefault="00000000">
      <w:pPr>
        <w:spacing w:after="130" w:line="280" w:lineRule="auto"/>
      </w:pPr>
      <w:r>
        <w:t xml:space="preserve">PAPP-A can also be included, especially when already available from first-trimester screening, but FMF evidence shows that it does not significantly improve screening when </w:t>
      </w:r>
      <w:proofErr w:type="spellStart"/>
      <w:r>
        <w:t>PlGF</w:t>
      </w:r>
      <w:proofErr w:type="spellEnd"/>
      <w:r>
        <w:t xml:space="preserve"> is already included.</w:t>
      </w:r>
    </w:p>
    <w:p w14:paraId="23F820E4" w14:textId="77777777" w:rsidR="00B038AF" w:rsidRDefault="00000000">
      <w:pPr>
        <w:spacing w:before="230" w:after="90"/>
      </w:pPr>
      <w:proofErr w:type="gramStart"/>
      <w:r>
        <w:rPr>
          <w:b/>
          <w:bCs/>
          <w:color w:val="6B5780"/>
          <w:sz w:val="21"/>
          <w:szCs w:val="21"/>
        </w:rPr>
        <w:t>3.2.1  Maternal</w:t>
      </w:r>
      <w:proofErr w:type="gramEnd"/>
      <w:r>
        <w:rPr>
          <w:b/>
          <w:bCs/>
          <w:color w:val="6B5780"/>
          <w:sz w:val="21"/>
          <w:szCs w:val="21"/>
        </w:rPr>
        <w:t xml:space="preserve"> factors</w:t>
      </w:r>
    </w:p>
    <w:p w14:paraId="01129862" w14:textId="77777777" w:rsidR="00B038AF" w:rsidRDefault="00000000">
      <w:pPr>
        <w:spacing w:after="130" w:line="280" w:lineRule="auto"/>
      </w:pPr>
      <w:r>
        <w:t>These establish the woman’s baseline risk. Examples include age, weight and height, previous pregnancy/preeclampsia history, chronic hypertension, diabetes, method of conception, family history of preeclampsia, and relevant autoimmune disease.</w:t>
      </w:r>
    </w:p>
    <w:p w14:paraId="416C9B01" w14:textId="77777777" w:rsidR="00B038AF" w:rsidRDefault="00000000">
      <w:pPr>
        <w:spacing w:after="130" w:line="280" w:lineRule="auto"/>
      </w:pPr>
      <w:r>
        <w:rPr>
          <w:b/>
          <w:bCs/>
        </w:rPr>
        <w:t>Needed: patient history and/or medical record. No special lab or imaging equipment.</w:t>
      </w:r>
    </w:p>
    <w:p w14:paraId="7E834011" w14:textId="77777777" w:rsidR="00B038AF" w:rsidRDefault="00000000">
      <w:pPr>
        <w:spacing w:before="230" w:after="90"/>
      </w:pPr>
      <w:proofErr w:type="gramStart"/>
      <w:r>
        <w:rPr>
          <w:b/>
          <w:bCs/>
          <w:color w:val="6B5780"/>
          <w:sz w:val="21"/>
          <w:szCs w:val="21"/>
        </w:rPr>
        <w:t>3.2.2  Mean</w:t>
      </w:r>
      <w:proofErr w:type="gramEnd"/>
      <w:r>
        <w:rPr>
          <w:b/>
          <w:bCs/>
          <w:color w:val="6B5780"/>
          <w:sz w:val="21"/>
          <w:szCs w:val="21"/>
        </w:rPr>
        <w:t xml:space="preserve"> arterial pressure (MAP)</w:t>
      </w:r>
    </w:p>
    <w:p w14:paraId="0C3DB527" w14:textId="77777777" w:rsidR="00B038AF" w:rsidRDefault="00000000">
      <w:pPr>
        <w:spacing w:after="130" w:line="280" w:lineRule="auto"/>
      </w:pPr>
      <w:r>
        <w:t>MAP represents average arterial pressure during one cardiac cycle. In FMF screening, blood pressure is measured using a standardized protocol and incorporated into the risk model after appropriate adjustment.</w:t>
      </w:r>
    </w:p>
    <w:p w14:paraId="365B5F14" w14:textId="77777777" w:rsidR="00B038AF" w:rsidRDefault="00000000">
      <w:pPr>
        <w:spacing w:after="130" w:line="280" w:lineRule="auto"/>
      </w:pPr>
      <w:r>
        <w:rPr>
          <w:b/>
          <w:bCs/>
        </w:rPr>
        <w:t>Needed: validated automated blood-pressure monitor, correct cuff size, and standardized measurement technique.</w:t>
      </w:r>
    </w:p>
    <w:p w14:paraId="6A5B47CC" w14:textId="77777777" w:rsidR="00B038AF" w:rsidRDefault="00000000">
      <w:pPr>
        <w:spacing w:before="230" w:after="90"/>
      </w:pPr>
      <w:proofErr w:type="gramStart"/>
      <w:r>
        <w:rPr>
          <w:b/>
          <w:bCs/>
          <w:color w:val="6B5780"/>
          <w:sz w:val="21"/>
          <w:szCs w:val="21"/>
        </w:rPr>
        <w:t>3.2.3  Uterine</w:t>
      </w:r>
      <w:proofErr w:type="gramEnd"/>
      <w:r>
        <w:rPr>
          <w:b/>
          <w:bCs/>
          <w:color w:val="6B5780"/>
          <w:sz w:val="21"/>
          <w:szCs w:val="21"/>
        </w:rPr>
        <w:t xml:space="preserve"> artery Doppler (</w:t>
      </w:r>
      <w:proofErr w:type="spellStart"/>
      <w:r>
        <w:rPr>
          <w:b/>
          <w:bCs/>
          <w:color w:val="6B5780"/>
          <w:sz w:val="21"/>
          <w:szCs w:val="21"/>
        </w:rPr>
        <w:t>UtA</w:t>
      </w:r>
      <w:proofErr w:type="spellEnd"/>
      <w:r>
        <w:rPr>
          <w:b/>
          <w:bCs/>
          <w:color w:val="6B5780"/>
          <w:sz w:val="21"/>
          <w:szCs w:val="21"/>
        </w:rPr>
        <w:t>-PI)</w:t>
      </w:r>
    </w:p>
    <w:p w14:paraId="4ADE4C87" w14:textId="77777777" w:rsidR="00B038AF" w:rsidRDefault="00000000">
      <w:pPr>
        <w:spacing w:after="130" w:line="280" w:lineRule="auto"/>
      </w:pPr>
      <w:r>
        <w:t>This assesses resistance to blood flow in the uterine arteries supplying the uterus and placenta. The FMF protocol measures the pulsatility index (PI) of the left and right uterine arteries and uses their mean.</w:t>
      </w:r>
    </w:p>
    <w:p w14:paraId="4D2AB4B4" w14:textId="77777777" w:rsidR="00B038AF" w:rsidRDefault="00000000">
      <w:pPr>
        <w:spacing w:after="130" w:line="280" w:lineRule="auto"/>
      </w:pPr>
      <w:r>
        <w:rPr>
          <w:b/>
          <w:bCs/>
        </w:rPr>
        <w:t>Needed: ultrasound machine with color and pulsed-wave Doppler + a trained/certified operator following the FMF protocol.</w:t>
      </w:r>
    </w:p>
    <w:p w14:paraId="7A63392D" w14:textId="77777777" w:rsidR="00B038AF" w:rsidRDefault="00000000">
      <w:pPr>
        <w:spacing w:before="230" w:after="90"/>
      </w:pPr>
      <w:proofErr w:type="gramStart"/>
      <w:r>
        <w:rPr>
          <w:b/>
          <w:bCs/>
          <w:color w:val="6B5780"/>
          <w:sz w:val="21"/>
          <w:szCs w:val="21"/>
        </w:rPr>
        <w:t>3.2.4  Placental</w:t>
      </w:r>
      <w:proofErr w:type="gramEnd"/>
      <w:r>
        <w:rPr>
          <w:b/>
          <w:bCs/>
          <w:color w:val="6B5780"/>
          <w:sz w:val="21"/>
          <w:szCs w:val="21"/>
        </w:rPr>
        <w:t xml:space="preserve"> growth factor (</w:t>
      </w:r>
      <w:proofErr w:type="spellStart"/>
      <w:r>
        <w:rPr>
          <w:b/>
          <w:bCs/>
          <w:color w:val="6B5780"/>
          <w:sz w:val="21"/>
          <w:szCs w:val="21"/>
        </w:rPr>
        <w:t>PlGF</w:t>
      </w:r>
      <w:proofErr w:type="spellEnd"/>
      <w:r>
        <w:rPr>
          <w:b/>
          <w:bCs/>
          <w:color w:val="6B5780"/>
          <w:sz w:val="21"/>
          <w:szCs w:val="21"/>
        </w:rPr>
        <w:t>)</w:t>
      </w:r>
    </w:p>
    <w:p w14:paraId="4B9560BE" w14:textId="77777777" w:rsidR="00B038AF" w:rsidRDefault="00000000">
      <w:pPr>
        <w:spacing w:after="130" w:line="280" w:lineRule="auto"/>
      </w:pPr>
      <w:proofErr w:type="spellStart"/>
      <w:r>
        <w:t>PlGF</w:t>
      </w:r>
      <w:proofErr w:type="spellEnd"/>
      <w:r>
        <w:t xml:space="preserve"> is a protein involved in placental blood-vessel development. Its level in maternal blood provides information related to placental function and is used as a biochemical marker in the model.</w:t>
      </w:r>
    </w:p>
    <w:p w14:paraId="3CAD3A5B" w14:textId="77777777" w:rsidR="00B038AF" w:rsidRDefault="00000000">
      <w:pPr>
        <w:spacing w:after="130" w:line="280" w:lineRule="auto"/>
      </w:pPr>
      <w:r>
        <w:rPr>
          <w:b/>
          <w:bCs/>
        </w:rPr>
        <w:t xml:space="preserve">Needed: maternal blood sample + laboratory assay/platform that measures </w:t>
      </w:r>
      <w:proofErr w:type="spellStart"/>
      <w:r>
        <w:rPr>
          <w:b/>
          <w:bCs/>
        </w:rPr>
        <w:t>PlGF</w:t>
      </w:r>
      <w:proofErr w:type="spellEnd"/>
      <w:r>
        <w:rPr>
          <w:b/>
          <w:bCs/>
        </w:rPr>
        <w:t>.</w:t>
      </w:r>
    </w:p>
    <w:p w14:paraId="5CA48D06" w14:textId="77777777" w:rsidR="00B038AF" w:rsidRDefault="00000000">
      <w:pPr>
        <w:spacing w:before="230" w:after="90"/>
      </w:pPr>
      <w:proofErr w:type="gramStart"/>
      <w:r>
        <w:rPr>
          <w:b/>
          <w:bCs/>
          <w:color w:val="6B5780"/>
          <w:sz w:val="21"/>
          <w:szCs w:val="21"/>
        </w:rPr>
        <w:t>3.2.5  PAPP</w:t>
      </w:r>
      <w:proofErr w:type="gramEnd"/>
      <w:r>
        <w:rPr>
          <w:b/>
          <w:bCs/>
          <w:color w:val="6B5780"/>
          <w:sz w:val="21"/>
          <w:szCs w:val="21"/>
        </w:rPr>
        <w:t>-A</w:t>
      </w:r>
    </w:p>
    <w:p w14:paraId="2FC30276" w14:textId="77777777" w:rsidR="00B038AF" w:rsidRDefault="00000000">
      <w:pPr>
        <w:spacing w:after="130" w:line="280" w:lineRule="auto"/>
      </w:pPr>
      <w:r>
        <w:t>PAPP-A (pregnancy-associated plasma protein-A) is a placental protein measured in maternal blood and is often available from first-trimester aneuploidy screening.</w:t>
      </w:r>
    </w:p>
    <w:p w14:paraId="67423631" w14:textId="77777777" w:rsidR="00B038AF" w:rsidRDefault="00000000">
      <w:pPr>
        <w:spacing w:after="130" w:line="280" w:lineRule="auto"/>
      </w:pPr>
      <w:r>
        <w:rPr>
          <w:b/>
          <w:bCs/>
        </w:rPr>
        <w:t>Needed: maternal blood sample + compatible laboratory assay.</w:t>
      </w:r>
    </w:p>
    <w:p w14:paraId="7225E105" w14:textId="77777777" w:rsidR="00B038AF" w:rsidRDefault="00000000">
      <w:pPr>
        <w:spacing w:after="130" w:line="280" w:lineRule="auto"/>
      </w:pPr>
      <w:r>
        <w:rPr>
          <w:i/>
          <w:iCs/>
        </w:rPr>
        <w:lastRenderedPageBreak/>
        <w:t xml:space="preserve">Important: PAPP-A can be included, but the core high-performance FMF combination is maternal factors + MAP + </w:t>
      </w:r>
      <w:proofErr w:type="spellStart"/>
      <w:r>
        <w:rPr>
          <w:i/>
          <w:iCs/>
        </w:rPr>
        <w:t>UtA</w:t>
      </w:r>
      <w:proofErr w:type="spellEnd"/>
      <w:r>
        <w:rPr>
          <w:i/>
          <w:iCs/>
        </w:rPr>
        <w:t xml:space="preserve">-PI + </w:t>
      </w:r>
      <w:proofErr w:type="spellStart"/>
      <w:r>
        <w:rPr>
          <w:i/>
          <w:iCs/>
        </w:rPr>
        <w:t>PlGF</w:t>
      </w:r>
      <w:proofErr w:type="spellEnd"/>
      <w:r>
        <w:rPr>
          <w:i/>
          <w:iCs/>
        </w:rPr>
        <w:t xml:space="preserve"> because adding PAPP-A when </w:t>
      </w:r>
      <w:proofErr w:type="spellStart"/>
      <w:r>
        <w:rPr>
          <w:i/>
          <w:iCs/>
        </w:rPr>
        <w:t>PlGF</w:t>
      </w:r>
      <w:proofErr w:type="spellEnd"/>
      <w:r>
        <w:rPr>
          <w:i/>
          <w:iCs/>
        </w:rPr>
        <w:t xml:space="preserve"> is already included does not significantly improve screening performance.</w:t>
      </w:r>
    </w:p>
    <w:p w14:paraId="32367A3F" w14:textId="77777777" w:rsidR="00B038AF" w:rsidRDefault="00000000">
      <w:pPr>
        <w:spacing w:before="300" w:after="110"/>
      </w:pPr>
      <w:proofErr w:type="gramStart"/>
      <w:r>
        <w:rPr>
          <w:b/>
          <w:bCs/>
          <w:color w:val="3B2F45"/>
          <w:sz w:val="24"/>
          <w:szCs w:val="24"/>
        </w:rPr>
        <w:t>3.3  How</w:t>
      </w:r>
      <w:proofErr w:type="gramEnd"/>
      <w:r>
        <w:rPr>
          <w:b/>
          <w:bCs/>
          <w:color w:val="3B2F45"/>
          <w:sz w:val="24"/>
          <w:szCs w:val="24"/>
        </w:rPr>
        <w:t xml:space="preserve"> are the measurements combined?</w:t>
      </w:r>
    </w:p>
    <w:p w14:paraId="6EFC9F6C" w14:textId="77777777" w:rsidR="00B038AF" w:rsidRDefault="00000000">
      <w:pPr>
        <w:spacing w:after="130" w:line="280" w:lineRule="auto"/>
      </w:pPr>
      <w:r>
        <w:t>The measurements are not interpreted as separate diagnoses. The model starts with prior risk from maternal factors and history and combines it with the measured biomarkers to calculate a patient-specific risk. Biomarker measurements are standardized as multiples of the median (MoM) with appropriate adjustments before entering the model [9].</w:t>
      </w:r>
    </w:p>
    <w:tbl>
      <w:tblPr>
        <w:tblW w:w="9020" w:type="dxa"/>
        <w:tblCellMar>
          <w:left w:w="10" w:type="dxa"/>
          <w:right w:w="10" w:type="dxa"/>
        </w:tblCellMar>
        <w:tblLook w:val="04A0" w:firstRow="1" w:lastRow="0" w:firstColumn="1" w:lastColumn="0" w:noHBand="0" w:noVBand="1"/>
      </w:tblPr>
      <w:tblGrid>
        <w:gridCol w:w="9020"/>
      </w:tblGrid>
      <w:tr w:rsidR="00B038AF" w14:paraId="0C8DD121" w14:textId="77777777">
        <w:tblPrEx>
          <w:tblCellMar>
            <w:top w:w="0" w:type="dxa"/>
            <w:bottom w:w="0" w:type="dxa"/>
          </w:tblCellMar>
        </w:tblPrEx>
        <w:trPr>
          <w:cantSplit/>
        </w:trPr>
        <w:tc>
          <w:tcPr>
            <w:tcW w:w="9020" w:type="dxa"/>
            <w:tcBorders>
              <w:left w:val="single" w:sz="28" w:space="0" w:color="A2564A"/>
            </w:tcBorders>
            <w:shd w:val="clear" w:color="auto" w:fill="FBF1EE"/>
            <w:tcMar>
              <w:top w:w="200" w:type="dxa"/>
              <w:left w:w="260" w:type="dxa"/>
              <w:bottom w:w="200" w:type="dxa"/>
              <w:right w:w="240" w:type="dxa"/>
            </w:tcMar>
          </w:tcPr>
          <w:p w14:paraId="6C7CD896" w14:textId="77777777" w:rsidR="00B038AF" w:rsidRDefault="00000000">
            <w:pPr>
              <w:spacing w:line="285" w:lineRule="auto"/>
            </w:pPr>
            <w:r>
              <w:rPr>
                <w:b/>
                <w:bCs/>
              </w:rPr>
              <w:t>This is the sentence that separates Route B from Route A. Route A counts boxes. Route B multiplies a prior risk by measured evidence and returns one number for one woman.</w:t>
            </w:r>
          </w:p>
        </w:tc>
      </w:tr>
    </w:tbl>
    <w:p w14:paraId="379CA25A" w14:textId="77777777" w:rsidR="00B038AF" w:rsidRDefault="00B038AF">
      <w:pPr>
        <w:spacing w:after="140"/>
      </w:pPr>
    </w:p>
    <w:p w14:paraId="0F0D157D" w14:textId="77777777" w:rsidR="00B038AF" w:rsidRDefault="00000000">
      <w:pPr>
        <w:spacing w:before="300" w:after="110"/>
      </w:pPr>
      <w:proofErr w:type="gramStart"/>
      <w:r>
        <w:rPr>
          <w:b/>
          <w:bCs/>
          <w:color w:val="3B2F45"/>
          <w:sz w:val="24"/>
          <w:szCs w:val="24"/>
        </w:rPr>
        <w:t>3.4  Why</w:t>
      </w:r>
      <w:proofErr w:type="gramEnd"/>
      <w:r>
        <w:rPr>
          <w:b/>
          <w:bCs/>
          <w:color w:val="3B2F45"/>
          <w:sz w:val="24"/>
          <w:szCs w:val="24"/>
        </w:rPr>
        <w:t xml:space="preserve"> </w:t>
      </w:r>
      <w:proofErr w:type="gramStart"/>
      <w:r>
        <w:rPr>
          <w:b/>
          <w:bCs/>
          <w:color w:val="3B2F45"/>
          <w:sz w:val="24"/>
          <w:szCs w:val="24"/>
        </w:rPr>
        <w:t>this matters</w:t>
      </w:r>
      <w:proofErr w:type="gramEnd"/>
      <w:r>
        <w:rPr>
          <w:b/>
          <w:bCs/>
          <w:color w:val="3B2F45"/>
          <w:sz w:val="24"/>
          <w:szCs w:val="24"/>
        </w:rPr>
        <w:t xml:space="preserve"> for the reach of any app</w:t>
      </w:r>
    </w:p>
    <w:p w14:paraId="03FE1822" w14:textId="77777777" w:rsidR="00B038AF" w:rsidRDefault="00000000">
      <w:pPr>
        <w:spacing w:after="130" w:line="280" w:lineRule="auto"/>
      </w:pPr>
      <w:r>
        <w:t xml:space="preserve">The FMF pathway shows that advanced screening needs more than information entered into an app. Maternal history can be collected digitally, but </w:t>
      </w:r>
      <w:proofErr w:type="spellStart"/>
      <w:r>
        <w:t>UtA</w:t>
      </w:r>
      <w:proofErr w:type="spellEnd"/>
      <w:r>
        <w:t xml:space="preserve">-PI requires Doppler ultrasound and </w:t>
      </w:r>
      <w:proofErr w:type="spellStart"/>
      <w:r>
        <w:t>PlGF</w:t>
      </w:r>
      <w:proofErr w:type="spellEnd"/>
      <w:r>
        <w:t>/PAPP-A require blood testing and laboratory assays.</w:t>
      </w:r>
    </w:p>
    <w:p w14:paraId="45F07AE9" w14:textId="77777777" w:rsidR="00B038AF" w:rsidRDefault="00000000">
      <w:pPr>
        <w:spacing w:before="300" w:after="110"/>
      </w:pPr>
      <w:proofErr w:type="gramStart"/>
      <w:r>
        <w:rPr>
          <w:b/>
          <w:bCs/>
          <w:color w:val="3B2F45"/>
          <w:sz w:val="24"/>
          <w:szCs w:val="24"/>
        </w:rPr>
        <w:t>3.5  Requirements</w:t>
      </w:r>
      <w:proofErr w:type="gramEnd"/>
      <w:r>
        <w:rPr>
          <w:b/>
          <w:bCs/>
          <w:color w:val="3B2F45"/>
          <w:sz w:val="24"/>
          <w:szCs w:val="24"/>
        </w:rPr>
        <w:t xml:space="preserve"> at a glance</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000"/>
        <w:gridCol w:w="2700"/>
        <w:gridCol w:w="4320"/>
      </w:tblGrid>
      <w:tr w:rsidR="00B038AF" w14:paraId="2E761DDE" w14:textId="77777777">
        <w:tblPrEx>
          <w:tblCellMar>
            <w:top w:w="0" w:type="dxa"/>
            <w:bottom w:w="0" w:type="dxa"/>
          </w:tblCellMar>
        </w:tblPrEx>
        <w:trPr>
          <w:cantSplit/>
          <w:tblHeader/>
        </w:trPr>
        <w:tc>
          <w:tcPr>
            <w:tcW w:w="2000" w:type="dxa"/>
            <w:shd w:val="clear" w:color="auto" w:fill="EFE7EC"/>
            <w:tcMar>
              <w:top w:w="90" w:type="dxa"/>
              <w:left w:w="120" w:type="dxa"/>
              <w:bottom w:w="90" w:type="dxa"/>
              <w:right w:w="120" w:type="dxa"/>
            </w:tcMar>
          </w:tcPr>
          <w:p w14:paraId="35A81D14" w14:textId="77777777" w:rsidR="00B038AF" w:rsidRDefault="00000000">
            <w:pPr>
              <w:spacing w:line="250" w:lineRule="auto"/>
            </w:pPr>
            <w:r>
              <w:rPr>
                <w:b/>
                <w:bCs/>
                <w:color w:val="261E2D"/>
                <w:sz w:val="17"/>
                <w:szCs w:val="17"/>
              </w:rPr>
              <w:t>Component</w:t>
            </w:r>
          </w:p>
        </w:tc>
        <w:tc>
          <w:tcPr>
            <w:tcW w:w="2700" w:type="dxa"/>
            <w:shd w:val="clear" w:color="auto" w:fill="EFE7EC"/>
            <w:tcMar>
              <w:top w:w="90" w:type="dxa"/>
              <w:left w:w="120" w:type="dxa"/>
              <w:bottom w:w="90" w:type="dxa"/>
              <w:right w:w="120" w:type="dxa"/>
            </w:tcMar>
          </w:tcPr>
          <w:p w14:paraId="0D705957" w14:textId="77777777" w:rsidR="00B038AF" w:rsidRDefault="00000000">
            <w:pPr>
              <w:spacing w:line="250" w:lineRule="auto"/>
            </w:pPr>
            <w:r>
              <w:rPr>
                <w:b/>
                <w:bCs/>
                <w:color w:val="261E2D"/>
                <w:sz w:val="17"/>
                <w:szCs w:val="17"/>
              </w:rPr>
              <w:t>Purpose</w:t>
            </w:r>
          </w:p>
        </w:tc>
        <w:tc>
          <w:tcPr>
            <w:tcW w:w="4320" w:type="dxa"/>
            <w:shd w:val="clear" w:color="auto" w:fill="EFE7EC"/>
            <w:tcMar>
              <w:top w:w="90" w:type="dxa"/>
              <w:left w:w="120" w:type="dxa"/>
              <w:bottom w:w="90" w:type="dxa"/>
              <w:right w:w="120" w:type="dxa"/>
            </w:tcMar>
          </w:tcPr>
          <w:p w14:paraId="2A20269D" w14:textId="77777777" w:rsidR="00B038AF" w:rsidRDefault="00000000">
            <w:pPr>
              <w:spacing w:line="250" w:lineRule="auto"/>
            </w:pPr>
            <w:r>
              <w:rPr>
                <w:b/>
                <w:bCs/>
                <w:color w:val="261E2D"/>
                <w:sz w:val="17"/>
                <w:szCs w:val="17"/>
              </w:rPr>
              <w:t>What is needed</w:t>
            </w:r>
          </w:p>
        </w:tc>
      </w:tr>
      <w:tr w:rsidR="00B038AF" w14:paraId="070DBAD1" w14:textId="77777777">
        <w:tblPrEx>
          <w:tblCellMar>
            <w:top w:w="0" w:type="dxa"/>
            <w:bottom w:w="0" w:type="dxa"/>
          </w:tblCellMar>
        </w:tblPrEx>
        <w:trPr>
          <w:cantSplit/>
        </w:trPr>
        <w:tc>
          <w:tcPr>
            <w:tcW w:w="2000" w:type="dxa"/>
            <w:tcMar>
              <w:top w:w="90" w:type="dxa"/>
              <w:left w:w="120" w:type="dxa"/>
              <w:bottom w:w="90" w:type="dxa"/>
              <w:right w:w="120" w:type="dxa"/>
            </w:tcMar>
          </w:tcPr>
          <w:p w14:paraId="04649668" w14:textId="77777777" w:rsidR="00B038AF" w:rsidRDefault="00000000">
            <w:pPr>
              <w:spacing w:line="250" w:lineRule="auto"/>
            </w:pPr>
            <w:r>
              <w:rPr>
                <w:b/>
                <w:bCs/>
                <w:sz w:val="17"/>
                <w:szCs w:val="17"/>
              </w:rPr>
              <w:t>Maternal factors</w:t>
            </w:r>
          </w:p>
        </w:tc>
        <w:tc>
          <w:tcPr>
            <w:tcW w:w="2700" w:type="dxa"/>
            <w:tcMar>
              <w:top w:w="90" w:type="dxa"/>
              <w:left w:w="120" w:type="dxa"/>
              <w:bottom w:w="90" w:type="dxa"/>
              <w:right w:w="120" w:type="dxa"/>
            </w:tcMar>
          </w:tcPr>
          <w:p w14:paraId="21EAD592" w14:textId="77777777" w:rsidR="00B038AF" w:rsidRDefault="00000000">
            <w:pPr>
              <w:spacing w:line="250" w:lineRule="auto"/>
            </w:pPr>
            <w:r>
              <w:rPr>
                <w:sz w:val="17"/>
                <w:szCs w:val="17"/>
              </w:rPr>
              <w:t>Baseline risk</w:t>
            </w:r>
          </w:p>
        </w:tc>
        <w:tc>
          <w:tcPr>
            <w:tcW w:w="4320" w:type="dxa"/>
            <w:tcMar>
              <w:top w:w="90" w:type="dxa"/>
              <w:left w:w="120" w:type="dxa"/>
              <w:bottom w:w="90" w:type="dxa"/>
              <w:right w:w="120" w:type="dxa"/>
            </w:tcMar>
          </w:tcPr>
          <w:p w14:paraId="491007F2" w14:textId="77777777" w:rsidR="00B038AF" w:rsidRDefault="00000000">
            <w:pPr>
              <w:spacing w:line="250" w:lineRule="auto"/>
            </w:pPr>
            <w:r>
              <w:rPr>
                <w:sz w:val="17"/>
                <w:szCs w:val="17"/>
              </w:rPr>
              <w:t>History / medical record</w:t>
            </w:r>
          </w:p>
        </w:tc>
      </w:tr>
      <w:tr w:rsidR="00B038AF" w14:paraId="2F6B7B45" w14:textId="77777777">
        <w:tblPrEx>
          <w:tblCellMar>
            <w:top w:w="0" w:type="dxa"/>
            <w:bottom w:w="0" w:type="dxa"/>
          </w:tblCellMar>
        </w:tblPrEx>
        <w:trPr>
          <w:cantSplit/>
        </w:trPr>
        <w:tc>
          <w:tcPr>
            <w:tcW w:w="2000" w:type="dxa"/>
            <w:shd w:val="clear" w:color="auto" w:fill="FAF8F9"/>
            <w:tcMar>
              <w:top w:w="90" w:type="dxa"/>
              <w:left w:w="120" w:type="dxa"/>
              <w:bottom w:w="90" w:type="dxa"/>
              <w:right w:w="120" w:type="dxa"/>
            </w:tcMar>
          </w:tcPr>
          <w:p w14:paraId="34C4869E" w14:textId="77777777" w:rsidR="00B038AF" w:rsidRDefault="00000000">
            <w:pPr>
              <w:spacing w:line="250" w:lineRule="auto"/>
            </w:pPr>
            <w:r>
              <w:rPr>
                <w:b/>
                <w:bCs/>
                <w:sz w:val="17"/>
                <w:szCs w:val="17"/>
              </w:rPr>
              <w:t>MAP</w:t>
            </w:r>
          </w:p>
        </w:tc>
        <w:tc>
          <w:tcPr>
            <w:tcW w:w="2700" w:type="dxa"/>
            <w:shd w:val="clear" w:color="auto" w:fill="FAF8F9"/>
            <w:tcMar>
              <w:top w:w="90" w:type="dxa"/>
              <w:left w:w="120" w:type="dxa"/>
              <w:bottom w:w="90" w:type="dxa"/>
              <w:right w:w="120" w:type="dxa"/>
            </w:tcMar>
          </w:tcPr>
          <w:p w14:paraId="726D390E" w14:textId="77777777" w:rsidR="00B038AF" w:rsidRDefault="00000000">
            <w:pPr>
              <w:spacing w:line="250" w:lineRule="auto"/>
            </w:pPr>
            <w:r>
              <w:rPr>
                <w:sz w:val="17"/>
                <w:szCs w:val="17"/>
              </w:rPr>
              <w:t>Maternal blood pressure</w:t>
            </w:r>
          </w:p>
        </w:tc>
        <w:tc>
          <w:tcPr>
            <w:tcW w:w="4320" w:type="dxa"/>
            <w:shd w:val="clear" w:color="auto" w:fill="FAF8F9"/>
            <w:tcMar>
              <w:top w:w="90" w:type="dxa"/>
              <w:left w:w="120" w:type="dxa"/>
              <w:bottom w:w="90" w:type="dxa"/>
              <w:right w:w="120" w:type="dxa"/>
            </w:tcMar>
          </w:tcPr>
          <w:p w14:paraId="6332D03C" w14:textId="77777777" w:rsidR="00B038AF" w:rsidRDefault="00000000">
            <w:pPr>
              <w:spacing w:line="250" w:lineRule="auto"/>
            </w:pPr>
            <w:r>
              <w:rPr>
                <w:sz w:val="17"/>
                <w:szCs w:val="17"/>
              </w:rPr>
              <w:t>Validated BP device + correct cuff + standardized protocol</w:t>
            </w:r>
          </w:p>
        </w:tc>
      </w:tr>
      <w:tr w:rsidR="00B038AF" w14:paraId="6432EA72" w14:textId="77777777">
        <w:tblPrEx>
          <w:tblCellMar>
            <w:top w:w="0" w:type="dxa"/>
            <w:bottom w:w="0" w:type="dxa"/>
          </w:tblCellMar>
        </w:tblPrEx>
        <w:trPr>
          <w:cantSplit/>
        </w:trPr>
        <w:tc>
          <w:tcPr>
            <w:tcW w:w="2000" w:type="dxa"/>
            <w:tcMar>
              <w:top w:w="90" w:type="dxa"/>
              <w:left w:w="120" w:type="dxa"/>
              <w:bottom w:w="90" w:type="dxa"/>
              <w:right w:w="120" w:type="dxa"/>
            </w:tcMar>
          </w:tcPr>
          <w:p w14:paraId="4964C801" w14:textId="77777777" w:rsidR="00B038AF" w:rsidRDefault="00000000">
            <w:pPr>
              <w:spacing w:line="250" w:lineRule="auto"/>
            </w:pPr>
            <w:proofErr w:type="spellStart"/>
            <w:r>
              <w:rPr>
                <w:b/>
                <w:bCs/>
                <w:sz w:val="17"/>
                <w:szCs w:val="17"/>
              </w:rPr>
              <w:t>UtA</w:t>
            </w:r>
            <w:proofErr w:type="spellEnd"/>
            <w:r>
              <w:rPr>
                <w:b/>
                <w:bCs/>
                <w:sz w:val="17"/>
                <w:szCs w:val="17"/>
              </w:rPr>
              <w:t>-PI</w:t>
            </w:r>
          </w:p>
        </w:tc>
        <w:tc>
          <w:tcPr>
            <w:tcW w:w="2700" w:type="dxa"/>
            <w:tcMar>
              <w:top w:w="90" w:type="dxa"/>
              <w:left w:w="120" w:type="dxa"/>
              <w:bottom w:w="90" w:type="dxa"/>
              <w:right w:w="120" w:type="dxa"/>
            </w:tcMar>
          </w:tcPr>
          <w:p w14:paraId="3A59A235" w14:textId="77777777" w:rsidR="00B038AF" w:rsidRDefault="00000000">
            <w:pPr>
              <w:spacing w:line="250" w:lineRule="auto"/>
            </w:pPr>
            <w:r>
              <w:rPr>
                <w:sz w:val="17"/>
                <w:szCs w:val="17"/>
              </w:rPr>
              <w:t>Uterine artery blood-flow resistance</w:t>
            </w:r>
          </w:p>
        </w:tc>
        <w:tc>
          <w:tcPr>
            <w:tcW w:w="4320" w:type="dxa"/>
            <w:tcMar>
              <w:top w:w="90" w:type="dxa"/>
              <w:left w:w="120" w:type="dxa"/>
              <w:bottom w:w="90" w:type="dxa"/>
              <w:right w:w="120" w:type="dxa"/>
            </w:tcMar>
          </w:tcPr>
          <w:p w14:paraId="1BB0AEE9" w14:textId="77777777" w:rsidR="00B038AF" w:rsidRDefault="00000000">
            <w:pPr>
              <w:spacing w:line="250" w:lineRule="auto"/>
            </w:pPr>
            <w:r>
              <w:rPr>
                <w:sz w:val="17"/>
                <w:szCs w:val="17"/>
              </w:rPr>
              <w:t>Doppler ultrasound + trained operator</w:t>
            </w:r>
          </w:p>
        </w:tc>
      </w:tr>
      <w:tr w:rsidR="00B038AF" w14:paraId="13C6A8F8" w14:textId="77777777">
        <w:tblPrEx>
          <w:tblCellMar>
            <w:top w:w="0" w:type="dxa"/>
            <w:bottom w:w="0" w:type="dxa"/>
          </w:tblCellMar>
        </w:tblPrEx>
        <w:trPr>
          <w:cantSplit/>
        </w:trPr>
        <w:tc>
          <w:tcPr>
            <w:tcW w:w="2000" w:type="dxa"/>
            <w:shd w:val="clear" w:color="auto" w:fill="FAF8F9"/>
            <w:tcMar>
              <w:top w:w="90" w:type="dxa"/>
              <w:left w:w="120" w:type="dxa"/>
              <w:bottom w:w="90" w:type="dxa"/>
              <w:right w:w="120" w:type="dxa"/>
            </w:tcMar>
          </w:tcPr>
          <w:p w14:paraId="10591466" w14:textId="77777777" w:rsidR="00B038AF" w:rsidRDefault="00000000">
            <w:pPr>
              <w:spacing w:line="250" w:lineRule="auto"/>
            </w:pPr>
            <w:proofErr w:type="spellStart"/>
            <w:r>
              <w:rPr>
                <w:b/>
                <w:bCs/>
                <w:sz w:val="17"/>
                <w:szCs w:val="17"/>
              </w:rPr>
              <w:t>PlGF</w:t>
            </w:r>
            <w:proofErr w:type="spellEnd"/>
          </w:p>
        </w:tc>
        <w:tc>
          <w:tcPr>
            <w:tcW w:w="2700" w:type="dxa"/>
            <w:shd w:val="clear" w:color="auto" w:fill="FAF8F9"/>
            <w:tcMar>
              <w:top w:w="90" w:type="dxa"/>
              <w:left w:w="120" w:type="dxa"/>
              <w:bottom w:w="90" w:type="dxa"/>
              <w:right w:w="120" w:type="dxa"/>
            </w:tcMar>
          </w:tcPr>
          <w:p w14:paraId="44703FA2" w14:textId="77777777" w:rsidR="00B038AF" w:rsidRDefault="00000000">
            <w:pPr>
              <w:spacing w:line="250" w:lineRule="auto"/>
            </w:pPr>
            <w:r>
              <w:rPr>
                <w:sz w:val="17"/>
                <w:szCs w:val="17"/>
              </w:rPr>
              <w:t>Placental biomarker</w:t>
            </w:r>
          </w:p>
        </w:tc>
        <w:tc>
          <w:tcPr>
            <w:tcW w:w="4320" w:type="dxa"/>
            <w:shd w:val="clear" w:color="auto" w:fill="FAF8F9"/>
            <w:tcMar>
              <w:top w:w="90" w:type="dxa"/>
              <w:left w:w="120" w:type="dxa"/>
              <w:bottom w:w="90" w:type="dxa"/>
              <w:right w:w="120" w:type="dxa"/>
            </w:tcMar>
          </w:tcPr>
          <w:p w14:paraId="2145F4A2" w14:textId="77777777" w:rsidR="00B038AF" w:rsidRDefault="00000000">
            <w:pPr>
              <w:spacing w:line="250" w:lineRule="auto"/>
            </w:pPr>
            <w:r>
              <w:rPr>
                <w:sz w:val="17"/>
                <w:szCs w:val="17"/>
              </w:rPr>
              <w:t>Blood sample + laboratory assay</w:t>
            </w:r>
          </w:p>
        </w:tc>
      </w:tr>
      <w:tr w:rsidR="00B038AF" w14:paraId="30E6D3D3" w14:textId="77777777">
        <w:tblPrEx>
          <w:tblCellMar>
            <w:top w:w="0" w:type="dxa"/>
            <w:bottom w:w="0" w:type="dxa"/>
          </w:tblCellMar>
        </w:tblPrEx>
        <w:trPr>
          <w:cantSplit/>
        </w:trPr>
        <w:tc>
          <w:tcPr>
            <w:tcW w:w="2000" w:type="dxa"/>
            <w:tcMar>
              <w:top w:w="90" w:type="dxa"/>
              <w:left w:w="120" w:type="dxa"/>
              <w:bottom w:w="90" w:type="dxa"/>
              <w:right w:w="120" w:type="dxa"/>
            </w:tcMar>
          </w:tcPr>
          <w:p w14:paraId="474CFBD3" w14:textId="77777777" w:rsidR="00B038AF" w:rsidRDefault="00000000">
            <w:pPr>
              <w:spacing w:line="250" w:lineRule="auto"/>
            </w:pPr>
            <w:r>
              <w:rPr>
                <w:b/>
                <w:bCs/>
                <w:sz w:val="17"/>
                <w:szCs w:val="17"/>
              </w:rPr>
              <w:t>PAPP-A</w:t>
            </w:r>
          </w:p>
        </w:tc>
        <w:tc>
          <w:tcPr>
            <w:tcW w:w="2700" w:type="dxa"/>
            <w:tcMar>
              <w:top w:w="90" w:type="dxa"/>
              <w:left w:w="120" w:type="dxa"/>
              <w:bottom w:w="90" w:type="dxa"/>
              <w:right w:w="120" w:type="dxa"/>
            </w:tcMar>
          </w:tcPr>
          <w:p w14:paraId="6F659D4C" w14:textId="77777777" w:rsidR="00B038AF" w:rsidRDefault="00000000">
            <w:pPr>
              <w:spacing w:line="250" w:lineRule="auto"/>
            </w:pPr>
            <w:r>
              <w:rPr>
                <w:sz w:val="17"/>
                <w:szCs w:val="17"/>
              </w:rPr>
              <w:t>Additional placental marker</w:t>
            </w:r>
          </w:p>
        </w:tc>
        <w:tc>
          <w:tcPr>
            <w:tcW w:w="4320" w:type="dxa"/>
            <w:tcMar>
              <w:top w:w="90" w:type="dxa"/>
              <w:left w:w="120" w:type="dxa"/>
              <w:bottom w:w="90" w:type="dxa"/>
              <w:right w:w="120" w:type="dxa"/>
            </w:tcMar>
          </w:tcPr>
          <w:p w14:paraId="28507009" w14:textId="77777777" w:rsidR="00B038AF" w:rsidRDefault="00000000">
            <w:pPr>
              <w:spacing w:line="250" w:lineRule="auto"/>
            </w:pPr>
            <w:r>
              <w:rPr>
                <w:sz w:val="17"/>
                <w:szCs w:val="17"/>
              </w:rPr>
              <w:t>Blood sample + laboratory assay</w:t>
            </w:r>
          </w:p>
        </w:tc>
      </w:tr>
    </w:tbl>
    <w:p w14:paraId="2259153A" w14:textId="77777777" w:rsidR="00B038AF" w:rsidRDefault="00B038AF">
      <w:pPr>
        <w:spacing w:after="140"/>
      </w:pPr>
    </w:p>
    <w:p w14:paraId="4E90282A" w14:textId="77777777" w:rsidR="00B038AF" w:rsidRDefault="00000000">
      <w:pPr>
        <w:spacing w:before="300" w:after="110"/>
      </w:pPr>
      <w:proofErr w:type="gramStart"/>
      <w:r>
        <w:rPr>
          <w:b/>
          <w:bCs/>
          <w:color w:val="3B2F45"/>
          <w:sz w:val="24"/>
          <w:szCs w:val="24"/>
        </w:rPr>
        <w:t>3.6  Other</w:t>
      </w:r>
      <w:proofErr w:type="gramEnd"/>
      <w:r>
        <w:rPr>
          <w:b/>
          <w:bCs/>
          <w:color w:val="3B2F45"/>
          <w:sz w:val="24"/>
          <w:szCs w:val="24"/>
        </w:rPr>
        <w:t xml:space="preserve"> models, and why FMF is the reference</w:t>
      </w:r>
    </w:p>
    <w:p w14:paraId="0B61A1C9" w14:textId="77777777" w:rsidR="00B038AF" w:rsidRDefault="00000000">
      <w:pPr>
        <w:spacing w:after="130" w:line="280" w:lineRule="auto"/>
      </w:pPr>
      <w:r>
        <w:t>FMF is not the only first-trimester model for preeclampsia. Two other kinds exist, and neither has displaced it:</w:t>
      </w:r>
    </w:p>
    <w:p w14:paraId="3B885D48" w14:textId="77777777" w:rsidR="00B038AF" w:rsidRDefault="00000000">
      <w:pPr>
        <w:spacing w:after="80" w:line="270" w:lineRule="auto"/>
        <w:ind w:left="340" w:hanging="200"/>
      </w:pPr>
      <w:r>
        <w:rPr>
          <w:color w:val="A796B5"/>
        </w:rPr>
        <w:t xml:space="preserve">•   </w:t>
      </w:r>
      <w:r>
        <w:t>The Fetal Medicine Barcelona (FMB) model, which uses similar inputs with different statistics. Direct comparisons place it slightly below FMF.</w:t>
      </w:r>
    </w:p>
    <w:p w14:paraId="796F7502" w14:textId="77777777" w:rsidR="00B038AF" w:rsidRDefault="00000000">
      <w:pPr>
        <w:spacing w:after="80" w:line="270" w:lineRule="auto"/>
        <w:ind w:left="340" w:hanging="200"/>
      </w:pPr>
      <w:r>
        <w:rPr>
          <w:color w:val="A796B5"/>
        </w:rPr>
        <w:t xml:space="preserve">•   </w:t>
      </w:r>
      <w:r>
        <w:t>Machine-learning models built on the same four inputs. In the comparisons published so far, none has beaten the FMF competing-risks model.</w:t>
      </w:r>
    </w:p>
    <w:p w14:paraId="43E8D679" w14:textId="77777777" w:rsidR="00B038AF" w:rsidRDefault="00B038AF">
      <w:pPr>
        <w:spacing w:after="100"/>
      </w:pPr>
    </w:p>
    <w:p w14:paraId="5678A677" w14:textId="77777777" w:rsidR="00B038AF" w:rsidRDefault="00000000">
      <w:pPr>
        <w:spacing w:after="130" w:line="280" w:lineRule="auto"/>
      </w:pPr>
      <w:r>
        <w:t>The third option is the history-only checklist of Part 2. It is far simpler to run and far less accurate; Part 4 sets the two against each other.</w:t>
      </w:r>
    </w:p>
    <w:p w14:paraId="6D96FA25" w14:textId="77777777" w:rsidR="00B038AF" w:rsidRDefault="00000000">
      <w:pPr>
        <w:spacing w:after="130" w:line="280" w:lineRule="auto"/>
      </w:pPr>
      <w:r>
        <w:rPr>
          <w:b/>
          <w:bCs/>
        </w:rPr>
        <w:t>FMF is treated as the reference for two reasons. It has been externally validated in many more settings than any alternative, and it is the model the ASPRE trial used to choose which women received aspirin [10] — so it is the only one with trial evidence that acting on its result actually prevents the disease.</w:t>
      </w:r>
    </w:p>
    <w:p w14:paraId="54075241" w14:textId="77777777" w:rsidR="00B038AF" w:rsidRDefault="00000000">
      <w:pPr>
        <w:spacing w:before="300" w:after="110"/>
      </w:pPr>
      <w:proofErr w:type="gramStart"/>
      <w:r>
        <w:rPr>
          <w:b/>
          <w:bCs/>
          <w:color w:val="3B2F45"/>
          <w:sz w:val="24"/>
          <w:szCs w:val="24"/>
        </w:rPr>
        <w:t>3.7  FMF</w:t>
      </w:r>
      <w:proofErr w:type="gramEnd"/>
      <w:r>
        <w:rPr>
          <w:b/>
          <w:bCs/>
          <w:color w:val="3B2F45"/>
          <w:sz w:val="24"/>
          <w:szCs w:val="24"/>
        </w:rPr>
        <w:t xml:space="preserve"> pathway in one view</w:t>
      </w:r>
    </w:p>
    <w:p w14:paraId="37EB6859" w14:textId="77777777" w:rsidR="00B038AF" w:rsidRDefault="00000000">
      <w:pPr>
        <w:spacing w:after="80" w:line="270" w:lineRule="auto"/>
        <w:ind w:left="400" w:hanging="260"/>
      </w:pPr>
      <w:r>
        <w:rPr>
          <w:b/>
          <w:bCs/>
          <w:color w:val="6B5780"/>
        </w:rPr>
        <w:t xml:space="preserve">1.   </w:t>
      </w:r>
      <w:r>
        <w:t>11–</w:t>
      </w:r>
      <w:proofErr w:type="gramStart"/>
      <w:r>
        <w:t>14 week</w:t>
      </w:r>
      <w:proofErr w:type="gramEnd"/>
      <w:r>
        <w:t xml:space="preserve"> visit</w:t>
      </w:r>
    </w:p>
    <w:p w14:paraId="5D0EE4EA" w14:textId="77777777" w:rsidR="00B038AF" w:rsidRDefault="00000000">
      <w:pPr>
        <w:spacing w:after="80" w:line="270" w:lineRule="auto"/>
        <w:ind w:left="400" w:hanging="260"/>
      </w:pPr>
      <w:r>
        <w:rPr>
          <w:b/>
          <w:bCs/>
          <w:color w:val="6B5780"/>
        </w:rPr>
        <w:lastRenderedPageBreak/>
        <w:t xml:space="preserve">2.   </w:t>
      </w:r>
      <w:r>
        <w:t>Collect maternal factors/history</w:t>
      </w:r>
    </w:p>
    <w:p w14:paraId="1F70C2E5" w14:textId="77777777" w:rsidR="00B038AF" w:rsidRDefault="00000000">
      <w:pPr>
        <w:spacing w:after="80" w:line="270" w:lineRule="auto"/>
        <w:ind w:left="400" w:hanging="260"/>
      </w:pPr>
      <w:r>
        <w:rPr>
          <w:b/>
          <w:bCs/>
          <w:color w:val="6B5780"/>
        </w:rPr>
        <w:t xml:space="preserve">3.   </w:t>
      </w:r>
      <w:r>
        <w:t>Measure MAP</w:t>
      </w:r>
    </w:p>
    <w:p w14:paraId="43F19585" w14:textId="77777777" w:rsidR="00B038AF" w:rsidRDefault="00000000">
      <w:pPr>
        <w:spacing w:after="80" w:line="270" w:lineRule="auto"/>
        <w:ind w:left="400" w:hanging="260"/>
      </w:pPr>
      <w:r>
        <w:rPr>
          <w:b/>
          <w:bCs/>
          <w:color w:val="6B5780"/>
        </w:rPr>
        <w:t xml:space="preserve">4.   </w:t>
      </w:r>
      <w:r>
        <w:t xml:space="preserve">Measure </w:t>
      </w:r>
      <w:proofErr w:type="spellStart"/>
      <w:r>
        <w:t>UtA</w:t>
      </w:r>
      <w:proofErr w:type="spellEnd"/>
      <w:r>
        <w:t>-PI by Doppler ultrasound</w:t>
      </w:r>
    </w:p>
    <w:p w14:paraId="2601F05A" w14:textId="77777777" w:rsidR="00B038AF" w:rsidRDefault="00000000">
      <w:pPr>
        <w:spacing w:after="80" w:line="270" w:lineRule="auto"/>
        <w:ind w:left="400" w:hanging="260"/>
      </w:pPr>
      <w:r>
        <w:rPr>
          <w:b/>
          <w:bCs/>
          <w:color w:val="6B5780"/>
        </w:rPr>
        <w:t xml:space="preserve">5.   </w:t>
      </w:r>
      <w:r>
        <w:t xml:space="preserve">Measure </w:t>
      </w:r>
      <w:proofErr w:type="spellStart"/>
      <w:r>
        <w:t>PlGF</w:t>
      </w:r>
      <w:proofErr w:type="spellEnd"/>
      <w:r>
        <w:t xml:space="preserve"> (and PAPP-A if used/available)</w:t>
      </w:r>
    </w:p>
    <w:p w14:paraId="336E68CA" w14:textId="77777777" w:rsidR="00B038AF" w:rsidRDefault="00000000">
      <w:pPr>
        <w:spacing w:after="80" w:line="270" w:lineRule="auto"/>
        <w:ind w:left="400" w:hanging="260"/>
      </w:pPr>
      <w:r>
        <w:rPr>
          <w:b/>
          <w:bCs/>
          <w:color w:val="6B5780"/>
        </w:rPr>
        <w:t xml:space="preserve">6.   </w:t>
      </w:r>
      <w:r>
        <w:t>Combine inputs in FMF competing-risks model</w:t>
      </w:r>
    </w:p>
    <w:p w14:paraId="2DB6DAC9" w14:textId="77777777" w:rsidR="00B038AF" w:rsidRDefault="00000000">
      <w:pPr>
        <w:spacing w:after="80" w:line="270" w:lineRule="auto"/>
        <w:ind w:left="400" w:hanging="260"/>
      </w:pPr>
      <w:r>
        <w:rPr>
          <w:b/>
          <w:bCs/>
          <w:color w:val="6B5780"/>
        </w:rPr>
        <w:t xml:space="preserve">7.   </w:t>
      </w:r>
      <w:r>
        <w:t>Output: patient-specific risk estimate</w:t>
      </w:r>
    </w:p>
    <w:p w14:paraId="5AF41CD8" w14:textId="77777777" w:rsidR="00B038AF" w:rsidRDefault="00000000">
      <w:pPr>
        <w:spacing w:after="80" w:line="270" w:lineRule="auto"/>
        <w:ind w:left="400" w:hanging="260"/>
      </w:pPr>
      <w:r>
        <w:rPr>
          <w:b/>
          <w:bCs/>
          <w:color w:val="6B5780"/>
        </w:rPr>
        <w:t xml:space="preserve">8.   </w:t>
      </w:r>
      <w:r>
        <w:t>High-risk result → clinical prevention/follow-up; NOT a diagnosis</w:t>
      </w:r>
    </w:p>
    <w:p w14:paraId="0A340F13" w14:textId="77777777" w:rsidR="00B038AF" w:rsidRDefault="00000000">
      <w:pPr>
        <w:pBdr>
          <w:bottom w:val="single" w:sz="8" w:space="6" w:color="D8D0D6"/>
        </w:pBdr>
        <w:spacing w:before="400" w:after="150"/>
      </w:pPr>
      <w:r>
        <w:rPr>
          <w:b/>
          <w:bCs/>
          <w:color w:val="4B3A5A"/>
          <w:sz w:val="30"/>
          <w:szCs w:val="30"/>
        </w:rPr>
        <w:t>Part 4 — The two routes side by side</w:t>
      </w:r>
    </w:p>
    <w:p w14:paraId="0A32F557" w14:textId="77777777" w:rsidR="00B038AF" w:rsidRDefault="00000000">
      <w:pPr>
        <w:spacing w:before="300" w:after="110"/>
      </w:pPr>
      <w:proofErr w:type="gramStart"/>
      <w:r>
        <w:rPr>
          <w:b/>
          <w:bCs/>
          <w:color w:val="3B2F45"/>
          <w:sz w:val="24"/>
          <w:szCs w:val="24"/>
        </w:rPr>
        <w:t>4.1  Same</w:t>
      </w:r>
      <w:proofErr w:type="gramEnd"/>
      <w:r>
        <w:rPr>
          <w:b/>
          <w:bCs/>
          <w:color w:val="3B2F45"/>
          <w:sz w:val="24"/>
          <w:szCs w:val="24"/>
        </w:rPr>
        <w:t xml:space="preserve"> decision, different evidence</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1900"/>
        <w:gridCol w:w="3560"/>
        <w:gridCol w:w="3560"/>
      </w:tblGrid>
      <w:tr w:rsidR="00B038AF" w14:paraId="35261872" w14:textId="77777777">
        <w:tblPrEx>
          <w:tblCellMar>
            <w:top w:w="0" w:type="dxa"/>
            <w:bottom w:w="0" w:type="dxa"/>
          </w:tblCellMar>
        </w:tblPrEx>
        <w:trPr>
          <w:cantSplit/>
          <w:tblHeader/>
        </w:trPr>
        <w:tc>
          <w:tcPr>
            <w:tcW w:w="1900" w:type="dxa"/>
            <w:shd w:val="clear" w:color="auto" w:fill="EFE7EC"/>
            <w:tcMar>
              <w:top w:w="90" w:type="dxa"/>
              <w:left w:w="120" w:type="dxa"/>
              <w:bottom w:w="90" w:type="dxa"/>
              <w:right w:w="120" w:type="dxa"/>
            </w:tcMar>
          </w:tcPr>
          <w:p w14:paraId="5FFACF3D" w14:textId="77777777" w:rsidR="00B038AF" w:rsidRDefault="00000000">
            <w:pPr>
              <w:spacing w:line="250" w:lineRule="auto"/>
            </w:pPr>
            <w:r>
              <w:rPr>
                <w:b/>
                <w:bCs/>
                <w:color w:val="261E2D"/>
                <w:sz w:val="16"/>
                <w:szCs w:val="16"/>
              </w:rPr>
              <w:t xml:space="preserve"> </w:t>
            </w:r>
          </w:p>
        </w:tc>
        <w:tc>
          <w:tcPr>
            <w:tcW w:w="3560" w:type="dxa"/>
            <w:shd w:val="clear" w:color="auto" w:fill="EFE7EC"/>
            <w:tcMar>
              <w:top w:w="90" w:type="dxa"/>
              <w:left w:w="120" w:type="dxa"/>
              <w:bottom w:w="90" w:type="dxa"/>
              <w:right w:w="120" w:type="dxa"/>
            </w:tcMar>
          </w:tcPr>
          <w:p w14:paraId="33ED3FB0" w14:textId="77777777" w:rsidR="00B038AF" w:rsidRDefault="00000000">
            <w:pPr>
              <w:spacing w:line="250" w:lineRule="auto"/>
            </w:pPr>
            <w:r>
              <w:rPr>
                <w:b/>
                <w:bCs/>
                <w:color w:val="261E2D"/>
                <w:sz w:val="16"/>
                <w:szCs w:val="16"/>
              </w:rPr>
              <w:t>Route A — risk-factor checklist</w:t>
            </w:r>
          </w:p>
        </w:tc>
        <w:tc>
          <w:tcPr>
            <w:tcW w:w="3560" w:type="dxa"/>
            <w:shd w:val="clear" w:color="auto" w:fill="EFE7EC"/>
            <w:tcMar>
              <w:top w:w="90" w:type="dxa"/>
              <w:left w:w="120" w:type="dxa"/>
              <w:bottom w:w="90" w:type="dxa"/>
              <w:right w:w="120" w:type="dxa"/>
            </w:tcMar>
          </w:tcPr>
          <w:p w14:paraId="2FB10553" w14:textId="77777777" w:rsidR="00B038AF" w:rsidRDefault="00000000">
            <w:pPr>
              <w:spacing w:line="250" w:lineRule="auto"/>
            </w:pPr>
            <w:r>
              <w:rPr>
                <w:b/>
                <w:bCs/>
                <w:color w:val="261E2D"/>
                <w:sz w:val="16"/>
                <w:szCs w:val="16"/>
              </w:rPr>
              <w:t>Route B — FMF combined screening</w:t>
            </w:r>
          </w:p>
        </w:tc>
      </w:tr>
      <w:tr w:rsidR="00B038AF" w14:paraId="26AFEF85" w14:textId="77777777">
        <w:tblPrEx>
          <w:tblCellMar>
            <w:top w:w="0" w:type="dxa"/>
            <w:bottom w:w="0" w:type="dxa"/>
          </w:tblCellMar>
        </w:tblPrEx>
        <w:trPr>
          <w:cantSplit/>
        </w:trPr>
        <w:tc>
          <w:tcPr>
            <w:tcW w:w="1900" w:type="dxa"/>
            <w:tcMar>
              <w:top w:w="90" w:type="dxa"/>
              <w:left w:w="120" w:type="dxa"/>
              <w:bottom w:w="90" w:type="dxa"/>
              <w:right w:w="120" w:type="dxa"/>
            </w:tcMar>
          </w:tcPr>
          <w:p w14:paraId="11849858" w14:textId="77777777" w:rsidR="00B038AF" w:rsidRDefault="00000000">
            <w:pPr>
              <w:spacing w:line="250" w:lineRule="auto"/>
            </w:pPr>
            <w:r>
              <w:rPr>
                <w:b/>
                <w:bCs/>
                <w:sz w:val="16"/>
                <w:szCs w:val="16"/>
              </w:rPr>
              <w:t>What it uses</w:t>
            </w:r>
          </w:p>
        </w:tc>
        <w:tc>
          <w:tcPr>
            <w:tcW w:w="3560" w:type="dxa"/>
            <w:tcMar>
              <w:top w:w="90" w:type="dxa"/>
              <w:left w:w="120" w:type="dxa"/>
              <w:bottom w:w="90" w:type="dxa"/>
              <w:right w:w="120" w:type="dxa"/>
            </w:tcMar>
          </w:tcPr>
          <w:p w14:paraId="26D53406" w14:textId="77777777" w:rsidR="00B038AF" w:rsidRDefault="00000000">
            <w:pPr>
              <w:spacing w:line="250" w:lineRule="auto"/>
            </w:pPr>
            <w:r>
              <w:rPr>
                <w:sz w:val="16"/>
                <w:szCs w:val="16"/>
              </w:rPr>
              <w:t>Medical, obstetric and family history plus basic maternal characteristics</w:t>
            </w:r>
          </w:p>
        </w:tc>
        <w:tc>
          <w:tcPr>
            <w:tcW w:w="3560" w:type="dxa"/>
            <w:tcMar>
              <w:top w:w="90" w:type="dxa"/>
              <w:left w:w="120" w:type="dxa"/>
              <w:bottom w:w="90" w:type="dxa"/>
              <w:right w:w="120" w:type="dxa"/>
            </w:tcMar>
          </w:tcPr>
          <w:p w14:paraId="5C398BAA" w14:textId="77777777" w:rsidR="00B038AF" w:rsidRDefault="00000000">
            <w:pPr>
              <w:spacing w:line="250" w:lineRule="auto"/>
            </w:pPr>
            <w:r>
              <w:rPr>
                <w:sz w:val="16"/>
                <w:szCs w:val="16"/>
              </w:rPr>
              <w:t xml:space="preserve">The same history, plus MAP, uterine artery Doppler and </w:t>
            </w:r>
            <w:proofErr w:type="spellStart"/>
            <w:r>
              <w:rPr>
                <w:sz w:val="16"/>
                <w:szCs w:val="16"/>
              </w:rPr>
              <w:t>PlGF</w:t>
            </w:r>
            <w:proofErr w:type="spellEnd"/>
          </w:p>
        </w:tc>
      </w:tr>
      <w:tr w:rsidR="00B038AF" w14:paraId="69BF890A" w14:textId="77777777">
        <w:tblPrEx>
          <w:tblCellMar>
            <w:top w:w="0" w:type="dxa"/>
            <w:bottom w:w="0" w:type="dxa"/>
          </w:tblCellMar>
        </w:tblPrEx>
        <w:trPr>
          <w:cantSplit/>
        </w:trPr>
        <w:tc>
          <w:tcPr>
            <w:tcW w:w="1900" w:type="dxa"/>
            <w:shd w:val="clear" w:color="auto" w:fill="FAF8F9"/>
            <w:tcMar>
              <w:top w:w="90" w:type="dxa"/>
              <w:left w:w="120" w:type="dxa"/>
              <w:bottom w:w="90" w:type="dxa"/>
              <w:right w:w="120" w:type="dxa"/>
            </w:tcMar>
          </w:tcPr>
          <w:p w14:paraId="46849756" w14:textId="77777777" w:rsidR="00B038AF" w:rsidRDefault="00000000">
            <w:pPr>
              <w:spacing w:line="250" w:lineRule="auto"/>
            </w:pPr>
            <w:r>
              <w:rPr>
                <w:b/>
                <w:bCs/>
                <w:sz w:val="16"/>
                <w:szCs w:val="16"/>
              </w:rPr>
              <w:t>How it decides</w:t>
            </w:r>
          </w:p>
        </w:tc>
        <w:tc>
          <w:tcPr>
            <w:tcW w:w="3560" w:type="dxa"/>
            <w:shd w:val="clear" w:color="auto" w:fill="FAF8F9"/>
            <w:tcMar>
              <w:top w:w="90" w:type="dxa"/>
              <w:left w:w="120" w:type="dxa"/>
              <w:bottom w:w="90" w:type="dxa"/>
              <w:right w:w="120" w:type="dxa"/>
            </w:tcMar>
          </w:tcPr>
          <w:p w14:paraId="67AE85CC" w14:textId="77777777" w:rsidR="00B038AF" w:rsidRDefault="00000000">
            <w:pPr>
              <w:spacing w:line="250" w:lineRule="auto"/>
            </w:pPr>
            <w:r>
              <w:rPr>
                <w:sz w:val="16"/>
                <w:szCs w:val="16"/>
              </w:rPr>
              <w:t>Counts factors against a fixed list and applies a rule</w:t>
            </w:r>
          </w:p>
        </w:tc>
        <w:tc>
          <w:tcPr>
            <w:tcW w:w="3560" w:type="dxa"/>
            <w:shd w:val="clear" w:color="auto" w:fill="FAF8F9"/>
            <w:tcMar>
              <w:top w:w="90" w:type="dxa"/>
              <w:left w:w="120" w:type="dxa"/>
              <w:bottom w:w="90" w:type="dxa"/>
              <w:right w:w="120" w:type="dxa"/>
            </w:tcMar>
          </w:tcPr>
          <w:p w14:paraId="2D4FCEDC" w14:textId="77777777" w:rsidR="00B038AF" w:rsidRDefault="00000000">
            <w:pPr>
              <w:spacing w:line="250" w:lineRule="auto"/>
            </w:pPr>
            <w:r>
              <w:rPr>
                <w:sz w:val="16"/>
                <w:szCs w:val="16"/>
              </w:rPr>
              <w:t>Multiplies a prior risk by measured evidence and returns one patient-specific number</w:t>
            </w:r>
          </w:p>
        </w:tc>
      </w:tr>
      <w:tr w:rsidR="00B038AF" w14:paraId="1695AC7B" w14:textId="77777777">
        <w:tblPrEx>
          <w:tblCellMar>
            <w:top w:w="0" w:type="dxa"/>
            <w:bottom w:w="0" w:type="dxa"/>
          </w:tblCellMar>
        </w:tblPrEx>
        <w:trPr>
          <w:cantSplit/>
        </w:trPr>
        <w:tc>
          <w:tcPr>
            <w:tcW w:w="1900" w:type="dxa"/>
            <w:tcMar>
              <w:top w:w="90" w:type="dxa"/>
              <w:left w:w="120" w:type="dxa"/>
              <w:bottom w:w="90" w:type="dxa"/>
              <w:right w:w="120" w:type="dxa"/>
            </w:tcMar>
          </w:tcPr>
          <w:p w14:paraId="73F92A88" w14:textId="77777777" w:rsidR="00B038AF" w:rsidRDefault="00000000">
            <w:pPr>
              <w:spacing w:line="250" w:lineRule="auto"/>
            </w:pPr>
            <w:r>
              <w:rPr>
                <w:b/>
                <w:bCs/>
                <w:sz w:val="16"/>
                <w:szCs w:val="16"/>
              </w:rPr>
              <w:t>When</w:t>
            </w:r>
          </w:p>
        </w:tc>
        <w:tc>
          <w:tcPr>
            <w:tcW w:w="3560" w:type="dxa"/>
            <w:tcMar>
              <w:top w:w="90" w:type="dxa"/>
              <w:left w:w="120" w:type="dxa"/>
              <w:bottom w:w="90" w:type="dxa"/>
              <w:right w:w="120" w:type="dxa"/>
            </w:tcMar>
          </w:tcPr>
          <w:p w14:paraId="38E1A4CF" w14:textId="77777777" w:rsidR="00B038AF" w:rsidRDefault="00000000">
            <w:pPr>
              <w:spacing w:line="250" w:lineRule="auto"/>
            </w:pPr>
            <w:r>
              <w:rPr>
                <w:sz w:val="16"/>
                <w:szCs w:val="16"/>
              </w:rPr>
              <w:t>Any time from the booking visit</w:t>
            </w:r>
          </w:p>
        </w:tc>
        <w:tc>
          <w:tcPr>
            <w:tcW w:w="3560" w:type="dxa"/>
            <w:tcMar>
              <w:top w:w="90" w:type="dxa"/>
              <w:left w:w="120" w:type="dxa"/>
              <w:bottom w:w="90" w:type="dxa"/>
              <w:right w:w="120" w:type="dxa"/>
            </w:tcMar>
          </w:tcPr>
          <w:p w14:paraId="437C6759" w14:textId="77777777" w:rsidR="00B038AF" w:rsidRDefault="00000000">
            <w:pPr>
              <w:spacing w:line="250" w:lineRule="auto"/>
            </w:pPr>
            <w:r>
              <w:rPr>
                <w:sz w:val="16"/>
                <w:szCs w:val="16"/>
              </w:rPr>
              <w:t>A fixed window, 11–14 weeks</w:t>
            </w:r>
          </w:p>
        </w:tc>
      </w:tr>
      <w:tr w:rsidR="00B038AF" w14:paraId="588907DB" w14:textId="77777777">
        <w:tblPrEx>
          <w:tblCellMar>
            <w:top w:w="0" w:type="dxa"/>
            <w:bottom w:w="0" w:type="dxa"/>
          </w:tblCellMar>
        </w:tblPrEx>
        <w:trPr>
          <w:cantSplit/>
        </w:trPr>
        <w:tc>
          <w:tcPr>
            <w:tcW w:w="1900" w:type="dxa"/>
            <w:shd w:val="clear" w:color="auto" w:fill="FAF8F9"/>
            <w:tcMar>
              <w:top w:w="90" w:type="dxa"/>
              <w:left w:w="120" w:type="dxa"/>
              <w:bottom w:w="90" w:type="dxa"/>
              <w:right w:w="120" w:type="dxa"/>
            </w:tcMar>
          </w:tcPr>
          <w:p w14:paraId="0706BAC9" w14:textId="77777777" w:rsidR="00B038AF" w:rsidRDefault="00000000">
            <w:pPr>
              <w:spacing w:line="250" w:lineRule="auto"/>
            </w:pPr>
            <w:r>
              <w:rPr>
                <w:b/>
                <w:bCs/>
                <w:sz w:val="16"/>
                <w:szCs w:val="16"/>
              </w:rPr>
              <w:t>What it needs</w:t>
            </w:r>
          </w:p>
        </w:tc>
        <w:tc>
          <w:tcPr>
            <w:tcW w:w="3560" w:type="dxa"/>
            <w:shd w:val="clear" w:color="auto" w:fill="FAF8F9"/>
            <w:tcMar>
              <w:top w:w="90" w:type="dxa"/>
              <w:left w:w="120" w:type="dxa"/>
              <w:bottom w:w="90" w:type="dxa"/>
              <w:right w:w="120" w:type="dxa"/>
            </w:tcMar>
          </w:tcPr>
          <w:p w14:paraId="28386B2A" w14:textId="77777777" w:rsidR="00B038AF" w:rsidRDefault="00000000">
            <w:pPr>
              <w:spacing w:line="250" w:lineRule="auto"/>
            </w:pPr>
            <w:r>
              <w:rPr>
                <w:sz w:val="16"/>
                <w:szCs w:val="16"/>
              </w:rPr>
              <w:t>A conversation and a record. Nothing else.</w:t>
            </w:r>
          </w:p>
        </w:tc>
        <w:tc>
          <w:tcPr>
            <w:tcW w:w="3560" w:type="dxa"/>
            <w:shd w:val="clear" w:color="auto" w:fill="FAF8F9"/>
            <w:tcMar>
              <w:top w:w="90" w:type="dxa"/>
              <w:left w:w="120" w:type="dxa"/>
              <w:bottom w:w="90" w:type="dxa"/>
              <w:right w:w="120" w:type="dxa"/>
            </w:tcMar>
          </w:tcPr>
          <w:p w14:paraId="1774024D" w14:textId="77777777" w:rsidR="00B038AF" w:rsidRDefault="00000000">
            <w:pPr>
              <w:spacing w:line="250" w:lineRule="auto"/>
            </w:pPr>
            <w:r>
              <w:rPr>
                <w:sz w:val="16"/>
                <w:szCs w:val="16"/>
              </w:rPr>
              <w:t xml:space="preserve">A validated BP device, a Doppler ultrasound machine, a certified operator, and a </w:t>
            </w:r>
            <w:proofErr w:type="spellStart"/>
            <w:r>
              <w:rPr>
                <w:sz w:val="16"/>
                <w:szCs w:val="16"/>
              </w:rPr>
              <w:t>PlGF</w:t>
            </w:r>
            <w:proofErr w:type="spellEnd"/>
            <w:r>
              <w:rPr>
                <w:sz w:val="16"/>
                <w:szCs w:val="16"/>
              </w:rPr>
              <w:t xml:space="preserve"> laboratory assay</w:t>
            </w:r>
          </w:p>
        </w:tc>
      </w:tr>
      <w:tr w:rsidR="00B038AF" w14:paraId="1F2DD666" w14:textId="77777777">
        <w:tblPrEx>
          <w:tblCellMar>
            <w:top w:w="0" w:type="dxa"/>
            <w:bottom w:w="0" w:type="dxa"/>
          </w:tblCellMar>
        </w:tblPrEx>
        <w:trPr>
          <w:cantSplit/>
        </w:trPr>
        <w:tc>
          <w:tcPr>
            <w:tcW w:w="1900" w:type="dxa"/>
            <w:tcMar>
              <w:top w:w="90" w:type="dxa"/>
              <w:left w:w="120" w:type="dxa"/>
              <w:bottom w:w="90" w:type="dxa"/>
              <w:right w:w="120" w:type="dxa"/>
            </w:tcMar>
          </w:tcPr>
          <w:p w14:paraId="1BFF4C21" w14:textId="77777777" w:rsidR="00B038AF" w:rsidRDefault="00000000">
            <w:pPr>
              <w:spacing w:line="250" w:lineRule="auto"/>
            </w:pPr>
            <w:r>
              <w:rPr>
                <w:b/>
                <w:bCs/>
                <w:sz w:val="16"/>
                <w:szCs w:val="16"/>
              </w:rPr>
              <w:t>How much it catches</w:t>
            </w:r>
          </w:p>
        </w:tc>
        <w:tc>
          <w:tcPr>
            <w:tcW w:w="3560" w:type="dxa"/>
            <w:tcMar>
              <w:top w:w="90" w:type="dxa"/>
              <w:left w:w="120" w:type="dxa"/>
              <w:bottom w:w="90" w:type="dxa"/>
              <w:right w:w="120" w:type="dxa"/>
            </w:tcMar>
          </w:tcPr>
          <w:p w14:paraId="2C185339" w14:textId="77777777" w:rsidR="00B038AF" w:rsidRDefault="00000000">
            <w:pPr>
              <w:spacing w:line="250" w:lineRule="auto"/>
            </w:pPr>
            <w:r>
              <w:rPr>
                <w:sz w:val="16"/>
                <w:szCs w:val="16"/>
              </w:rPr>
              <w:t>About 41% of preterm preeclampsia at a 10% false-positive rate (NICE criteria). The 2013 ACOG criteria catch about 5% at a 0.2% false-positive rate [11]</w:t>
            </w:r>
          </w:p>
        </w:tc>
        <w:tc>
          <w:tcPr>
            <w:tcW w:w="3560" w:type="dxa"/>
            <w:tcMar>
              <w:top w:w="90" w:type="dxa"/>
              <w:left w:w="120" w:type="dxa"/>
              <w:bottom w:w="90" w:type="dxa"/>
              <w:right w:w="120" w:type="dxa"/>
            </w:tcMar>
          </w:tcPr>
          <w:p w14:paraId="3C3D8541" w14:textId="77777777" w:rsidR="00B038AF" w:rsidRDefault="00000000">
            <w:pPr>
              <w:spacing w:line="250" w:lineRule="auto"/>
            </w:pPr>
            <w:r>
              <w:rPr>
                <w:sz w:val="16"/>
                <w:szCs w:val="16"/>
              </w:rPr>
              <w:t>About 75% of preterm preeclampsia, and about 90% of early preeclampsia, at a 10% false-positive rate [9][11]</w:t>
            </w:r>
          </w:p>
        </w:tc>
      </w:tr>
      <w:tr w:rsidR="00B038AF" w14:paraId="786B0178" w14:textId="77777777">
        <w:tblPrEx>
          <w:tblCellMar>
            <w:top w:w="0" w:type="dxa"/>
            <w:bottom w:w="0" w:type="dxa"/>
          </w:tblCellMar>
        </w:tblPrEx>
        <w:trPr>
          <w:cantSplit/>
        </w:trPr>
        <w:tc>
          <w:tcPr>
            <w:tcW w:w="1900" w:type="dxa"/>
            <w:shd w:val="clear" w:color="auto" w:fill="FAF8F9"/>
            <w:tcMar>
              <w:top w:w="90" w:type="dxa"/>
              <w:left w:w="120" w:type="dxa"/>
              <w:bottom w:w="90" w:type="dxa"/>
              <w:right w:w="120" w:type="dxa"/>
            </w:tcMar>
          </w:tcPr>
          <w:p w14:paraId="3C86BAFB" w14:textId="77777777" w:rsidR="00B038AF" w:rsidRDefault="00000000">
            <w:pPr>
              <w:spacing w:line="250" w:lineRule="auto"/>
            </w:pPr>
            <w:r>
              <w:rPr>
                <w:b/>
                <w:bCs/>
                <w:sz w:val="16"/>
                <w:szCs w:val="16"/>
              </w:rPr>
              <w:t>What it outputs</w:t>
            </w:r>
          </w:p>
        </w:tc>
        <w:tc>
          <w:tcPr>
            <w:tcW w:w="3560" w:type="dxa"/>
            <w:shd w:val="clear" w:color="auto" w:fill="FAF8F9"/>
            <w:tcMar>
              <w:top w:w="90" w:type="dxa"/>
              <w:left w:w="120" w:type="dxa"/>
              <w:bottom w:w="90" w:type="dxa"/>
              <w:right w:w="120" w:type="dxa"/>
            </w:tcMar>
          </w:tcPr>
          <w:p w14:paraId="17C0044E" w14:textId="77777777" w:rsidR="00B038AF" w:rsidRDefault="00000000">
            <w:pPr>
              <w:spacing w:line="250" w:lineRule="auto"/>
            </w:pPr>
            <w:r>
              <w:rPr>
                <w:sz w:val="16"/>
                <w:szCs w:val="16"/>
              </w:rPr>
              <w:t>A yes/no flag</w:t>
            </w:r>
          </w:p>
        </w:tc>
        <w:tc>
          <w:tcPr>
            <w:tcW w:w="3560" w:type="dxa"/>
            <w:shd w:val="clear" w:color="auto" w:fill="FAF8F9"/>
            <w:tcMar>
              <w:top w:w="90" w:type="dxa"/>
              <w:left w:w="120" w:type="dxa"/>
              <w:bottom w:w="90" w:type="dxa"/>
              <w:right w:w="120" w:type="dxa"/>
            </w:tcMar>
          </w:tcPr>
          <w:p w14:paraId="3C71E500" w14:textId="77777777" w:rsidR="00B038AF" w:rsidRDefault="00000000">
            <w:pPr>
              <w:spacing w:line="250" w:lineRule="auto"/>
            </w:pPr>
            <w:r>
              <w:rPr>
                <w:sz w:val="16"/>
                <w:szCs w:val="16"/>
              </w:rPr>
              <w:t>A probability</w:t>
            </w:r>
          </w:p>
        </w:tc>
      </w:tr>
      <w:tr w:rsidR="00B038AF" w14:paraId="2131E9FE" w14:textId="77777777">
        <w:tblPrEx>
          <w:tblCellMar>
            <w:top w:w="0" w:type="dxa"/>
            <w:bottom w:w="0" w:type="dxa"/>
          </w:tblCellMar>
        </w:tblPrEx>
        <w:trPr>
          <w:cantSplit/>
        </w:trPr>
        <w:tc>
          <w:tcPr>
            <w:tcW w:w="1900" w:type="dxa"/>
            <w:tcMar>
              <w:top w:w="90" w:type="dxa"/>
              <w:left w:w="120" w:type="dxa"/>
              <w:bottom w:w="90" w:type="dxa"/>
              <w:right w:w="120" w:type="dxa"/>
            </w:tcMar>
          </w:tcPr>
          <w:p w14:paraId="3C245BF2" w14:textId="77777777" w:rsidR="00B038AF" w:rsidRDefault="00000000">
            <w:pPr>
              <w:spacing w:line="250" w:lineRule="auto"/>
            </w:pPr>
            <w:r>
              <w:rPr>
                <w:b/>
                <w:bCs/>
                <w:sz w:val="16"/>
                <w:szCs w:val="16"/>
              </w:rPr>
              <w:t>Where it can run</w:t>
            </w:r>
          </w:p>
        </w:tc>
        <w:tc>
          <w:tcPr>
            <w:tcW w:w="3560" w:type="dxa"/>
            <w:tcMar>
              <w:top w:w="90" w:type="dxa"/>
              <w:left w:w="120" w:type="dxa"/>
              <w:bottom w:w="90" w:type="dxa"/>
              <w:right w:w="120" w:type="dxa"/>
            </w:tcMar>
          </w:tcPr>
          <w:p w14:paraId="59E8166C" w14:textId="77777777" w:rsidR="00B038AF" w:rsidRDefault="00000000">
            <w:pPr>
              <w:spacing w:line="250" w:lineRule="auto"/>
            </w:pPr>
            <w:r>
              <w:rPr>
                <w:sz w:val="16"/>
                <w:szCs w:val="16"/>
              </w:rPr>
              <w:t>Any antenatal clinic in any country</w:t>
            </w:r>
          </w:p>
        </w:tc>
        <w:tc>
          <w:tcPr>
            <w:tcW w:w="3560" w:type="dxa"/>
            <w:tcMar>
              <w:top w:w="90" w:type="dxa"/>
              <w:left w:w="120" w:type="dxa"/>
              <w:bottom w:w="90" w:type="dxa"/>
              <w:right w:w="120" w:type="dxa"/>
            </w:tcMar>
          </w:tcPr>
          <w:p w14:paraId="37B12053" w14:textId="77777777" w:rsidR="00B038AF" w:rsidRDefault="00000000">
            <w:pPr>
              <w:spacing w:line="250" w:lineRule="auto"/>
            </w:pPr>
            <w:r>
              <w:rPr>
                <w:sz w:val="16"/>
                <w:szCs w:val="16"/>
              </w:rPr>
              <w:t xml:space="preserve">Clinics with first-trimester ultrasound and access to a </w:t>
            </w:r>
            <w:proofErr w:type="spellStart"/>
            <w:r>
              <w:rPr>
                <w:sz w:val="16"/>
                <w:szCs w:val="16"/>
              </w:rPr>
              <w:t>PlGF</w:t>
            </w:r>
            <w:proofErr w:type="spellEnd"/>
            <w:r>
              <w:rPr>
                <w:sz w:val="16"/>
                <w:szCs w:val="16"/>
              </w:rPr>
              <w:t xml:space="preserve"> assay</w:t>
            </w:r>
          </w:p>
        </w:tc>
      </w:tr>
      <w:tr w:rsidR="00B038AF" w14:paraId="5DF98910" w14:textId="77777777">
        <w:tblPrEx>
          <w:tblCellMar>
            <w:top w:w="0" w:type="dxa"/>
            <w:bottom w:w="0" w:type="dxa"/>
          </w:tblCellMar>
        </w:tblPrEx>
        <w:trPr>
          <w:cantSplit/>
        </w:trPr>
        <w:tc>
          <w:tcPr>
            <w:tcW w:w="1900" w:type="dxa"/>
            <w:shd w:val="clear" w:color="auto" w:fill="FAF8F9"/>
            <w:tcMar>
              <w:top w:w="90" w:type="dxa"/>
              <w:left w:w="120" w:type="dxa"/>
              <w:bottom w:w="90" w:type="dxa"/>
              <w:right w:w="120" w:type="dxa"/>
            </w:tcMar>
          </w:tcPr>
          <w:p w14:paraId="12EA86F3" w14:textId="77777777" w:rsidR="00B038AF" w:rsidRDefault="00000000">
            <w:pPr>
              <w:spacing w:line="250" w:lineRule="auto"/>
            </w:pPr>
            <w:r>
              <w:rPr>
                <w:b/>
                <w:bCs/>
                <w:sz w:val="16"/>
                <w:szCs w:val="16"/>
              </w:rPr>
              <w:t>What it leads to</w:t>
            </w:r>
          </w:p>
        </w:tc>
        <w:tc>
          <w:tcPr>
            <w:tcW w:w="3560" w:type="dxa"/>
            <w:shd w:val="clear" w:color="auto" w:fill="FAF8F9"/>
            <w:tcMar>
              <w:top w:w="90" w:type="dxa"/>
              <w:left w:w="120" w:type="dxa"/>
              <w:bottom w:w="90" w:type="dxa"/>
              <w:right w:w="120" w:type="dxa"/>
            </w:tcMar>
          </w:tcPr>
          <w:p w14:paraId="4A47CB4E" w14:textId="77777777" w:rsidR="00B038AF" w:rsidRDefault="00000000">
            <w:pPr>
              <w:spacing w:line="250" w:lineRule="auto"/>
            </w:pPr>
            <w:r>
              <w:rPr>
                <w:sz w:val="16"/>
                <w:szCs w:val="16"/>
              </w:rPr>
              <w:t>Low-dose aspirin, before 16 weeks</w:t>
            </w:r>
          </w:p>
        </w:tc>
        <w:tc>
          <w:tcPr>
            <w:tcW w:w="3560" w:type="dxa"/>
            <w:shd w:val="clear" w:color="auto" w:fill="FAF8F9"/>
            <w:tcMar>
              <w:top w:w="90" w:type="dxa"/>
              <w:left w:w="120" w:type="dxa"/>
              <w:bottom w:w="90" w:type="dxa"/>
              <w:right w:w="120" w:type="dxa"/>
            </w:tcMar>
          </w:tcPr>
          <w:p w14:paraId="3F4F3D90" w14:textId="77777777" w:rsidR="00B038AF" w:rsidRDefault="00000000">
            <w:pPr>
              <w:spacing w:line="250" w:lineRule="auto"/>
            </w:pPr>
            <w:r>
              <w:rPr>
                <w:sz w:val="16"/>
                <w:szCs w:val="16"/>
              </w:rPr>
              <w:t>Low-dose aspirin, before 16 weeks</w:t>
            </w:r>
          </w:p>
        </w:tc>
      </w:tr>
    </w:tbl>
    <w:p w14:paraId="490C1D27" w14:textId="77777777" w:rsidR="00B038AF" w:rsidRDefault="00B038AF">
      <w:pPr>
        <w:spacing w:after="140"/>
      </w:pPr>
    </w:p>
    <w:p w14:paraId="70C7420C" w14:textId="77777777" w:rsidR="00B038AF" w:rsidRDefault="00000000">
      <w:pPr>
        <w:spacing w:before="300" w:after="110"/>
      </w:pPr>
      <w:proofErr w:type="gramStart"/>
      <w:r>
        <w:rPr>
          <w:b/>
          <w:bCs/>
          <w:color w:val="3B2F45"/>
          <w:sz w:val="24"/>
          <w:szCs w:val="24"/>
        </w:rPr>
        <w:t>4.2  Why</w:t>
      </w:r>
      <w:proofErr w:type="gramEnd"/>
      <w:r>
        <w:rPr>
          <w:b/>
          <w:bCs/>
          <w:color w:val="3B2F45"/>
          <w:sz w:val="24"/>
          <w:szCs w:val="24"/>
        </w:rPr>
        <w:t xml:space="preserve"> both routes exist</w:t>
      </w:r>
    </w:p>
    <w:p w14:paraId="273DC13E" w14:textId="77777777" w:rsidR="00B038AF" w:rsidRDefault="00000000">
      <w:pPr>
        <w:spacing w:after="130" w:line="280" w:lineRule="auto"/>
      </w:pPr>
      <w:r>
        <w:t>The last row of the table is identical for both columns. The rows above it are not. That is the entire reason two routes exist: they buy the same treatment decision at very different prices, and with very different accuracy.</w:t>
      </w:r>
    </w:p>
    <w:p w14:paraId="072B3D2C" w14:textId="77777777" w:rsidR="00B038AF" w:rsidRDefault="00000000">
      <w:pPr>
        <w:spacing w:after="130" w:line="280" w:lineRule="auto"/>
      </w:pPr>
      <w:r>
        <w:t>Route B is better at the job. In the ASPRE trial, women identified by the FMF model and given low-dose aspirin had about 62% less preterm preeclampsia than those given placebo [10]. That is a large effect for a cheap and widely available drug, and it is the evidence that makes early identification worth doing at all.</w:t>
      </w:r>
    </w:p>
    <w:p w14:paraId="20D665B4" w14:textId="77777777" w:rsidR="00B038AF" w:rsidRDefault="00000000">
      <w:pPr>
        <w:spacing w:after="130" w:line="280" w:lineRule="auto"/>
      </w:pPr>
      <w:r>
        <w:t>Route A is worse at the job and still recommended everywhere, because it is the only one that can be performed with no equipment. A checklist that catches four in ten is better than a Doppler machine that is not in the building.</w:t>
      </w:r>
    </w:p>
    <w:p w14:paraId="5C085E04" w14:textId="77777777" w:rsidR="00B038AF" w:rsidRDefault="00000000">
      <w:pPr>
        <w:spacing w:before="300" w:after="110"/>
      </w:pPr>
      <w:proofErr w:type="gramStart"/>
      <w:r>
        <w:rPr>
          <w:b/>
          <w:bCs/>
          <w:color w:val="3B2F45"/>
          <w:sz w:val="24"/>
          <w:szCs w:val="24"/>
        </w:rPr>
        <w:t>4.3  What</w:t>
      </w:r>
      <w:proofErr w:type="gramEnd"/>
      <w:r>
        <w:rPr>
          <w:b/>
          <w:bCs/>
          <w:color w:val="3B2F45"/>
          <w:sz w:val="24"/>
          <w:szCs w:val="24"/>
        </w:rPr>
        <w:t xml:space="preserve"> the difference actually is</w:t>
      </w:r>
    </w:p>
    <w:tbl>
      <w:tblPr>
        <w:tblW w:w="9020" w:type="dxa"/>
        <w:tblCellMar>
          <w:left w:w="10" w:type="dxa"/>
          <w:right w:w="10" w:type="dxa"/>
        </w:tblCellMar>
        <w:tblLook w:val="04A0" w:firstRow="1" w:lastRow="0" w:firstColumn="1" w:lastColumn="0" w:noHBand="0" w:noVBand="1"/>
      </w:tblPr>
      <w:tblGrid>
        <w:gridCol w:w="9020"/>
      </w:tblGrid>
      <w:tr w:rsidR="00B038AF" w14:paraId="00E1F9F7" w14:textId="77777777">
        <w:tblPrEx>
          <w:tblCellMar>
            <w:top w:w="0" w:type="dxa"/>
            <w:bottom w:w="0" w:type="dxa"/>
          </w:tblCellMar>
        </w:tblPrEx>
        <w:trPr>
          <w:cantSplit/>
        </w:trPr>
        <w:tc>
          <w:tcPr>
            <w:tcW w:w="9020" w:type="dxa"/>
            <w:tcBorders>
              <w:left w:val="single" w:sz="28" w:space="0" w:color="4B3A5A"/>
            </w:tcBorders>
            <w:shd w:val="clear" w:color="auto" w:fill="F3EFF5"/>
            <w:tcMar>
              <w:top w:w="200" w:type="dxa"/>
              <w:left w:w="260" w:type="dxa"/>
              <w:bottom w:w="200" w:type="dxa"/>
              <w:right w:w="240" w:type="dxa"/>
            </w:tcMar>
          </w:tcPr>
          <w:p w14:paraId="480B9F10" w14:textId="77777777" w:rsidR="00B038AF" w:rsidRDefault="00000000">
            <w:pPr>
              <w:spacing w:line="285" w:lineRule="auto"/>
            </w:pPr>
            <w:r>
              <w:rPr>
                <w:b/>
                <w:bCs/>
                <w:color w:val="4B3A5A"/>
                <w:sz w:val="24"/>
                <w:szCs w:val="24"/>
              </w:rPr>
              <w:t>A checklist counts. A model computes.</w:t>
            </w:r>
          </w:p>
        </w:tc>
      </w:tr>
    </w:tbl>
    <w:p w14:paraId="783F2157" w14:textId="77777777" w:rsidR="00B038AF" w:rsidRDefault="00B038AF">
      <w:pPr>
        <w:spacing w:after="120"/>
      </w:pPr>
    </w:p>
    <w:p w14:paraId="28EEF1AE" w14:textId="77777777" w:rsidR="00B038AF" w:rsidRDefault="00000000">
      <w:pPr>
        <w:spacing w:after="130" w:line="280" w:lineRule="auto"/>
      </w:pPr>
      <w:r>
        <w:lastRenderedPageBreak/>
        <w:t>Section 2.4 showed this directly. A woman with one high-risk factor and a woman with three high-risk factors receive the same output from the checklist, because the rule is a threshold on a count. The FMF model gives them different numbers, because it treats each factor as evidence to be weighed rather than a box to be ticked.</w:t>
      </w:r>
    </w:p>
    <w:p w14:paraId="71BA74F4" w14:textId="77777777" w:rsidR="00B038AF" w:rsidRDefault="00000000">
      <w:pPr>
        <w:spacing w:after="130" w:line="280" w:lineRule="auto"/>
      </w:pPr>
      <w:r>
        <w:t>This is also why the checklist misses the last row of Table 2.4 — the woman with no listed factor at all. She is invisible to a counting rule. She is not invisible to a model that also reads her blood pressure.</w:t>
      </w:r>
    </w:p>
    <w:p w14:paraId="19259F31" w14:textId="77777777" w:rsidR="00B038AF" w:rsidRDefault="00000000">
      <w:pPr>
        <w:spacing w:before="300" w:after="110"/>
      </w:pPr>
      <w:proofErr w:type="gramStart"/>
      <w:r>
        <w:rPr>
          <w:b/>
          <w:bCs/>
          <w:color w:val="3B2F45"/>
          <w:sz w:val="24"/>
          <w:szCs w:val="24"/>
        </w:rPr>
        <w:t>4.4  The</w:t>
      </w:r>
      <w:proofErr w:type="gramEnd"/>
      <w:r>
        <w:rPr>
          <w:b/>
          <w:bCs/>
          <w:color w:val="3B2F45"/>
          <w:sz w:val="24"/>
          <w:szCs w:val="24"/>
        </w:rPr>
        <w:t xml:space="preserve"> availability problem</w:t>
      </w:r>
    </w:p>
    <w:p w14:paraId="5358D9AA" w14:textId="77777777" w:rsidR="00B038AF" w:rsidRDefault="00000000">
      <w:pPr>
        <w:spacing w:after="130" w:line="280" w:lineRule="auto"/>
      </w:pPr>
      <w:r>
        <w:t xml:space="preserve">Route B needs four things in the same building at the same time: a certified sonographer, a Doppler machine, a </w:t>
      </w:r>
      <w:proofErr w:type="spellStart"/>
      <w:r>
        <w:t>PlGF</w:t>
      </w:r>
      <w:proofErr w:type="spellEnd"/>
      <w:r>
        <w:t xml:space="preserve"> assay, and a woman who presents between 11 and 14 weeks. Where all four are present, Route B should be used, and this report does not argue otherwise.</w:t>
      </w:r>
    </w:p>
    <w:p w14:paraId="12A337CF" w14:textId="77777777" w:rsidR="00B038AF" w:rsidRDefault="00000000">
      <w:pPr>
        <w:spacing w:after="130" w:line="280" w:lineRule="auto"/>
      </w:pPr>
      <w:r>
        <w:rPr>
          <w:b/>
          <w:bCs/>
        </w:rPr>
        <w:t>Where they are not all present — which is most antenatal care, in most of the world — the woman does not receive a worse version of Route B. She receives Route A, or she receives nothing at all until her blood pressure is measured at some later visit. The gap between the two routes is not a gap in accuracy. It is a gap in availability, and it is the gap this project is about.</w:t>
      </w:r>
    </w:p>
    <w:p w14:paraId="1AA0CD01" w14:textId="77777777" w:rsidR="00B038AF" w:rsidRDefault="00000000">
      <w:r>
        <w:br w:type="page"/>
      </w:r>
    </w:p>
    <w:p w14:paraId="25E559CF" w14:textId="77777777" w:rsidR="00B038AF" w:rsidRDefault="00000000">
      <w:pPr>
        <w:pBdr>
          <w:bottom w:val="single" w:sz="8" w:space="6" w:color="D8D0D6"/>
        </w:pBdr>
        <w:spacing w:before="400" w:after="150"/>
      </w:pPr>
      <w:r>
        <w:rPr>
          <w:b/>
          <w:bCs/>
          <w:color w:val="4B3A5A"/>
          <w:sz w:val="30"/>
          <w:szCs w:val="30"/>
        </w:rPr>
        <w:lastRenderedPageBreak/>
        <w:t>Part 5 — Biomarkers: how research predicts preeclampsia</w:t>
      </w:r>
    </w:p>
    <w:p w14:paraId="6AB327BF" w14:textId="77777777" w:rsidR="00B038AF" w:rsidRDefault="00000000">
      <w:pPr>
        <w:spacing w:after="130" w:line="280" w:lineRule="auto"/>
      </w:pPr>
      <w:r>
        <w:rPr>
          <w:i/>
          <w:iCs/>
          <w:color w:val="6E6478"/>
        </w:rPr>
        <w:t>Parts 2 and 3 described what clinics do. This part describes what the underlying research measures, and why. It answers the question: are there biomarkers that detect the risk of developing preeclampsia?</w:t>
      </w:r>
    </w:p>
    <w:p w14:paraId="7608CA83" w14:textId="77777777" w:rsidR="00B038AF" w:rsidRDefault="00000000">
      <w:pPr>
        <w:spacing w:before="300" w:after="110"/>
      </w:pPr>
      <w:proofErr w:type="gramStart"/>
      <w:r>
        <w:rPr>
          <w:b/>
          <w:bCs/>
          <w:color w:val="3B2F45"/>
          <w:sz w:val="24"/>
          <w:szCs w:val="24"/>
        </w:rPr>
        <w:t>5.1  What</w:t>
      </w:r>
      <w:proofErr w:type="gramEnd"/>
      <w:r>
        <w:rPr>
          <w:b/>
          <w:bCs/>
          <w:color w:val="3B2F45"/>
          <w:sz w:val="24"/>
          <w:szCs w:val="24"/>
        </w:rPr>
        <w:t xml:space="preserve"> a biomarker is here</w:t>
      </w:r>
    </w:p>
    <w:p w14:paraId="4A4DF4A8" w14:textId="77777777" w:rsidR="00B038AF" w:rsidRDefault="00000000">
      <w:pPr>
        <w:spacing w:after="130" w:line="280" w:lineRule="auto"/>
      </w:pPr>
      <w:r>
        <w:t>A biomarker in this context is something measurable in the mother’s blood, months before the disease appears, whose level differs between women who will go on to develop preeclampsia and women who will not.</w:t>
      </w:r>
    </w:p>
    <w:p w14:paraId="2BAFAE9E" w14:textId="77777777" w:rsidR="00B038AF" w:rsidRDefault="00000000">
      <w:pPr>
        <w:spacing w:after="130" w:line="280" w:lineRule="auto"/>
      </w:pPr>
      <w:r>
        <w:t>This is possible because preeclampsia begins in the placenta long before it shows up as high blood pressure. The placenta of a woman who will develop preeclampsia releases a different balance of proteins into her circulation from early pregnancy onwards. Biomarkers read that imbalance. They are measuring the cause, which is why they can speak earlier than blood pressure can.</w:t>
      </w:r>
    </w:p>
    <w:tbl>
      <w:tblPr>
        <w:tblW w:w="9020" w:type="dxa"/>
        <w:tblCellMar>
          <w:left w:w="10" w:type="dxa"/>
          <w:right w:w="10" w:type="dxa"/>
        </w:tblCellMar>
        <w:tblLook w:val="04A0" w:firstRow="1" w:lastRow="0" w:firstColumn="1" w:lastColumn="0" w:noHBand="0" w:noVBand="1"/>
      </w:tblPr>
      <w:tblGrid>
        <w:gridCol w:w="9020"/>
      </w:tblGrid>
      <w:tr w:rsidR="00B038AF" w14:paraId="350A077F" w14:textId="77777777">
        <w:tblPrEx>
          <w:tblCellMar>
            <w:top w:w="0" w:type="dxa"/>
            <w:bottom w:w="0" w:type="dxa"/>
          </w:tblCellMar>
        </w:tblPrEx>
        <w:trPr>
          <w:cantSplit/>
        </w:trPr>
        <w:tc>
          <w:tcPr>
            <w:tcW w:w="9020" w:type="dxa"/>
            <w:tcBorders>
              <w:left w:val="single" w:sz="28" w:space="0" w:color="3E6B58"/>
            </w:tcBorders>
            <w:shd w:val="clear" w:color="auto" w:fill="EDF3F0"/>
            <w:tcMar>
              <w:top w:w="200" w:type="dxa"/>
              <w:left w:w="260" w:type="dxa"/>
              <w:bottom w:w="200" w:type="dxa"/>
              <w:right w:w="240" w:type="dxa"/>
            </w:tcMar>
          </w:tcPr>
          <w:p w14:paraId="0DCAB838" w14:textId="77777777" w:rsidR="00B038AF" w:rsidRDefault="00000000">
            <w:pPr>
              <w:spacing w:line="285" w:lineRule="auto"/>
            </w:pPr>
            <w:r>
              <w:rPr>
                <w:b/>
                <w:bCs/>
              </w:rPr>
              <w:t xml:space="preserve">The short answer: yes. The strongest are </w:t>
            </w:r>
            <w:proofErr w:type="spellStart"/>
            <w:r>
              <w:rPr>
                <w:b/>
                <w:bCs/>
              </w:rPr>
              <w:t>PlGF</w:t>
            </w:r>
            <w:proofErr w:type="spellEnd"/>
            <w:r>
              <w:rPr>
                <w:b/>
                <w:bCs/>
              </w:rPr>
              <w:t xml:space="preserve"> and sFlt-1, and the balance between them. But every one of them requires a blood sample and a laboratory assay — none can be collected by asking a woman a question.</w:t>
            </w:r>
          </w:p>
        </w:tc>
      </w:tr>
    </w:tbl>
    <w:p w14:paraId="5CCE7418" w14:textId="77777777" w:rsidR="00B038AF" w:rsidRDefault="00B038AF">
      <w:pPr>
        <w:spacing w:after="140"/>
      </w:pPr>
    </w:p>
    <w:p w14:paraId="77489834" w14:textId="77777777" w:rsidR="00B038AF" w:rsidRDefault="00000000">
      <w:pPr>
        <w:spacing w:before="300" w:after="110"/>
      </w:pPr>
      <w:proofErr w:type="gramStart"/>
      <w:r>
        <w:rPr>
          <w:b/>
          <w:bCs/>
          <w:color w:val="3B2F45"/>
          <w:sz w:val="24"/>
          <w:szCs w:val="24"/>
        </w:rPr>
        <w:t>5.2  The</w:t>
      </w:r>
      <w:proofErr w:type="gramEnd"/>
      <w:r>
        <w:rPr>
          <w:b/>
          <w:bCs/>
          <w:color w:val="3B2F45"/>
          <w:sz w:val="24"/>
          <w:szCs w:val="24"/>
        </w:rPr>
        <w:t xml:space="preserve"> biomarkers used or studied</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1700"/>
        <w:gridCol w:w="2500"/>
        <w:gridCol w:w="2600"/>
        <w:gridCol w:w="2220"/>
      </w:tblGrid>
      <w:tr w:rsidR="00B038AF" w14:paraId="771C1B68" w14:textId="77777777">
        <w:tblPrEx>
          <w:tblCellMar>
            <w:top w:w="0" w:type="dxa"/>
            <w:bottom w:w="0" w:type="dxa"/>
          </w:tblCellMar>
        </w:tblPrEx>
        <w:trPr>
          <w:cantSplit/>
          <w:tblHeader/>
        </w:trPr>
        <w:tc>
          <w:tcPr>
            <w:tcW w:w="1700" w:type="dxa"/>
            <w:shd w:val="clear" w:color="auto" w:fill="EFE7EC"/>
            <w:tcMar>
              <w:top w:w="90" w:type="dxa"/>
              <w:left w:w="120" w:type="dxa"/>
              <w:bottom w:w="90" w:type="dxa"/>
              <w:right w:w="120" w:type="dxa"/>
            </w:tcMar>
          </w:tcPr>
          <w:p w14:paraId="3703FAC7" w14:textId="77777777" w:rsidR="00B038AF" w:rsidRDefault="00000000">
            <w:pPr>
              <w:spacing w:line="250" w:lineRule="auto"/>
            </w:pPr>
            <w:r>
              <w:rPr>
                <w:b/>
                <w:bCs/>
                <w:color w:val="261E2D"/>
                <w:sz w:val="15"/>
                <w:szCs w:val="15"/>
              </w:rPr>
              <w:t>Biomarker</w:t>
            </w:r>
          </w:p>
        </w:tc>
        <w:tc>
          <w:tcPr>
            <w:tcW w:w="2500" w:type="dxa"/>
            <w:shd w:val="clear" w:color="auto" w:fill="EFE7EC"/>
            <w:tcMar>
              <w:top w:w="90" w:type="dxa"/>
              <w:left w:w="120" w:type="dxa"/>
              <w:bottom w:w="90" w:type="dxa"/>
              <w:right w:w="120" w:type="dxa"/>
            </w:tcMar>
          </w:tcPr>
          <w:p w14:paraId="2EB86FBF" w14:textId="77777777" w:rsidR="00B038AF" w:rsidRDefault="00000000">
            <w:pPr>
              <w:spacing w:line="250" w:lineRule="auto"/>
            </w:pPr>
            <w:r>
              <w:rPr>
                <w:b/>
                <w:bCs/>
                <w:color w:val="261E2D"/>
                <w:sz w:val="15"/>
                <w:szCs w:val="15"/>
              </w:rPr>
              <w:t>What it is</w:t>
            </w:r>
          </w:p>
        </w:tc>
        <w:tc>
          <w:tcPr>
            <w:tcW w:w="2600" w:type="dxa"/>
            <w:shd w:val="clear" w:color="auto" w:fill="EFE7EC"/>
            <w:tcMar>
              <w:top w:w="90" w:type="dxa"/>
              <w:left w:w="120" w:type="dxa"/>
              <w:bottom w:w="90" w:type="dxa"/>
              <w:right w:w="120" w:type="dxa"/>
            </w:tcMar>
          </w:tcPr>
          <w:p w14:paraId="74A3C8DA" w14:textId="77777777" w:rsidR="00B038AF" w:rsidRDefault="00000000">
            <w:pPr>
              <w:spacing w:line="250" w:lineRule="auto"/>
            </w:pPr>
            <w:r>
              <w:rPr>
                <w:b/>
                <w:bCs/>
                <w:color w:val="261E2D"/>
                <w:sz w:val="15"/>
                <w:szCs w:val="15"/>
              </w:rPr>
              <w:t>What happens in preeclampsia</w:t>
            </w:r>
          </w:p>
        </w:tc>
        <w:tc>
          <w:tcPr>
            <w:tcW w:w="2220" w:type="dxa"/>
            <w:shd w:val="clear" w:color="auto" w:fill="EFE7EC"/>
            <w:tcMar>
              <w:top w:w="90" w:type="dxa"/>
              <w:left w:w="120" w:type="dxa"/>
              <w:bottom w:w="90" w:type="dxa"/>
              <w:right w:w="120" w:type="dxa"/>
            </w:tcMar>
          </w:tcPr>
          <w:p w14:paraId="4A5D4490" w14:textId="77777777" w:rsidR="00B038AF" w:rsidRDefault="00000000">
            <w:pPr>
              <w:spacing w:line="250" w:lineRule="auto"/>
            </w:pPr>
            <w:r>
              <w:rPr>
                <w:b/>
                <w:bCs/>
                <w:color w:val="261E2D"/>
                <w:sz w:val="15"/>
                <w:szCs w:val="15"/>
              </w:rPr>
              <w:t>Status</w:t>
            </w:r>
          </w:p>
        </w:tc>
      </w:tr>
      <w:tr w:rsidR="00B038AF" w14:paraId="750AB19A" w14:textId="77777777">
        <w:tblPrEx>
          <w:tblCellMar>
            <w:top w:w="0" w:type="dxa"/>
            <w:bottom w:w="0" w:type="dxa"/>
          </w:tblCellMar>
        </w:tblPrEx>
        <w:trPr>
          <w:cantSplit/>
        </w:trPr>
        <w:tc>
          <w:tcPr>
            <w:tcW w:w="1700" w:type="dxa"/>
            <w:tcMar>
              <w:top w:w="90" w:type="dxa"/>
              <w:left w:w="120" w:type="dxa"/>
              <w:bottom w:w="90" w:type="dxa"/>
              <w:right w:w="120" w:type="dxa"/>
            </w:tcMar>
          </w:tcPr>
          <w:p w14:paraId="0C544F7C" w14:textId="77777777" w:rsidR="00B038AF" w:rsidRDefault="00000000">
            <w:pPr>
              <w:spacing w:line="250" w:lineRule="auto"/>
            </w:pPr>
            <w:proofErr w:type="spellStart"/>
            <w:r>
              <w:rPr>
                <w:b/>
                <w:bCs/>
                <w:sz w:val="15"/>
                <w:szCs w:val="15"/>
              </w:rPr>
              <w:t>PlGF</w:t>
            </w:r>
            <w:proofErr w:type="spellEnd"/>
          </w:p>
        </w:tc>
        <w:tc>
          <w:tcPr>
            <w:tcW w:w="2500" w:type="dxa"/>
            <w:tcMar>
              <w:top w:w="90" w:type="dxa"/>
              <w:left w:w="120" w:type="dxa"/>
              <w:bottom w:w="90" w:type="dxa"/>
              <w:right w:w="120" w:type="dxa"/>
            </w:tcMar>
          </w:tcPr>
          <w:p w14:paraId="1979EE57" w14:textId="77777777" w:rsidR="00B038AF" w:rsidRDefault="00000000">
            <w:pPr>
              <w:spacing w:line="250" w:lineRule="auto"/>
            </w:pPr>
            <w:r>
              <w:rPr>
                <w:sz w:val="15"/>
                <w:szCs w:val="15"/>
              </w:rPr>
              <w:t>Placental growth factor — a protein that drives placental blood-vessel growth</w:t>
            </w:r>
          </w:p>
        </w:tc>
        <w:tc>
          <w:tcPr>
            <w:tcW w:w="2600" w:type="dxa"/>
            <w:tcMar>
              <w:top w:w="90" w:type="dxa"/>
              <w:left w:w="120" w:type="dxa"/>
              <w:bottom w:w="90" w:type="dxa"/>
              <w:right w:w="120" w:type="dxa"/>
            </w:tcMar>
          </w:tcPr>
          <w:p w14:paraId="75B92C1C" w14:textId="77777777" w:rsidR="00B038AF" w:rsidRDefault="00000000">
            <w:pPr>
              <w:spacing w:line="250" w:lineRule="auto"/>
            </w:pPr>
            <w:r>
              <w:rPr>
                <w:sz w:val="15"/>
                <w:szCs w:val="15"/>
              </w:rPr>
              <w:t>Falls early, before symptoms. A consistent early decrease is seen in women who later develop preeclampsia</w:t>
            </w:r>
          </w:p>
        </w:tc>
        <w:tc>
          <w:tcPr>
            <w:tcW w:w="2220" w:type="dxa"/>
            <w:tcMar>
              <w:top w:w="90" w:type="dxa"/>
              <w:left w:w="120" w:type="dxa"/>
              <w:bottom w:w="90" w:type="dxa"/>
              <w:right w:w="120" w:type="dxa"/>
            </w:tcMar>
          </w:tcPr>
          <w:p w14:paraId="5BDE2A54" w14:textId="77777777" w:rsidR="00B038AF" w:rsidRDefault="00000000">
            <w:pPr>
              <w:spacing w:line="250" w:lineRule="auto"/>
            </w:pPr>
            <w:r>
              <w:rPr>
                <w:sz w:val="15"/>
                <w:szCs w:val="15"/>
              </w:rPr>
              <w:t>In routine clinical use. Part of the FMF triple test (Part 3)</w:t>
            </w:r>
          </w:p>
        </w:tc>
      </w:tr>
      <w:tr w:rsidR="00B038AF" w14:paraId="14194A30" w14:textId="77777777">
        <w:tblPrEx>
          <w:tblCellMar>
            <w:top w:w="0" w:type="dxa"/>
            <w:bottom w:w="0" w:type="dxa"/>
          </w:tblCellMar>
        </w:tblPrEx>
        <w:trPr>
          <w:cantSplit/>
        </w:trPr>
        <w:tc>
          <w:tcPr>
            <w:tcW w:w="1700" w:type="dxa"/>
            <w:shd w:val="clear" w:color="auto" w:fill="FAF8F9"/>
            <w:tcMar>
              <w:top w:w="90" w:type="dxa"/>
              <w:left w:w="120" w:type="dxa"/>
              <w:bottom w:w="90" w:type="dxa"/>
              <w:right w:w="120" w:type="dxa"/>
            </w:tcMar>
          </w:tcPr>
          <w:p w14:paraId="364C6006" w14:textId="77777777" w:rsidR="00B038AF" w:rsidRDefault="00000000">
            <w:pPr>
              <w:spacing w:line="250" w:lineRule="auto"/>
            </w:pPr>
            <w:r>
              <w:rPr>
                <w:b/>
                <w:bCs/>
                <w:sz w:val="15"/>
                <w:szCs w:val="15"/>
              </w:rPr>
              <w:t>sFlt-1</w:t>
            </w:r>
          </w:p>
        </w:tc>
        <w:tc>
          <w:tcPr>
            <w:tcW w:w="2500" w:type="dxa"/>
            <w:shd w:val="clear" w:color="auto" w:fill="FAF8F9"/>
            <w:tcMar>
              <w:top w:w="90" w:type="dxa"/>
              <w:left w:w="120" w:type="dxa"/>
              <w:bottom w:w="90" w:type="dxa"/>
              <w:right w:w="120" w:type="dxa"/>
            </w:tcMar>
          </w:tcPr>
          <w:p w14:paraId="2B0CA26B" w14:textId="77777777" w:rsidR="00B038AF" w:rsidRDefault="00000000">
            <w:pPr>
              <w:spacing w:line="250" w:lineRule="auto"/>
            </w:pPr>
            <w:r>
              <w:rPr>
                <w:sz w:val="15"/>
                <w:szCs w:val="15"/>
              </w:rPr>
              <w:t xml:space="preserve">Soluble </w:t>
            </w:r>
            <w:proofErr w:type="spellStart"/>
            <w:r>
              <w:rPr>
                <w:sz w:val="15"/>
                <w:szCs w:val="15"/>
              </w:rPr>
              <w:t>fms</w:t>
            </w:r>
            <w:proofErr w:type="spellEnd"/>
            <w:r>
              <w:rPr>
                <w:sz w:val="15"/>
                <w:szCs w:val="15"/>
              </w:rPr>
              <w:t xml:space="preserve">-like tyrosine kinase-1 — a protein that blocks the action of </w:t>
            </w:r>
            <w:proofErr w:type="spellStart"/>
            <w:r>
              <w:rPr>
                <w:sz w:val="15"/>
                <w:szCs w:val="15"/>
              </w:rPr>
              <w:t>PlGF</w:t>
            </w:r>
            <w:proofErr w:type="spellEnd"/>
          </w:p>
        </w:tc>
        <w:tc>
          <w:tcPr>
            <w:tcW w:w="2600" w:type="dxa"/>
            <w:shd w:val="clear" w:color="auto" w:fill="FAF8F9"/>
            <w:tcMar>
              <w:top w:w="90" w:type="dxa"/>
              <w:left w:w="120" w:type="dxa"/>
              <w:bottom w:w="90" w:type="dxa"/>
              <w:right w:w="120" w:type="dxa"/>
            </w:tcMar>
          </w:tcPr>
          <w:p w14:paraId="1EBFAD5A" w14:textId="77777777" w:rsidR="00B038AF" w:rsidRDefault="00000000">
            <w:pPr>
              <w:spacing w:line="250" w:lineRule="auto"/>
            </w:pPr>
            <w:r>
              <w:rPr>
                <w:sz w:val="15"/>
                <w:szCs w:val="15"/>
              </w:rPr>
              <w:t>Rises as the disease develops. Not predictive in the first trimester, but strongly so in the second and third</w:t>
            </w:r>
          </w:p>
        </w:tc>
        <w:tc>
          <w:tcPr>
            <w:tcW w:w="2220" w:type="dxa"/>
            <w:shd w:val="clear" w:color="auto" w:fill="FAF8F9"/>
            <w:tcMar>
              <w:top w:w="90" w:type="dxa"/>
              <w:left w:w="120" w:type="dxa"/>
              <w:bottom w:w="90" w:type="dxa"/>
              <w:right w:w="120" w:type="dxa"/>
            </w:tcMar>
          </w:tcPr>
          <w:p w14:paraId="3A6A1E4D" w14:textId="77777777" w:rsidR="00B038AF" w:rsidRDefault="00000000">
            <w:pPr>
              <w:spacing w:line="250" w:lineRule="auto"/>
            </w:pPr>
            <w:r>
              <w:rPr>
                <w:sz w:val="15"/>
                <w:szCs w:val="15"/>
              </w:rPr>
              <w:t>In clinical use after 20 weeks, not before</w:t>
            </w:r>
          </w:p>
        </w:tc>
      </w:tr>
      <w:tr w:rsidR="00B038AF" w14:paraId="70595919" w14:textId="77777777">
        <w:tblPrEx>
          <w:tblCellMar>
            <w:top w:w="0" w:type="dxa"/>
            <w:bottom w:w="0" w:type="dxa"/>
          </w:tblCellMar>
        </w:tblPrEx>
        <w:trPr>
          <w:cantSplit/>
        </w:trPr>
        <w:tc>
          <w:tcPr>
            <w:tcW w:w="1700" w:type="dxa"/>
            <w:tcMar>
              <w:top w:w="90" w:type="dxa"/>
              <w:left w:w="120" w:type="dxa"/>
              <w:bottom w:w="90" w:type="dxa"/>
              <w:right w:w="120" w:type="dxa"/>
            </w:tcMar>
          </w:tcPr>
          <w:p w14:paraId="293FE197" w14:textId="77777777" w:rsidR="00B038AF" w:rsidRDefault="00000000">
            <w:pPr>
              <w:spacing w:line="250" w:lineRule="auto"/>
            </w:pPr>
            <w:r>
              <w:rPr>
                <w:b/>
                <w:bCs/>
                <w:sz w:val="15"/>
                <w:szCs w:val="15"/>
              </w:rPr>
              <w:t>sFlt-1/</w:t>
            </w:r>
            <w:proofErr w:type="spellStart"/>
            <w:r>
              <w:rPr>
                <w:b/>
                <w:bCs/>
                <w:sz w:val="15"/>
                <w:szCs w:val="15"/>
              </w:rPr>
              <w:t>PlGF</w:t>
            </w:r>
            <w:proofErr w:type="spellEnd"/>
            <w:r>
              <w:rPr>
                <w:b/>
                <w:bCs/>
                <w:sz w:val="15"/>
                <w:szCs w:val="15"/>
              </w:rPr>
              <w:t xml:space="preserve"> ratio</w:t>
            </w:r>
          </w:p>
        </w:tc>
        <w:tc>
          <w:tcPr>
            <w:tcW w:w="2500" w:type="dxa"/>
            <w:tcMar>
              <w:top w:w="90" w:type="dxa"/>
              <w:left w:w="120" w:type="dxa"/>
              <w:bottom w:w="90" w:type="dxa"/>
              <w:right w:w="120" w:type="dxa"/>
            </w:tcMar>
          </w:tcPr>
          <w:p w14:paraId="12BE22A5" w14:textId="77777777" w:rsidR="00B038AF" w:rsidRDefault="00000000">
            <w:pPr>
              <w:spacing w:line="250" w:lineRule="auto"/>
            </w:pPr>
            <w:r>
              <w:rPr>
                <w:sz w:val="15"/>
                <w:szCs w:val="15"/>
              </w:rPr>
              <w:t>The balance between the two, expressed as one number</w:t>
            </w:r>
          </w:p>
        </w:tc>
        <w:tc>
          <w:tcPr>
            <w:tcW w:w="2600" w:type="dxa"/>
            <w:tcMar>
              <w:top w:w="90" w:type="dxa"/>
              <w:left w:w="120" w:type="dxa"/>
              <w:bottom w:w="90" w:type="dxa"/>
              <w:right w:w="120" w:type="dxa"/>
            </w:tcMar>
          </w:tcPr>
          <w:p w14:paraId="2343BDAE" w14:textId="77777777" w:rsidR="00B038AF" w:rsidRDefault="00000000">
            <w:pPr>
              <w:spacing w:line="250" w:lineRule="auto"/>
            </w:pPr>
            <w:r>
              <w:rPr>
                <w:sz w:val="15"/>
                <w:szCs w:val="15"/>
              </w:rPr>
              <w:t>Rises sharply in the weeks before the disease becomes clinically apparent</w:t>
            </w:r>
          </w:p>
        </w:tc>
        <w:tc>
          <w:tcPr>
            <w:tcW w:w="2220" w:type="dxa"/>
            <w:tcMar>
              <w:top w:w="90" w:type="dxa"/>
              <w:left w:w="120" w:type="dxa"/>
              <w:bottom w:w="90" w:type="dxa"/>
              <w:right w:w="120" w:type="dxa"/>
            </w:tcMar>
          </w:tcPr>
          <w:p w14:paraId="78D0765A" w14:textId="77777777" w:rsidR="00B038AF" w:rsidRDefault="00000000">
            <w:pPr>
              <w:spacing w:line="250" w:lineRule="auto"/>
            </w:pPr>
            <w:r>
              <w:rPr>
                <w:sz w:val="15"/>
                <w:szCs w:val="15"/>
              </w:rPr>
              <w:t>The most robust single predictor found in the literature — but for short-term prediction after 20 weeks [12]</w:t>
            </w:r>
          </w:p>
        </w:tc>
      </w:tr>
      <w:tr w:rsidR="00B038AF" w14:paraId="6D86A57E" w14:textId="77777777">
        <w:tblPrEx>
          <w:tblCellMar>
            <w:top w:w="0" w:type="dxa"/>
            <w:bottom w:w="0" w:type="dxa"/>
          </w:tblCellMar>
        </w:tblPrEx>
        <w:trPr>
          <w:cantSplit/>
        </w:trPr>
        <w:tc>
          <w:tcPr>
            <w:tcW w:w="1700" w:type="dxa"/>
            <w:shd w:val="clear" w:color="auto" w:fill="FAF8F9"/>
            <w:tcMar>
              <w:top w:w="90" w:type="dxa"/>
              <w:left w:w="120" w:type="dxa"/>
              <w:bottom w:w="90" w:type="dxa"/>
              <w:right w:w="120" w:type="dxa"/>
            </w:tcMar>
          </w:tcPr>
          <w:p w14:paraId="2EBBFE68" w14:textId="77777777" w:rsidR="00B038AF" w:rsidRDefault="00000000">
            <w:pPr>
              <w:spacing w:line="250" w:lineRule="auto"/>
            </w:pPr>
            <w:r>
              <w:rPr>
                <w:b/>
                <w:bCs/>
                <w:sz w:val="15"/>
                <w:szCs w:val="15"/>
              </w:rPr>
              <w:t>PAPP-A</w:t>
            </w:r>
          </w:p>
        </w:tc>
        <w:tc>
          <w:tcPr>
            <w:tcW w:w="2500" w:type="dxa"/>
            <w:shd w:val="clear" w:color="auto" w:fill="FAF8F9"/>
            <w:tcMar>
              <w:top w:w="90" w:type="dxa"/>
              <w:left w:w="120" w:type="dxa"/>
              <w:bottom w:w="90" w:type="dxa"/>
              <w:right w:w="120" w:type="dxa"/>
            </w:tcMar>
          </w:tcPr>
          <w:p w14:paraId="7D1BAC07" w14:textId="77777777" w:rsidR="00B038AF" w:rsidRDefault="00000000">
            <w:pPr>
              <w:spacing w:line="250" w:lineRule="auto"/>
            </w:pPr>
            <w:r>
              <w:rPr>
                <w:sz w:val="15"/>
                <w:szCs w:val="15"/>
              </w:rPr>
              <w:t>Pregnancy-associated plasma protein-A, a placental protein</w:t>
            </w:r>
          </w:p>
        </w:tc>
        <w:tc>
          <w:tcPr>
            <w:tcW w:w="2600" w:type="dxa"/>
            <w:shd w:val="clear" w:color="auto" w:fill="FAF8F9"/>
            <w:tcMar>
              <w:top w:w="90" w:type="dxa"/>
              <w:left w:w="120" w:type="dxa"/>
              <w:bottom w:w="90" w:type="dxa"/>
              <w:right w:w="120" w:type="dxa"/>
            </w:tcMar>
          </w:tcPr>
          <w:p w14:paraId="29A376FD" w14:textId="77777777" w:rsidR="00B038AF" w:rsidRDefault="00000000">
            <w:pPr>
              <w:spacing w:line="250" w:lineRule="auto"/>
            </w:pPr>
            <w:r>
              <w:rPr>
                <w:sz w:val="15"/>
                <w:szCs w:val="15"/>
              </w:rPr>
              <w:t>Decreased levels in the first trimester are associated with early-onset preeclampsia</w:t>
            </w:r>
          </w:p>
        </w:tc>
        <w:tc>
          <w:tcPr>
            <w:tcW w:w="2220" w:type="dxa"/>
            <w:shd w:val="clear" w:color="auto" w:fill="FAF8F9"/>
            <w:tcMar>
              <w:top w:w="90" w:type="dxa"/>
              <w:left w:w="120" w:type="dxa"/>
              <w:bottom w:w="90" w:type="dxa"/>
              <w:right w:w="120" w:type="dxa"/>
            </w:tcMar>
          </w:tcPr>
          <w:p w14:paraId="7F1897DB" w14:textId="77777777" w:rsidR="00B038AF" w:rsidRDefault="00000000">
            <w:pPr>
              <w:spacing w:line="250" w:lineRule="auto"/>
            </w:pPr>
            <w:r>
              <w:rPr>
                <w:sz w:val="15"/>
                <w:szCs w:val="15"/>
              </w:rPr>
              <w:t xml:space="preserve">Available, but adds little once </w:t>
            </w:r>
            <w:proofErr w:type="spellStart"/>
            <w:r>
              <w:rPr>
                <w:sz w:val="15"/>
                <w:szCs w:val="15"/>
              </w:rPr>
              <w:t>PlGF</w:t>
            </w:r>
            <w:proofErr w:type="spellEnd"/>
            <w:r>
              <w:rPr>
                <w:sz w:val="15"/>
                <w:szCs w:val="15"/>
              </w:rPr>
              <w:t xml:space="preserve"> is included (Part 3.2.5)</w:t>
            </w:r>
          </w:p>
        </w:tc>
      </w:tr>
      <w:tr w:rsidR="00B038AF" w14:paraId="3B41BE8C" w14:textId="77777777">
        <w:tblPrEx>
          <w:tblCellMar>
            <w:top w:w="0" w:type="dxa"/>
            <w:bottom w:w="0" w:type="dxa"/>
          </w:tblCellMar>
        </w:tblPrEx>
        <w:trPr>
          <w:cantSplit/>
        </w:trPr>
        <w:tc>
          <w:tcPr>
            <w:tcW w:w="1700" w:type="dxa"/>
            <w:tcMar>
              <w:top w:w="90" w:type="dxa"/>
              <w:left w:w="120" w:type="dxa"/>
              <w:bottom w:w="90" w:type="dxa"/>
              <w:right w:w="120" w:type="dxa"/>
            </w:tcMar>
          </w:tcPr>
          <w:p w14:paraId="6187B334" w14:textId="77777777" w:rsidR="00B038AF" w:rsidRDefault="00000000">
            <w:pPr>
              <w:spacing w:line="250" w:lineRule="auto"/>
            </w:pPr>
            <w:r>
              <w:rPr>
                <w:b/>
                <w:bCs/>
                <w:sz w:val="15"/>
                <w:szCs w:val="15"/>
              </w:rPr>
              <w:t>PP-13</w:t>
            </w:r>
          </w:p>
        </w:tc>
        <w:tc>
          <w:tcPr>
            <w:tcW w:w="2500" w:type="dxa"/>
            <w:tcMar>
              <w:top w:w="90" w:type="dxa"/>
              <w:left w:w="120" w:type="dxa"/>
              <w:bottom w:w="90" w:type="dxa"/>
              <w:right w:w="120" w:type="dxa"/>
            </w:tcMar>
          </w:tcPr>
          <w:p w14:paraId="2DF2C967" w14:textId="77777777" w:rsidR="00B038AF" w:rsidRDefault="00000000">
            <w:pPr>
              <w:spacing w:line="250" w:lineRule="auto"/>
            </w:pPr>
            <w:r>
              <w:rPr>
                <w:sz w:val="15"/>
                <w:szCs w:val="15"/>
              </w:rPr>
              <w:t>Placental protein 13</w:t>
            </w:r>
          </w:p>
        </w:tc>
        <w:tc>
          <w:tcPr>
            <w:tcW w:w="2600" w:type="dxa"/>
            <w:tcMar>
              <w:top w:w="90" w:type="dxa"/>
              <w:left w:w="120" w:type="dxa"/>
              <w:bottom w:w="90" w:type="dxa"/>
              <w:right w:w="120" w:type="dxa"/>
            </w:tcMar>
          </w:tcPr>
          <w:p w14:paraId="56254364" w14:textId="77777777" w:rsidR="00B038AF" w:rsidRDefault="00000000">
            <w:pPr>
              <w:spacing w:line="250" w:lineRule="auto"/>
            </w:pPr>
            <w:r>
              <w:rPr>
                <w:sz w:val="15"/>
                <w:szCs w:val="15"/>
              </w:rPr>
              <w:t>Abnormally low in the first trimester in women who later develop early-onset preeclampsia and fetal growth restriction</w:t>
            </w:r>
          </w:p>
        </w:tc>
        <w:tc>
          <w:tcPr>
            <w:tcW w:w="2220" w:type="dxa"/>
            <w:tcMar>
              <w:top w:w="90" w:type="dxa"/>
              <w:left w:w="120" w:type="dxa"/>
              <w:bottom w:w="90" w:type="dxa"/>
              <w:right w:w="120" w:type="dxa"/>
            </w:tcMar>
          </w:tcPr>
          <w:p w14:paraId="6E973E66" w14:textId="77777777" w:rsidR="00B038AF" w:rsidRDefault="00000000">
            <w:pPr>
              <w:spacing w:line="250" w:lineRule="auto"/>
            </w:pPr>
            <w:r>
              <w:rPr>
                <w:sz w:val="15"/>
                <w:szCs w:val="15"/>
              </w:rPr>
              <w:t>Research stage. Appears useful for early-onset disease only</w:t>
            </w:r>
          </w:p>
        </w:tc>
      </w:tr>
      <w:tr w:rsidR="00B038AF" w14:paraId="1D4504F9" w14:textId="77777777">
        <w:tblPrEx>
          <w:tblCellMar>
            <w:top w:w="0" w:type="dxa"/>
            <w:bottom w:w="0" w:type="dxa"/>
          </w:tblCellMar>
        </w:tblPrEx>
        <w:trPr>
          <w:cantSplit/>
        </w:trPr>
        <w:tc>
          <w:tcPr>
            <w:tcW w:w="1700" w:type="dxa"/>
            <w:shd w:val="clear" w:color="auto" w:fill="FAF8F9"/>
            <w:tcMar>
              <w:top w:w="90" w:type="dxa"/>
              <w:left w:w="120" w:type="dxa"/>
              <w:bottom w:w="90" w:type="dxa"/>
              <w:right w:w="120" w:type="dxa"/>
            </w:tcMar>
          </w:tcPr>
          <w:p w14:paraId="6437E57C" w14:textId="77777777" w:rsidR="00B038AF" w:rsidRDefault="00000000">
            <w:pPr>
              <w:spacing w:line="250" w:lineRule="auto"/>
            </w:pPr>
            <w:r>
              <w:rPr>
                <w:b/>
                <w:bCs/>
                <w:sz w:val="15"/>
                <w:szCs w:val="15"/>
              </w:rPr>
              <w:t>Soluble endoglin</w:t>
            </w:r>
          </w:p>
        </w:tc>
        <w:tc>
          <w:tcPr>
            <w:tcW w:w="2500" w:type="dxa"/>
            <w:shd w:val="clear" w:color="auto" w:fill="FAF8F9"/>
            <w:tcMar>
              <w:top w:w="90" w:type="dxa"/>
              <w:left w:w="120" w:type="dxa"/>
              <w:bottom w:w="90" w:type="dxa"/>
              <w:right w:w="120" w:type="dxa"/>
            </w:tcMar>
          </w:tcPr>
          <w:p w14:paraId="4F6BC413" w14:textId="77777777" w:rsidR="00B038AF" w:rsidRDefault="00000000">
            <w:pPr>
              <w:spacing w:line="250" w:lineRule="auto"/>
            </w:pPr>
            <w:r>
              <w:rPr>
                <w:sz w:val="15"/>
                <w:szCs w:val="15"/>
              </w:rPr>
              <w:t xml:space="preserve">A protein released by the placenta that interferes with blood-vessel </w:t>
            </w:r>
            <w:proofErr w:type="spellStart"/>
            <w:r>
              <w:rPr>
                <w:sz w:val="15"/>
                <w:szCs w:val="15"/>
              </w:rPr>
              <w:t>signalling</w:t>
            </w:r>
            <w:proofErr w:type="spellEnd"/>
          </w:p>
        </w:tc>
        <w:tc>
          <w:tcPr>
            <w:tcW w:w="2600" w:type="dxa"/>
            <w:shd w:val="clear" w:color="auto" w:fill="FAF8F9"/>
            <w:tcMar>
              <w:top w:w="90" w:type="dxa"/>
              <w:left w:w="120" w:type="dxa"/>
              <w:bottom w:w="90" w:type="dxa"/>
              <w:right w:w="120" w:type="dxa"/>
            </w:tcMar>
          </w:tcPr>
          <w:p w14:paraId="744DFAAB" w14:textId="77777777" w:rsidR="00B038AF" w:rsidRDefault="00000000">
            <w:pPr>
              <w:spacing w:line="250" w:lineRule="auto"/>
            </w:pPr>
            <w:r>
              <w:rPr>
                <w:sz w:val="15"/>
                <w:szCs w:val="15"/>
              </w:rPr>
              <w:t>Consistently elevated in women who will develop preeclampsia</w:t>
            </w:r>
          </w:p>
        </w:tc>
        <w:tc>
          <w:tcPr>
            <w:tcW w:w="2220" w:type="dxa"/>
            <w:shd w:val="clear" w:color="auto" w:fill="FAF8F9"/>
            <w:tcMar>
              <w:top w:w="90" w:type="dxa"/>
              <w:left w:w="120" w:type="dxa"/>
              <w:bottom w:w="90" w:type="dxa"/>
              <w:right w:w="120" w:type="dxa"/>
            </w:tcMar>
          </w:tcPr>
          <w:p w14:paraId="6E96764B" w14:textId="77777777" w:rsidR="00B038AF" w:rsidRDefault="00000000">
            <w:pPr>
              <w:spacing w:line="250" w:lineRule="auto"/>
            </w:pPr>
            <w:r>
              <w:rPr>
                <w:sz w:val="15"/>
                <w:szCs w:val="15"/>
              </w:rPr>
              <w:t>Research stage</w:t>
            </w:r>
          </w:p>
        </w:tc>
      </w:tr>
    </w:tbl>
    <w:p w14:paraId="7BDC8352" w14:textId="77777777" w:rsidR="00B038AF" w:rsidRDefault="00B038AF">
      <w:pPr>
        <w:spacing w:after="140"/>
      </w:pPr>
    </w:p>
    <w:p w14:paraId="55A6C9D6" w14:textId="77777777" w:rsidR="00B038AF" w:rsidRDefault="00000000">
      <w:pPr>
        <w:spacing w:before="300" w:after="110"/>
      </w:pPr>
      <w:proofErr w:type="gramStart"/>
      <w:r>
        <w:rPr>
          <w:b/>
          <w:bCs/>
          <w:color w:val="3B2F45"/>
          <w:sz w:val="24"/>
          <w:szCs w:val="24"/>
        </w:rPr>
        <w:t>5.3  The</w:t>
      </w:r>
      <w:proofErr w:type="gramEnd"/>
      <w:r>
        <w:rPr>
          <w:b/>
          <w:bCs/>
          <w:color w:val="3B2F45"/>
          <w:sz w:val="24"/>
          <w:szCs w:val="24"/>
        </w:rPr>
        <w:t xml:space="preserve"> two different jobs biomarkers do</w:t>
      </w:r>
    </w:p>
    <w:p w14:paraId="7A9A0A0E" w14:textId="77777777" w:rsidR="00B038AF" w:rsidRDefault="00000000">
      <w:pPr>
        <w:spacing w:after="130" w:line="280" w:lineRule="auto"/>
      </w:pPr>
      <w:r>
        <w:t>This distinction matters, and it is often blurred. The biomarkers are not all doing the same thing.</w:t>
      </w:r>
    </w:p>
    <w:tbl>
      <w:tblPr>
        <w:tblW w:w="9020" w:type="dxa"/>
        <w:tblBorders>
          <w:top w:val="single" w:sz="2" w:space="0" w:color="D8D0D6"/>
          <w:left w:val="single" w:sz="2" w:space="0" w:color="D8D0D6"/>
          <w:bottom w:val="single" w:sz="2" w:space="0" w:color="D8D0D6"/>
          <w:right w:val="single" w:sz="2" w:space="0" w:color="D8D0D6"/>
          <w:insideH w:val="single" w:sz="2" w:space="0" w:color="E5DFE3"/>
          <w:insideV w:val="single" w:sz="2" w:space="0" w:color="E5DFE3"/>
        </w:tblBorders>
        <w:tblCellMar>
          <w:left w:w="10" w:type="dxa"/>
          <w:right w:w="10" w:type="dxa"/>
        </w:tblCellMar>
        <w:tblLook w:val="04A0" w:firstRow="1" w:lastRow="0" w:firstColumn="1" w:lastColumn="0" w:noHBand="0" w:noVBand="1"/>
      </w:tblPr>
      <w:tblGrid>
        <w:gridCol w:w="2400"/>
        <w:gridCol w:w="3300"/>
        <w:gridCol w:w="3320"/>
      </w:tblGrid>
      <w:tr w:rsidR="00B038AF" w14:paraId="27189F96" w14:textId="77777777">
        <w:tblPrEx>
          <w:tblCellMar>
            <w:top w:w="0" w:type="dxa"/>
            <w:bottom w:w="0" w:type="dxa"/>
          </w:tblCellMar>
        </w:tblPrEx>
        <w:trPr>
          <w:cantSplit/>
          <w:tblHeader/>
        </w:trPr>
        <w:tc>
          <w:tcPr>
            <w:tcW w:w="2400" w:type="dxa"/>
            <w:shd w:val="clear" w:color="auto" w:fill="EFE7EC"/>
            <w:tcMar>
              <w:top w:w="90" w:type="dxa"/>
              <w:left w:w="120" w:type="dxa"/>
              <w:bottom w:w="90" w:type="dxa"/>
              <w:right w:w="120" w:type="dxa"/>
            </w:tcMar>
          </w:tcPr>
          <w:p w14:paraId="0280A9D6" w14:textId="77777777" w:rsidR="00B038AF" w:rsidRDefault="00000000">
            <w:pPr>
              <w:spacing w:line="250" w:lineRule="auto"/>
            </w:pPr>
            <w:r>
              <w:rPr>
                <w:b/>
                <w:bCs/>
                <w:color w:val="261E2D"/>
                <w:sz w:val="16"/>
                <w:szCs w:val="16"/>
              </w:rPr>
              <w:t xml:space="preserve"> </w:t>
            </w:r>
          </w:p>
        </w:tc>
        <w:tc>
          <w:tcPr>
            <w:tcW w:w="3300" w:type="dxa"/>
            <w:shd w:val="clear" w:color="auto" w:fill="EFE7EC"/>
            <w:tcMar>
              <w:top w:w="90" w:type="dxa"/>
              <w:left w:w="120" w:type="dxa"/>
              <w:bottom w:w="90" w:type="dxa"/>
              <w:right w:w="120" w:type="dxa"/>
            </w:tcMar>
          </w:tcPr>
          <w:p w14:paraId="1D0015D7" w14:textId="77777777" w:rsidR="00B038AF" w:rsidRDefault="00000000">
            <w:pPr>
              <w:spacing w:line="250" w:lineRule="auto"/>
            </w:pPr>
            <w:r>
              <w:rPr>
                <w:b/>
                <w:bCs/>
                <w:color w:val="261E2D"/>
                <w:sz w:val="16"/>
                <w:szCs w:val="16"/>
              </w:rPr>
              <w:t>First trimester (11–14 weeks)</w:t>
            </w:r>
          </w:p>
        </w:tc>
        <w:tc>
          <w:tcPr>
            <w:tcW w:w="3320" w:type="dxa"/>
            <w:shd w:val="clear" w:color="auto" w:fill="EFE7EC"/>
            <w:tcMar>
              <w:top w:w="90" w:type="dxa"/>
              <w:left w:w="120" w:type="dxa"/>
              <w:bottom w:w="90" w:type="dxa"/>
              <w:right w:w="120" w:type="dxa"/>
            </w:tcMar>
          </w:tcPr>
          <w:p w14:paraId="27529B32" w14:textId="77777777" w:rsidR="00B038AF" w:rsidRDefault="00000000">
            <w:pPr>
              <w:spacing w:line="250" w:lineRule="auto"/>
            </w:pPr>
            <w:r>
              <w:rPr>
                <w:b/>
                <w:bCs/>
                <w:color w:val="261E2D"/>
                <w:sz w:val="16"/>
                <w:szCs w:val="16"/>
              </w:rPr>
              <w:t>Second and third trimester (20–34 weeks)</w:t>
            </w:r>
          </w:p>
        </w:tc>
      </w:tr>
      <w:tr w:rsidR="00B038AF" w14:paraId="5F1883B9" w14:textId="77777777">
        <w:tblPrEx>
          <w:tblCellMar>
            <w:top w:w="0" w:type="dxa"/>
            <w:bottom w:w="0" w:type="dxa"/>
          </w:tblCellMar>
        </w:tblPrEx>
        <w:trPr>
          <w:cantSplit/>
        </w:trPr>
        <w:tc>
          <w:tcPr>
            <w:tcW w:w="2400" w:type="dxa"/>
            <w:tcMar>
              <w:top w:w="90" w:type="dxa"/>
              <w:left w:w="120" w:type="dxa"/>
              <w:bottom w:w="90" w:type="dxa"/>
              <w:right w:w="120" w:type="dxa"/>
            </w:tcMar>
          </w:tcPr>
          <w:p w14:paraId="76AF0FD6" w14:textId="77777777" w:rsidR="00B038AF" w:rsidRDefault="00000000">
            <w:pPr>
              <w:spacing w:line="250" w:lineRule="auto"/>
            </w:pPr>
            <w:r>
              <w:rPr>
                <w:b/>
                <w:bCs/>
                <w:sz w:val="16"/>
                <w:szCs w:val="16"/>
              </w:rPr>
              <w:t>The question being asked</w:t>
            </w:r>
          </w:p>
        </w:tc>
        <w:tc>
          <w:tcPr>
            <w:tcW w:w="3300" w:type="dxa"/>
            <w:tcMar>
              <w:top w:w="90" w:type="dxa"/>
              <w:left w:w="120" w:type="dxa"/>
              <w:bottom w:w="90" w:type="dxa"/>
              <w:right w:w="120" w:type="dxa"/>
            </w:tcMar>
          </w:tcPr>
          <w:p w14:paraId="34FF767C" w14:textId="77777777" w:rsidR="00B038AF" w:rsidRDefault="00000000">
            <w:pPr>
              <w:spacing w:line="250" w:lineRule="auto"/>
            </w:pPr>
            <w:r>
              <w:rPr>
                <w:sz w:val="16"/>
                <w:szCs w:val="16"/>
              </w:rPr>
              <w:t>Will this woman develop preeclampsia later in this pregnancy?</w:t>
            </w:r>
          </w:p>
        </w:tc>
        <w:tc>
          <w:tcPr>
            <w:tcW w:w="3320" w:type="dxa"/>
            <w:tcMar>
              <w:top w:w="90" w:type="dxa"/>
              <w:left w:w="120" w:type="dxa"/>
              <w:bottom w:w="90" w:type="dxa"/>
              <w:right w:w="120" w:type="dxa"/>
            </w:tcMar>
          </w:tcPr>
          <w:p w14:paraId="477142B2" w14:textId="77777777" w:rsidR="00B038AF" w:rsidRDefault="00000000">
            <w:pPr>
              <w:spacing w:line="250" w:lineRule="auto"/>
            </w:pPr>
            <w:r>
              <w:rPr>
                <w:sz w:val="16"/>
                <w:szCs w:val="16"/>
              </w:rPr>
              <w:t>Is this woman, who already has symptoms, about to develop it in the next few weeks?</w:t>
            </w:r>
          </w:p>
        </w:tc>
      </w:tr>
      <w:tr w:rsidR="00B038AF" w14:paraId="24AD4BE3" w14:textId="77777777">
        <w:tblPrEx>
          <w:tblCellMar>
            <w:top w:w="0" w:type="dxa"/>
            <w:bottom w:w="0" w:type="dxa"/>
          </w:tblCellMar>
        </w:tblPrEx>
        <w:trPr>
          <w:cantSplit/>
        </w:trPr>
        <w:tc>
          <w:tcPr>
            <w:tcW w:w="2400" w:type="dxa"/>
            <w:shd w:val="clear" w:color="auto" w:fill="FAF8F9"/>
            <w:tcMar>
              <w:top w:w="90" w:type="dxa"/>
              <w:left w:w="120" w:type="dxa"/>
              <w:bottom w:w="90" w:type="dxa"/>
              <w:right w:w="120" w:type="dxa"/>
            </w:tcMar>
          </w:tcPr>
          <w:p w14:paraId="4A8240F9" w14:textId="77777777" w:rsidR="00B038AF" w:rsidRDefault="00000000">
            <w:pPr>
              <w:spacing w:line="250" w:lineRule="auto"/>
            </w:pPr>
            <w:r>
              <w:rPr>
                <w:b/>
                <w:bCs/>
                <w:sz w:val="16"/>
                <w:szCs w:val="16"/>
              </w:rPr>
              <w:t>Which markers work</w:t>
            </w:r>
          </w:p>
        </w:tc>
        <w:tc>
          <w:tcPr>
            <w:tcW w:w="3300" w:type="dxa"/>
            <w:shd w:val="clear" w:color="auto" w:fill="FAF8F9"/>
            <w:tcMar>
              <w:top w:w="90" w:type="dxa"/>
              <w:left w:w="120" w:type="dxa"/>
              <w:bottom w:w="90" w:type="dxa"/>
              <w:right w:w="120" w:type="dxa"/>
            </w:tcMar>
          </w:tcPr>
          <w:p w14:paraId="02037876" w14:textId="77777777" w:rsidR="00B038AF" w:rsidRDefault="00000000">
            <w:pPr>
              <w:spacing w:line="250" w:lineRule="auto"/>
            </w:pPr>
            <w:proofErr w:type="spellStart"/>
            <w:r>
              <w:rPr>
                <w:sz w:val="16"/>
                <w:szCs w:val="16"/>
              </w:rPr>
              <w:t>PlGF</w:t>
            </w:r>
            <w:proofErr w:type="spellEnd"/>
            <w:r>
              <w:rPr>
                <w:sz w:val="16"/>
                <w:szCs w:val="16"/>
              </w:rPr>
              <w:t xml:space="preserve"> (low). PAPP-A and PP-13 have some signal. sFlt-1 does not work here</w:t>
            </w:r>
          </w:p>
        </w:tc>
        <w:tc>
          <w:tcPr>
            <w:tcW w:w="3320" w:type="dxa"/>
            <w:shd w:val="clear" w:color="auto" w:fill="FAF8F9"/>
            <w:tcMar>
              <w:top w:w="90" w:type="dxa"/>
              <w:left w:w="120" w:type="dxa"/>
              <w:bottom w:w="90" w:type="dxa"/>
              <w:right w:w="120" w:type="dxa"/>
            </w:tcMar>
          </w:tcPr>
          <w:p w14:paraId="5A30FED6" w14:textId="77777777" w:rsidR="00B038AF" w:rsidRDefault="00000000">
            <w:pPr>
              <w:spacing w:line="250" w:lineRule="auto"/>
            </w:pPr>
            <w:r>
              <w:rPr>
                <w:sz w:val="16"/>
                <w:szCs w:val="16"/>
              </w:rPr>
              <w:t>The sFlt-1/</w:t>
            </w:r>
            <w:proofErr w:type="spellStart"/>
            <w:r>
              <w:rPr>
                <w:sz w:val="16"/>
                <w:szCs w:val="16"/>
              </w:rPr>
              <w:t>PlGF</w:t>
            </w:r>
            <w:proofErr w:type="spellEnd"/>
            <w:r>
              <w:rPr>
                <w:sz w:val="16"/>
                <w:szCs w:val="16"/>
              </w:rPr>
              <w:t xml:space="preserve"> ratio</w:t>
            </w:r>
          </w:p>
        </w:tc>
      </w:tr>
      <w:tr w:rsidR="00B038AF" w14:paraId="40D8351C" w14:textId="77777777">
        <w:tblPrEx>
          <w:tblCellMar>
            <w:top w:w="0" w:type="dxa"/>
            <w:bottom w:w="0" w:type="dxa"/>
          </w:tblCellMar>
        </w:tblPrEx>
        <w:trPr>
          <w:cantSplit/>
        </w:trPr>
        <w:tc>
          <w:tcPr>
            <w:tcW w:w="2400" w:type="dxa"/>
            <w:tcMar>
              <w:top w:w="90" w:type="dxa"/>
              <w:left w:w="120" w:type="dxa"/>
              <w:bottom w:w="90" w:type="dxa"/>
              <w:right w:w="120" w:type="dxa"/>
            </w:tcMar>
          </w:tcPr>
          <w:p w14:paraId="2744FC6A" w14:textId="77777777" w:rsidR="00B038AF" w:rsidRDefault="00000000">
            <w:pPr>
              <w:spacing w:line="250" w:lineRule="auto"/>
            </w:pPr>
            <w:r>
              <w:rPr>
                <w:b/>
                <w:bCs/>
                <w:sz w:val="16"/>
                <w:szCs w:val="16"/>
              </w:rPr>
              <w:lastRenderedPageBreak/>
              <w:t>What it is used for</w:t>
            </w:r>
          </w:p>
        </w:tc>
        <w:tc>
          <w:tcPr>
            <w:tcW w:w="3300" w:type="dxa"/>
            <w:tcMar>
              <w:top w:w="90" w:type="dxa"/>
              <w:left w:w="120" w:type="dxa"/>
              <w:bottom w:w="90" w:type="dxa"/>
              <w:right w:w="120" w:type="dxa"/>
            </w:tcMar>
          </w:tcPr>
          <w:p w14:paraId="1C9423C9" w14:textId="77777777" w:rsidR="00B038AF" w:rsidRDefault="00000000">
            <w:pPr>
              <w:spacing w:line="250" w:lineRule="auto"/>
            </w:pPr>
            <w:r>
              <w:rPr>
                <w:sz w:val="16"/>
                <w:szCs w:val="16"/>
              </w:rPr>
              <w:t>Deciding whether to start aspirin before 16 weeks</w:t>
            </w:r>
          </w:p>
        </w:tc>
        <w:tc>
          <w:tcPr>
            <w:tcW w:w="3320" w:type="dxa"/>
            <w:tcMar>
              <w:top w:w="90" w:type="dxa"/>
              <w:left w:w="120" w:type="dxa"/>
              <w:bottom w:w="90" w:type="dxa"/>
              <w:right w:w="120" w:type="dxa"/>
            </w:tcMar>
          </w:tcPr>
          <w:p w14:paraId="7A2D8F1D" w14:textId="77777777" w:rsidR="00B038AF" w:rsidRDefault="00000000">
            <w:pPr>
              <w:spacing w:line="250" w:lineRule="auto"/>
            </w:pPr>
            <w:r>
              <w:rPr>
                <w:sz w:val="16"/>
                <w:szCs w:val="16"/>
              </w:rPr>
              <w:t>Ruling preeclampsia out over the next week, so a woman can safely be sent home</w:t>
            </w:r>
          </w:p>
        </w:tc>
      </w:tr>
      <w:tr w:rsidR="00B038AF" w14:paraId="57116DC3" w14:textId="77777777">
        <w:tblPrEx>
          <w:tblCellMar>
            <w:top w:w="0" w:type="dxa"/>
            <w:bottom w:w="0" w:type="dxa"/>
          </w:tblCellMar>
        </w:tblPrEx>
        <w:trPr>
          <w:cantSplit/>
        </w:trPr>
        <w:tc>
          <w:tcPr>
            <w:tcW w:w="2400" w:type="dxa"/>
            <w:shd w:val="clear" w:color="auto" w:fill="FAF8F9"/>
            <w:tcMar>
              <w:top w:w="90" w:type="dxa"/>
              <w:left w:w="120" w:type="dxa"/>
              <w:bottom w:w="90" w:type="dxa"/>
              <w:right w:w="120" w:type="dxa"/>
            </w:tcMar>
          </w:tcPr>
          <w:p w14:paraId="417A4A77" w14:textId="77777777" w:rsidR="00B038AF" w:rsidRDefault="00000000">
            <w:pPr>
              <w:spacing w:line="250" w:lineRule="auto"/>
            </w:pPr>
            <w:r>
              <w:rPr>
                <w:b/>
                <w:bCs/>
                <w:sz w:val="16"/>
                <w:szCs w:val="16"/>
              </w:rPr>
              <w:t>Typical performance</w:t>
            </w:r>
          </w:p>
        </w:tc>
        <w:tc>
          <w:tcPr>
            <w:tcW w:w="3300" w:type="dxa"/>
            <w:shd w:val="clear" w:color="auto" w:fill="FAF8F9"/>
            <w:tcMar>
              <w:top w:w="90" w:type="dxa"/>
              <w:left w:w="120" w:type="dxa"/>
              <w:bottom w:w="90" w:type="dxa"/>
              <w:right w:w="120" w:type="dxa"/>
            </w:tcMar>
          </w:tcPr>
          <w:p w14:paraId="0B87822A" w14:textId="77777777" w:rsidR="00B038AF" w:rsidRDefault="00000000">
            <w:pPr>
              <w:spacing w:line="250" w:lineRule="auto"/>
            </w:pPr>
            <w:r>
              <w:rPr>
                <w:sz w:val="16"/>
                <w:szCs w:val="16"/>
              </w:rPr>
              <w:t>As part of the FMF triple test: about 75% of preterm preeclampsia at 10% FPR [9]</w:t>
            </w:r>
          </w:p>
        </w:tc>
        <w:tc>
          <w:tcPr>
            <w:tcW w:w="3320" w:type="dxa"/>
            <w:shd w:val="clear" w:color="auto" w:fill="FAF8F9"/>
            <w:tcMar>
              <w:top w:w="90" w:type="dxa"/>
              <w:left w:w="120" w:type="dxa"/>
              <w:bottom w:w="90" w:type="dxa"/>
              <w:right w:w="120" w:type="dxa"/>
            </w:tcMar>
          </w:tcPr>
          <w:p w14:paraId="68992AF2" w14:textId="77777777" w:rsidR="00B038AF" w:rsidRDefault="00000000">
            <w:pPr>
              <w:spacing w:line="250" w:lineRule="auto"/>
            </w:pPr>
            <w:r>
              <w:rPr>
                <w:sz w:val="16"/>
                <w:szCs w:val="16"/>
              </w:rPr>
              <w:t>A ratio ≤38 gives a negative predictive value of about 99% over the following week [12]</w:t>
            </w:r>
          </w:p>
        </w:tc>
      </w:tr>
    </w:tbl>
    <w:p w14:paraId="52ACC89A" w14:textId="77777777" w:rsidR="00B038AF" w:rsidRDefault="00B038AF">
      <w:pPr>
        <w:spacing w:after="140"/>
      </w:pPr>
    </w:p>
    <w:p w14:paraId="499891F6" w14:textId="77777777" w:rsidR="00B038AF" w:rsidRDefault="00000000">
      <w:pPr>
        <w:spacing w:after="130" w:line="280" w:lineRule="auto"/>
      </w:pPr>
      <w:r>
        <w:t>The second column is prediction in the sense this project uses the word. The third column is triage of a woman who is already unwell, and belongs to the right-hand side of Figure 1.</w:t>
      </w:r>
    </w:p>
    <w:p w14:paraId="7D247849" w14:textId="77777777" w:rsidR="00B038AF" w:rsidRDefault="00000000">
      <w:pPr>
        <w:spacing w:before="300" w:after="110"/>
      </w:pPr>
      <w:proofErr w:type="gramStart"/>
      <w:r>
        <w:rPr>
          <w:b/>
          <w:bCs/>
          <w:color w:val="3B2F45"/>
          <w:sz w:val="24"/>
          <w:szCs w:val="24"/>
        </w:rPr>
        <w:t>5.4  What</w:t>
      </w:r>
      <w:proofErr w:type="gramEnd"/>
      <w:r>
        <w:rPr>
          <w:b/>
          <w:bCs/>
          <w:color w:val="3B2F45"/>
          <w:sz w:val="24"/>
          <w:szCs w:val="24"/>
        </w:rPr>
        <w:t xml:space="preserve"> none of them can do</w:t>
      </w:r>
    </w:p>
    <w:p w14:paraId="7B277443" w14:textId="77777777" w:rsidR="00B038AF" w:rsidRDefault="00000000">
      <w:pPr>
        <w:spacing w:after="130" w:line="280" w:lineRule="auto"/>
      </w:pPr>
      <w:r>
        <w:t xml:space="preserve">No biomarker diagnoses preeclampsia. A low </w:t>
      </w:r>
      <w:proofErr w:type="spellStart"/>
      <w:r>
        <w:t>PlGF</w:t>
      </w:r>
      <w:proofErr w:type="spellEnd"/>
      <w:r>
        <w:t xml:space="preserve"> at 12 weeks does not mean a woman has preeclampsia — she cannot have it at 12 weeks, by the definition in Part 1. It means her placenta is developing in a way that is associated with the disease appearing later. The diagnosis still requires the chain on the right of Figure 1: blood pressure after 20 weeks, plus proteinuria or organ dysfunction.</w:t>
      </w:r>
    </w:p>
    <w:p w14:paraId="33A43656" w14:textId="77777777" w:rsidR="00B038AF" w:rsidRDefault="00000000">
      <w:pPr>
        <w:spacing w:after="130" w:line="280" w:lineRule="auto"/>
      </w:pPr>
      <w:r>
        <w:t>And no biomarker is free. Every marker in Table 5.2 requires drawing blood and running an assay on a laboratory platform. That is a clinic capability, not an app capability.</w:t>
      </w:r>
    </w:p>
    <w:p w14:paraId="3DC54ECB" w14:textId="77777777" w:rsidR="00B038AF" w:rsidRDefault="00000000">
      <w:pPr>
        <w:spacing w:before="300" w:after="110"/>
      </w:pPr>
      <w:proofErr w:type="gramStart"/>
      <w:r>
        <w:rPr>
          <w:b/>
          <w:bCs/>
          <w:color w:val="3B2F45"/>
          <w:sz w:val="24"/>
          <w:szCs w:val="24"/>
        </w:rPr>
        <w:t>5.5  What</w:t>
      </w:r>
      <w:proofErr w:type="gramEnd"/>
      <w:r>
        <w:rPr>
          <w:b/>
          <w:bCs/>
          <w:color w:val="3B2F45"/>
          <w:sz w:val="24"/>
          <w:szCs w:val="24"/>
        </w:rPr>
        <w:t xml:space="preserve"> this means for Badira</w:t>
      </w:r>
    </w:p>
    <w:tbl>
      <w:tblPr>
        <w:tblW w:w="9020" w:type="dxa"/>
        <w:tblCellMar>
          <w:left w:w="10" w:type="dxa"/>
          <w:right w:w="10" w:type="dxa"/>
        </w:tblCellMar>
        <w:tblLook w:val="04A0" w:firstRow="1" w:lastRow="0" w:firstColumn="1" w:lastColumn="0" w:noHBand="0" w:noVBand="1"/>
      </w:tblPr>
      <w:tblGrid>
        <w:gridCol w:w="9020"/>
      </w:tblGrid>
      <w:tr w:rsidR="00B038AF" w14:paraId="2B9C09C2" w14:textId="77777777">
        <w:tblPrEx>
          <w:tblCellMar>
            <w:top w:w="0" w:type="dxa"/>
            <w:bottom w:w="0" w:type="dxa"/>
          </w:tblCellMar>
        </w:tblPrEx>
        <w:trPr>
          <w:cantSplit/>
        </w:trPr>
        <w:tc>
          <w:tcPr>
            <w:tcW w:w="9020" w:type="dxa"/>
            <w:tcBorders>
              <w:left w:val="single" w:sz="28" w:space="0" w:color="2F6FB5"/>
            </w:tcBorders>
            <w:shd w:val="clear" w:color="auto" w:fill="EAF2FA"/>
            <w:tcMar>
              <w:top w:w="200" w:type="dxa"/>
              <w:left w:w="260" w:type="dxa"/>
              <w:bottom w:w="200" w:type="dxa"/>
              <w:right w:w="240" w:type="dxa"/>
            </w:tcMar>
          </w:tcPr>
          <w:p w14:paraId="556C9B82" w14:textId="77777777" w:rsidR="00B038AF" w:rsidRDefault="00000000">
            <w:pPr>
              <w:spacing w:after="100" w:line="285" w:lineRule="auto"/>
            </w:pPr>
            <w:r>
              <w:rPr>
                <w:b/>
                <w:bCs/>
              </w:rPr>
              <w:t>Badira does not measure biomarkers, and this report does not claim it will.</w:t>
            </w:r>
          </w:p>
          <w:p w14:paraId="4296BB4B" w14:textId="77777777" w:rsidR="00B038AF" w:rsidRDefault="00000000">
            <w:pPr>
              <w:spacing w:line="285" w:lineRule="auto"/>
            </w:pPr>
            <w:r>
              <w:t>Every biomarker above sits outside the dashed outline in Figure 1. Badira works with the two inputs that are on the near side of that line — history and blood pressure — and the reason Part 5 is in this report is not to propose adding biomarkers. It is to make the boundary explicit, so that no reader assumes a capability the project does not have.</w:t>
            </w:r>
          </w:p>
        </w:tc>
      </w:tr>
    </w:tbl>
    <w:p w14:paraId="6407E3EC" w14:textId="492E0A5D" w:rsidR="00B038AF" w:rsidRDefault="00000000" w:rsidP="00D70A7B">
      <w:r>
        <w:br w:type="page"/>
      </w:r>
    </w:p>
    <w:p w14:paraId="32BDBE9E" w14:textId="77777777" w:rsidR="00B038AF" w:rsidRDefault="00000000">
      <w:pPr>
        <w:pBdr>
          <w:bottom w:val="single" w:sz="8" w:space="6" w:color="D8D0D6"/>
        </w:pBdr>
        <w:spacing w:before="400" w:after="150"/>
      </w:pPr>
      <w:r>
        <w:rPr>
          <w:b/>
          <w:bCs/>
          <w:color w:val="4B3A5A"/>
          <w:sz w:val="30"/>
          <w:szCs w:val="30"/>
        </w:rPr>
        <w:lastRenderedPageBreak/>
        <w:t>Sources</w:t>
      </w:r>
    </w:p>
    <w:p w14:paraId="34467FC0" w14:textId="77777777" w:rsidR="00B038AF" w:rsidRDefault="00000000">
      <w:pPr>
        <w:spacing w:after="130" w:line="280" w:lineRule="auto"/>
      </w:pPr>
      <w:r>
        <w:rPr>
          <w:i/>
          <w:iCs/>
          <w:color w:val="6E6478"/>
        </w:rPr>
        <w:t xml:space="preserve">Sources 1–8 are the guideline and </w:t>
      </w:r>
      <w:proofErr w:type="spellStart"/>
      <w:r>
        <w:rPr>
          <w:i/>
          <w:iCs/>
          <w:color w:val="6E6478"/>
        </w:rPr>
        <w:t>organisation</w:t>
      </w:r>
      <w:proofErr w:type="spellEnd"/>
      <w:r>
        <w:rPr>
          <w:i/>
          <w:iCs/>
          <w:color w:val="6E6478"/>
        </w:rPr>
        <w:t xml:space="preserve"> documents used in Parts 1–3 and were read directly. Sources 9–13 supply the performance figures quoted in Parts 3–5 and were obtained through published summaries rather than the full texts; each should be confirmed against the primary paper before it is quoted in a </w:t>
      </w:r>
      <w:proofErr w:type="spellStart"/>
      <w:r>
        <w:rPr>
          <w:i/>
          <w:iCs/>
          <w:color w:val="6E6478"/>
        </w:rPr>
        <w:t>defence</w:t>
      </w:r>
      <w:proofErr w:type="spellEnd"/>
      <w:r>
        <w:rPr>
          <w:i/>
          <w:iCs/>
          <w:color w:val="6E6478"/>
        </w:rPr>
        <w:t>.</w:t>
      </w:r>
    </w:p>
    <w:p w14:paraId="0F9FC61D" w14:textId="77777777" w:rsidR="00B038AF" w:rsidRDefault="00B038AF">
      <w:pPr>
        <w:spacing w:after="60"/>
      </w:pPr>
    </w:p>
    <w:p w14:paraId="7F800672" w14:textId="77777777" w:rsidR="00B038AF" w:rsidRDefault="00000000">
      <w:pPr>
        <w:spacing w:before="230" w:after="90"/>
      </w:pPr>
      <w:r>
        <w:rPr>
          <w:b/>
          <w:bCs/>
          <w:color w:val="6B5780"/>
          <w:sz w:val="21"/>
          <w:szCs w:val="21"/>
        </w:rPr>
        <w:t>Clinical definition (Part 1)</w:t>
      </w:r>
    </w:p>
    <w:p w14:paraId="6D84414B" w14:textId="77777777" w:rsidR="00B038AF" w:rsidRDefault="00000000">
      <w:pPr>
        <w:spacing w:after="80" w:line="270" w:lineRule="auto"/>
        <w:ind w:left="400" w:hanging="260"/>
      </w:pPr>
      <w:r>
        <w:rPr>
          <w:b/>
          <w:bCs/>
          <w:color w:val="6B5780"/>
        </w:rPr>
        <w:t xml:space="preserve">1.   </w:t>
      </w:r>
      <w:r>
        <w:t>American College of Obstetricians and Gynecologists. Gestational Hypertension and Preeclampsia. Practice Bulletin No. 222. Obstetrics &amp; Gynecology. 2020.</w:t>
      </w:r>
    </w:p>
    <w:p w14:paraId="05C9BA15" w14:textId="77777777" w:rsidR="00B038AF" w:rsidRDefault="00000000">
      <w:pPr>
        <w:spacing w:after="80" w:line="270" w:lineRule="auto"/>
        <w:ind w:left="400" w:hanging="260"/>
      </w:pPr>
      <w:r>
        <w:rPr>
          <w:b/>
          <w:bCs/>
          <w:color w:val="6B5780"/>
        </w:rPr>
        <w:t xml:space="preserve">2.   </w:t>
      </w:r>
      <w:r>
        <w:t>National Institute for Health and Care Excellence. Hypertension in pregnancy: diagnosis and management. NICE Guideline NG133.</w:t>
      </w:r>
    </w:p>
    <w:p w14:paraId="26F47765" w14:textId="77777777" w:rsidR="00B038AF" w:rsidRDefault="00000000">
      <w:pPr>
        <w:spacing w:after="80" w:line="270" w:lineRule="auto"/>
        <w:ind w:left="400" w:hanging="260"/>
      </w:pPr>
      <w:r>
        <w:rPr>
          <w:b/>
          <w:bCs/>
          <w:color w:val="6B5780"/>
        </w:rPr>
        <w:t xml:space="preserve">3.   </w:t>
      </w:r>
      <w:r>
        <w:t xml:space="preserve">International Society for the Study of Hypertension in Pregnancy. Magee LA, Brown MA, Hall DR, et al. The 2021 ISSHP classification, diagnosis &amp; management recommendations for international practice. Pregnancy Hypertension. </w:t>
      </w:r>
      <w:proofErr w:type="gramStart"/>
      <w:r>
        <w:t>2022;27:148</w:t>
      </w:r>
      <w:proofErr w:type="gramEnd"/>
      <w:r>
        <w:t>–169.</w:t>
      </w:r>
    </w:p>
    <w:p w14:paraId="0B952746" w14:textId="77777777" w:rsidR="00B038AF" w:rsidRDefault="00000000">
      <w:pPr>
        <w:spacing w:before="230" w:after="90"/>
      </w:pPr>
      <w:r>
        <w:rPr>
          <w:b/>
          <w:bCs/>
          <w:color w:val="6B5780"/>
          <w:sz w:val="21"/>
          <w:szCs w:val="21"/>
        </w:rPr>
        <w:t>Risk-factor screening (Part 2)</w:t>
      </w:r>
    </w:p>
    <w:p w14:paraId="74106A24" w14:textId="77777777" w:rsidR="00B038AF" w:rsidRDefault="00000000">
      <w:pPr>
        <w:spacing w:after="80" w:line="270" w:lineRule="auto"/>
        <w:ind w:left="400" w:hanging="260"/>
      </w:pPr>
      <w:r>
        <w:rPr>
          <w:b/>
          <w:bCs/>
          <w:color w:val="6B5780"/>
        </w:rPr>
        <w:t xml:space="preserve">4.   </w:t>
      </w:r>
      <w:r>
        <w:t>SMFM Special Statement: Checklists for Preeclampsia Risk-Factor Screening to Guide Recommendations for Prophylactic Low-Dose Aspirin. 2020.</w:t>
      </w:r>
    </w:p>
    <w:p w14:paraId="34C4CC62" w14:textId="77777777" w:rsidR="00B038AF" w:rsidRDefault="00000000">
      <w:pPr>
        <w:spacing w:after="80" w:line="270" w:lineRule="auto"/>
        <w:ind w:left="400" w:hanging="260"/>
      </w:pPr>
      <w:r>
        <w:rPr>
          <w:b/>
          <w:bCs/>
          <w:color w:val="6B5780"/>
        </w:rPr>
        <w:t xml:space="preserve">5.   </w:t>
      </w:r>
      <w:r>
        <w:t>ACOG/SMFM Practice Advisory: Low-Dose Aspirin Use for the Prevention of Preeclampsia and Related Morbidity and Mortality. 2021.</w:t>
      </w:r>
    </w:p>
    <w:p w14:paraId="7CE19541" w14:textId="77777777" w:rsidR="00B038AF" w:rsidRDefault="00000000">
      <w:pPr>
        <w:spacing w:after="80" w:line="270" w:lineRule="auto"/>
        <w:ind w:left="400" w:hanging="260"/>
      </w:pPr>
      <w:r>
        <w:rPr>
          <w:b/>
          <w:bCs/>
          <w:color w:val="6B5780"/>
        </w:rPr>
        <w:t xml:space="preserve">6.   </w:t>
      </w:r>
      <w:r>
        <w:t>SMFM Special Statement: Updated Checklists for Preeclampsia Risk-Factor Screening to Guide Recommendations for Prophylactic Low-Dose Aspirin. 2026.</w:t>
      </w:r>
    </w:p>
    <w:p w14:paraId="7527CDA7" w14:textId="77777777" w:rsidR="00B038AF" w:rsidRDefault="00000000">
      <w:pPr>
        <w:spacing w:before="230" w:after="90"/>
      </w:pPr>
      <w:r>
        <w:rPr>
          <w:b/>
          <w:bCs/>
          <w:color w:val="6B5780"/>
          <w:sz w:val="21"/>
          <w:szCs w:val="21"/>
        </w:rPr>
        <w:t>FMF screening (Part 3)</w:t>
      </w:r>
    </w:p>
    <w:p w14:paraId="1309875E" w14:textId="77777777" w:rsidR="00B038AF" w:rsidRDefault="00000000">
      <w:pPr>
        <w:spacing w:after="80" w:line="270" w:lineRule="auto"/>
        <w:ind w:left="400" w:hanging="260"/>
      </w:pPr>
      <w:r>
        <w:rPr>
          <w:b/>
          <w:bCs/>
          <w:color w:val="6B5780"/>
        </w:rPr>
        <w:t xml:space="preserve">7.   </w:t>
      </w:r>
      <w:r>
        <w:t>Fetal Medicine Foundation — Preeclampsia Screening / Certification.</w:t>
      </w:r>
    </w:p>
    <w:p w14:paraId="6F9AD2D3" w14:textId="77777777" w:rsidR="00B038AF" w:rsidRDefault="00000000">
      <w:pPr>
        <w:spacing w:after="80" w:line="270" w:lineRule="auto"/>
        <w:ind w:left="400" w:hanging="260"/>
      </w:pPr>
      <w:r>
        <w:rPr>
          <w:b/>
          <w:bCs/>
          <w:color w:val="6B5780"/>
        </w:rPr>
        <w:t xml:space="preserve">8.   </w:t>
      </w:r>
      <w:r>
        <w:t>Fetal Medicine Foundation — Assessment of Risk for Preeclampsia.</w:t>
      </w:r>
    </w:p>
    <w:p w14:paraId="2196D2E7" w14:textId="77777777" w:rsidR="00B038AF" w:rsidRDefault="00000000">
      <w:pPr>
        <w:spacing w:before="230" w:after="90"/>
      </w:pPr>
      <w:r>
        <w:rPr>
          <w:b/>
          <w:bCs/>
          <w:color w:val="6B5780"/>
          <w:sz w:val="21"/>
          <w:szCs w:val="21"/>
        </w:rPr>
        <w:t>Performance figures (Parts 3–5)</w:t>
      </w:r>
    </w:p>
    <w:p w14:paraId="3225B146" w14:textId="77777777" w:rsidR="00B038AF" w:rsidRDefault="00000000">
      <w:pPr>
        <w:spacing w:after="80" w:line="270" w:lineRule="auto"/>
        <w:ind w:left="400" w:hanging="260"/>
      </w:pPr>
      <w:r>
        <w:rPr>
          <w:b/>
          <w:bCs/>
          <w:color w:val="6B5780"/>
        </w:rPr>
        <w:t xml:space="preserve">9.   </w:t>
      </w:r>
      <w:r>
        <w:t>O’Gorman N, Wright D, Poon LC, et al. Accuracy of competing-risks model in screening for pre-eclampsia by maternal factors and biomarkers at 11–13 weeks’ gestation. Ultrasound in Obstetrics &amp; Gynecology. 2017.</w:t>
      </w:r>
    </w:p>
    <w:p w14:paraId="6B0E9D99" w14:textId="77777777" w:rsidR="00B038AF" w:rsidRDefault="00000000">
      <w:pPr>
        <w:spacing w:after="80" w:line="270" w:lineRule="auto"/>
        <w:ind w:left="400" w:hanging="260"/>
      </w:pPr>
      <w:r>
        <w:rPr>
          <w:b/>
          <w:bCs/>
          <w:color w:val="6B5780"/>
        </w:rPr>
        <w:t xml:space="preserve">10.   </w:t>
      </w:r>
      <w:r>
        <w:t xml:space="preserve">Rolnik DL, Wright D, Poon LC, et al. Aspirin versus placebo in pregnancies at high risk for preterm preeclampsia (ASPRE). New England Journal of Medicine. </w:t>
      </w:r>
      <w:proofErr w:type="gramStart"/>
      <w:r>
        <w:t>2017;377:613</w:t>
      </w:r>
      <w:proofErr w:type="gramEnd"/>
      <w:r>
        <w:t>–622.</w:t>
      </w:r>
    </w:p>
    <w:p w14:paraId="2AC0E840" w14:textId="77777777" w:rsidR="00B038AF" w:rsidRDefault="00000000">
      <w:pPr>
        <w:spacing w:after="80" w:line="270" w:lineRule="auto"/>
        <w:ind w:left="400" w:hanging="260"/>
      </w:pPr>
      <w:r>
        <w:rPr>
          <w:b/>
          <w:bCs/>
          <w:color w:val="6B5780"/>
        </w:rPr>
        <w:t xml:space="preserve">11.   </w:t>
      </w:r>
      <w:proofErr w:type="spellStart"/>
      <w:r>
        <w:t>Chaemsaithong</w:t>
      </w:r>
      <w:proofErr w:type="spellEnd"/>
      <w:r>
        <w:t xml:space="preserve"> P, Sahota DS, Poon LC. First trimester preeclampsia screening and prediction. American Journal of Obstetrics and Gynecology. 2022;226(2S</w:t>
      </w:r>
      <w:proofErr w:type="gramStart"/>
      <w:r>
        <w:t>):S</w:t>
      </w:r>
      <w:proofErr w:type="gramEnd"/>
      <w:r>
        <w:t>1071–S1097.</w:t>
      </w:r>
    </w:p>
    <w:p w14:paraId="459AA7DB" w14:textId="77777777" w:rsidR="00B038AF" w:rsidRDefault="00000000">
      <w:pPr>
        <w:spacing w:after="80" w:line="270" w:lineRule="auto"/>
        <w:ind w:left="400" w:hanging="260"/>
      </w:pPr>
      <w:r>
        <w:rPr>
          <w:b/>
          <w:bCs/>
          <w:color w:val="6B5780"/>
        </w:rPr>
        <w:t xml:space="preserve">12.   </w:t>
      </w:r>
      <w:r>
        <w:t xml:space="preserve">Zeisler H, </w:t>
      </w:r>
      <w:proofErr w:type="spellStart"/>
      <w:r>
        <w:t>Llurba</w:t>
      </w:r>
      <w:proofErr w:type="spellEnd"/>
      <w:r>
        <w:t xml:space="preserve"> E, </w:t>
      </w:r>
      <w:proofErr w:type="spellStart"/>
      <w:r>
        <w:t>Chantraine</w:t>
      </w:r>
      <w:proofErr w:type="spellEnd"/>
      <w:r>
        <w:t xml:space="preserve"> F, et al. Predictive value of the sFlt-</w:t>
      </w:r>
      <w:proofErr w:type="gramStart"/>
      <w:r>
        <w:t>1:PlGF</w:t>
      </w:r>
      <w:proofErr w:type="gramEnd"/>
      <w:r>
        <w:t xml:space="preserve"> ratio in women with suspected preeclampsia. New England Journal of Medicine. </w:t>
      </w:r>
      <w:proofErr w:type="gramStart"/>
      <w:r>
        <w:t>2016;374:13</w:t>
      </w:r>
      <w:proofErr w:type="gramEnd"/>
      <w:r>
        <w:t>–22.</w:t>
      </w:r>
    </w:p>
    <w:p w14:paraId="592656C5" w14:textId="77777777" w:rsidR="00B038AF" w:rsidRDefault="00000000">
      <w:pPr>
        <w:spacing w:after="80" w:line="270" w:lineRule="auto"/>
        <w:ind w:left="400" w:hanging="260"/>
      </w:pPr>
      <w:r>
        <w:rPr>
          <w:b/>
          <w:bCs/>
          <w:color w:val="6B5780"/>
        </w:rPr>
        <w:t xml:space="preserve">13.   </w:t>
      </w:r>
      <w:r>
        <w:t>Externally validated prediction models for pre-eclampsia: systematic review and meta-analysis. Ultrasound in Obstetrics &amp; Gynecology. (Source of the FMF vs Fetal Medicine Barcelona comparison and the machine-learning comparisons quoted in section 3.6.)</w:t>
      </w:r>
    </w:p>
    <w:p w14:paraId="3E31C26A" w14:textId="77777777" w:rsidR="00B038AF" w:rsidRDefault="00000000">
      <w:pPr>
        <w:spacing w:after="130" w:line="280" w:lineRule="auto"/>
      </w:pPr>
      <w:r>
        <w:rPr>
          <w:i/>
          <w:iCs/>
          <w:color w:val="6E6478"/>
          <w:sz w:val="17"/>
          <w:szCs w:val="17"/>
        </w:rPr>
        <w:t>Prepared for Task 1, Senior Project I. The three research documents this report combines — the clinical definition, the risk-factor checklist and the FMF screening notes — are reproduced here in full; no content from them has been removed or rewritten.</w:t>
      </w:r>
    </w:p>
    <w:sectPr w:rsidR="00B038AF">
      <w:footerReference w:type="default" r:id="rId8"/>
      <w:pgSz w:w="11906" w:h="16838"/>
      <w:pgMar w:top="11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35D39" w14:textId="77777777" w:rsidR="004F2D9C" w:rsidRDefault="004F2D9C">
      <w:r>
        <w:separator/>
      </w:r>
    </w:p>
  </w:endnote>
  <w:endnote w:type="continuationSeparator" w:id="0">
    <w:p w14:paraId="1773DCF1" w14:textId="77777777" w:rsidR="004F2D9C" w:rsidRDefault="004F2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EDF8" w14:textId="77777777" w:rsidR="00B038AF" w:rsidRDefault="00000000">
    <w:pPr>
      <w:jc w:val="center"/>
    </w:pPr>
    <w:r>
      <w:rPr>
        <w:color w:val="6E6478"/>
        <w:sz w:val="15"/>
        <w:szCs w:val="15"/>
      </w:rPr>
      <w:t xml:space="preserve">BADIRA · Task 1 · Predicting and Preventing Preeclampsia   —   </w:t>
    </w:r>
    <w:r>
      <w:rPr>
        <w:color w:val="6E6478"/>
        <w:sz w:val="15"/>
        <w:szCs w:val="15"/>
      </w:rPr>
      <w:fldChar w:fldCharType="begin"/>
    </w:r>
    <w:r>
      <w:rPr>
        <w:color w:val="6E6478"/>
        <w:sz w:val="15"/>
        <w:szCs w:val="15"/>
      </w:rPr>
      <w:instrText>PAGE</w:instrText>
    </w:r>
    <w:r>
      <w:rPr>
        <w:color w:val="6E6478"/>
        <w:sz w:val="15"/>
        <w:szCs w:val="15"/>
      </w:rPr>
      <w:fldChar w:fldCharType="separate"/>
    </w:r>
    <w:r w:rsidR="00363CFE">
      <w:rPr>
        <w:noProof/>
        <w:color w:val="6E6478"/>
        <w:sz w:val="15"/>
        <w:szCs w:val="15"/>
      </w:rPr>
      <w:t>1</w:t>
    </w:r>
    <w:r>
      <w:rPr>
        <w:color w:val="6E647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E3448" w14:textId="77777777" w:rsidR="004F2D9C" w:rsidRDefault="004F2D9C">
      <w:r>
        <w:separator/>
      </w:r>
    </w:p>
  </w:footnote>
  <w:footnote w:type="continuationSeparator" w:id="0">
    <w:p w14:paraId="4490280F" w14:textId="77777777" w:rsidR="004F2D9C" w:rsidRDefault="004F2D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46AFE"/>
    <w:multiLevelType w:val="hybridMultilevel"/>
    <w:tmpl w:val="C5B4FDE2"/>
    <w:lvl w:ilvl="0" w:tplc="56D45D98">
      <w:start w:val="1"/>
      <w:numFmt w:val="bullet"/>
      <w:lvlText w:val="●"/>
      <w:lvlJc w:val="left"/>
      <w:pPr>
        <w:ind w:left="720" w:hanging="360"/>
      </w:pPr>
    </w:lvl>
    <w:lvl w:ilvl="1" w:tplc="F06E54A0">
      <w:start w:val="1"/>
      <w:numFmt w:val="bullet"/>
      <w:lvlText w:val="○"/>
      <w:lvlJc w:val="left"/>
      <w:pPr>
        <w:ind w:left="1440" w:hanging="360"/>
      </w:pPr>
    </w:lvl>
    <w:lvl w:ilvl="2" w:tplc="0478AA80">
      <w:start w:val="1"/>
      <w:numFmt w:val="bullet"/>
      <w:lvlText w:val="■"/>
      <w:lvlJc w:val="left"/>
      <w:pPr>
        <w:ind w:left="2160" w:hanging="360"/>
      </w:pPr>
    </w:lvl>
    <w:lvl w:ilvl="3" w:tplc="9E080D76">
      <w:start w:val="1"/>
      <w:numFmt w:val="bullet"/>
      <w:lvlText w:val="●"/>
      <w:lvlJc w:val="left"/>
      <w:pPr>
        <w:ind w:left="2880" w:hanging="360"/>
      </w:pPr>
    </w:lvl>
    <w:lvl w:ilvl="4" w:tplc="C4E4D87C">
      <w:start w:val="1"/>
      <w:numFmt w:val="bullet"/>
      <w:lvlText w:val="○"/>
      <w:lvlJc w:val="left"/>
      <w:pPr>
        <w:ind w:left="3600" w:hanging="360"/>
      </w:pPr>
    </w:lvl>
    <w:lvl w:ilvl="5" w:tplc="BAC8F988">
      <w:start w:val="1"/>
      <w:numFmt w:val="bullet"/>
      <w:lvlText w:val="■"/>
      <w:lvlJc w:val="left"/>
      <w:pPr>
        <w:ind w:left="4320" w:hanging="360"/>
      </w:pPr>
    </w:lvl>
    <w:lvl w:ilvl="6" w:tplc="6FDA6008">
      <w:start w:val="1"/>
      <w:numFmt w:val="bullet"/>
      <w:lvlText w:val="●"/>
      <w:lvlJc w:val="left"/>
      <w:pPr>
        <w:ind w:left="5040" w:hanging="360"/>
      </w:pPr>
    </w:lvl>
    <w:lvl w:ilvl="7" w:tplc="6F38443E">
      <w:start w:val="1"/>
      <w:numFmt w:val="bullet"/>
      <w:lvlText w:val="●"/>
      <w:lvlJc w:val="left"/>
      <w:pPr>
        <w:ind w:left="5760" w:hanging="360"/>
      </w:pPr>
    </w:lvl>
    <w:lvl w:ilvl="8" w:tplc="7CE62748">
      <w:start w:val="1"/>
      <w:numFmt w:val="bullet"/>
      <w:lvlText w:val="●"/>
      <w:lvlJc w:val="left"/>
      <w:pPr>
        <w:ind w:left="6480" w:hanging="360"/>
      </w:pPr>
    </w:lvl>
  </w:abstractNum>
  <w:num w:numId="1" w16cid:durableId="7536301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8AF"/>
    <w:rsid w:val="00363CFE"/>
    <w:rsid w:val="004F2D9C"/>
    <w:rsid w:val="00B038AF"/>
    <w:rsid w:val="00B71ED6"/>
    <w:rsid w:val="00D70A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43C57"/>
  <w15:docId w15:val="{688FAC0C-8AA4-450C-B937-AE040CDB0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2B253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17</Pages>
  <Words>5812</Words>
  <Characters>33134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dana mounayer</cp:lastModifiedBy>
  <cp:revision>1</cp:revision>
  <dcterms:created xsi:type="dcterms:W3CDTF">2026-09-29T22:47:00Z</dcterms:created>
  <dcterms:modified xsi:type="dcterms:W3CDTF">2026-09-29T23:03:00Z</dcterms:modified>
</cp:coreProperties>
</file>