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7DAA4" w14:textId="77777777" w:rsidR="00A45CEB" w:rsidRDefault="00000000">
      <w:pPr>
        <w:spacing w:after="40"/>
      </w:pPr>
      <w:proofErr w:type="gramStart"/>
      <w:r>
        <w:rPr>
          <w:b/>
          <w:bCs/>
          <w:color w:val="A796B5"/>
          <w:spacing w:val="30"/>
          <w:sz w:val="17"/>
          <w:szCs w:val="17"/>
        </w:rPr>
        <w:t>BADIRA  ·</w:t>
      </w:r>
      <w:proofErr w:type="gramEnd"/>
      <w:r>
        <w:rPr>
          <w:b/>
          <w:bCs/>
          <w:color w:val="A796B5"/>
          <w:spacing w:val="30"/>
          <w:sz w:val="17"/>
          <w:szCs w:val="17"/>
        </w:rPr>
        <w:t xml:space="preserve">  WEEK 1 OF </w:t>
      </w:r>
      <w:proofErr w:type="gramStart"/>
      <w:r>
        <w:rPr>
          <w:b/>
          <w:bCs/>
          <w:color w:val="A796B5"/>
          <w:spacing w:val="30"/>
          <w:sz w:val="17"/>
          <w:szCs w:val="17"/>
        </w:rPr>
        <w:t>4  ·</w:t>
      </w:r>
      <w:proofErr w:type="gramEnd"/>
      <w:r>
        <w:rPr>
          <w:b/>
          <w:bCs/>
          <w:color w:val="A796B5"/>
          <w:spacing w:val="30"/>
          <w:sz w:val="17"/>
          <w:szCs w:val="17"/>
        </w:rPr>
        <w:t xml:space="preserve">  TASK 2</w:t>
      </w:r>
    </w:p>
    <w:p w14:paraId="58AB9D18" w14:textId="77777777" w:rsidR="00A45CEB" w:rsidRDefault="00000000">
      <w:pPr>
        <w:spacing w:after="70"/>
      </w:pPr>
      <w:r>
        <w:rPr>
          <w:b/>
          <w:bCs/>
          <w:color w:val="4B3A5A"/>
          <w:sz w:val="40"/>
          <w:szCs w:val="40"/>
        </w:rPr>
        <w:t>Finding the Data</w:t>
      </w:r>
    </w:p>
    <w:p w14:paraId="4AB6818D" w14:textId="77777777" w:rsidR="00A45CEB" w:rsidRDefault="00000000">
      <w:pPr>
        <w:pBdr>
          <w:bottom w:val="single" w:sz="12" w:space="8" w:color="4B3A5A"/>
        </w:pBdr>
        <w:spacing w:after="200"/>
      </w:pPr>
      <w:r>
        <w:rPr>
          <w:i/>
          <w:iCs/>
          <w:color w:val="6E6478"/>
          <w:sz w:val="21"/>
          <w:szCs w:val="21"/>
        </w:rPr>
        <w:t>Candidate datasets for the preeclampsia task, assessed and ranked</w:t>
      </w:r>
    </w:p>
    <w:p w14:paraId="5694E446" w14:textId="77777777" w:rsidR="00A45CEB" w:rsidRDefault="00000000">
      <w:pPr>
        <w:spacing w:after="240" w:line="280" w:lineRule="auto"/>
      </w:pPr>
      <w:r>
        <w:rPr>
          <w:color w:val="6E6478"/>
          <w:sz w:val="19"/>
          <w:szCs w:val="19"/>
        </w:rPr>
        <w:t xml:space="preserve">Dana Al Mounayer &amp; </w:t>
      </w:r>
      <w:proofErr w:type="spellStart"/>
      <w:r>
        <w:rPr>
          <w:color w:val="6E6478"/>
          <w:sz w:val="19"/>
          <w:szCs w:val="19"/>
        </w:rPr>
        <w:t>Jwdee</w:t>
      </w:r>
      <w:proofErr w:type="spellEnd"/>
      <w:r>
        <w:rPr>
          <w:color w:val="6E6478"/>
          <w:sz w:val="19"/>
          <w:szCs w:val="19"/>
        </w:rPr>
        <w:t xml:space="preserve"> </w:t>
      </w:r>
      <w:proofErr w:type="spellStart"/>
      <w:proofErr w:type="gramStart"/>
      <w:r>
        <w:rPr>
          <w:color w:val="6E6478"/>
          <w:sz w:val="19"/>
          <w:szCs w:val="19"/>
        </w:rPr>
        <w:t>Alimam</w:t>
      </w:r>
      <w:proofErr w:type="spellEnd"/>
      <w:r>
        <w:rPr>
          <w:color w:val="6E6478"/>
          <w:sz w:val="19"/>
          <w:szCs w:val="19"/>
        </w:rPr>
        <w:t xml:space="preserve">  ·</w:t>
      </w:r>
      <w:proofErr w:type="gramEnd"/>
      <w:r>
        <w:rPr>
          <w:color w:val="6E6478"/>
          <w:sz w:val="19"/>
          <w:szCs w:val="19"/>
        </w:rPr>
        <w:t xml:space="preserve">  Supervisor: Dr. Naila </w:t>
      </w:r>
      <w:proofErr w:type="spellStart"/>
      <w:proofErr w:type="gramStart"/>
      <w:r>
        <w:rPr>
          <w:color w:val="6E6478"/>
          <w:sz w:val="19"/>
          <w:szCs w:val="19"/>
        </w:rPr>
        <w:t>Marir</w:t>
      </w:r>
      <w:proofErr w:type="spellEnd"/>
      <w:r>
        <w:rPr>
          <w:color w:val="6E6478"/>
          <w:sz w:val="19"/>
          <w:szCs w:val="19"/>
        </w:rPr>
        <w:t xml:space="preserve">  ·</w:t>
      </w:r>
      <w:proofErr w:type="gramEnd"/>
      <w:r>
        <w:rPr>
          <w:color w:val="6E6478"/>
          <w:sz w:val="19"/>
          <w:szCs w:val="19"/>
        </w:rPr>
        <w:t xml:space="preserve">  Clinical collaborator: Dr. Rania</w:t>
      </w:r>
    </w:p>
    <w:tbl>
      <w:tblPr>
        <w:tblW w:w="9020" w:type="dxa"/>
        <w:tblCellMar>
          <w:left w:w="10" w:type="dxa"/>
          <w:right w:w="10" w:type="dxa"/>
        </w:tblCellMar>
        <w:tblLook w:val="04A0" w:firstRow="1" w:lastRow="0" w:firstColumn="1" w:lastColumn="0" w:noHBand="0" w:noVBand="1"/>
      </w:tblPr>
      <w:tblGrid>
        <w:gridCol w:w="9020"/>
      </w:tblGrid>
      <w:tr w:rsidR="00A45CEB" w14:paraId="753044FB" w14:textId="77777777">
        <w:trPr>
          <w:cantSplit/>
        </w:trPr>
        <w:tc>
          <w:tcPr>
            <w:tcW w:w="9020" w:type="dxa"/>
            <w:tcBorders>
              <w:left w:val="single" w:sz="28" w:space="0" w:color="4B3A5A"/>
            </w:tcBorders>
            <w:shd w:val="clear" w:color="auto" w:fill="F3EFF5"/>
            <w:tcMar>
              <w:top w:w="200" w:type="dxa"/>
              <w:left w:w="260" w:type="dxa"/>
              <w:bottom w:w="200" w:type="dxa"/>
              <w:right w:w="240" w:type="dxa"/>
            </w:tcMar>
          </w:tcPr>
          <w:p w14:paraId="29063A68" w14:textId="77777777" w:rsidR="00A45CEB" w:rsidRDefault="00000000">
            <w:pPr>
              <w:spacing w:after="100" w:line="285" w:lineRule="auto"/>
            </w:pPr>
            <w:r>
              <w:rPr>
                <w:b/>
                <w:bCs/>
                <w:color w:val="4B3A5A"/>
                <w:sz w:val="18"/>
                <w:szCs w:val="18"/>
              </w:rPr>
              <w:t>HEADLINE FINDING</w:t>
            </w:r>
          </w:p>
          <w:p w14:paraId="6EFB6D9D" w14:textId="77777777" w:rsidR="00A45CEB" w:rsidRDefault="00000000">
            <w:pPr>
              <w:spacing w:after="100" w:line="285" w:lineRule="auto"/>
            </w:pPr>
            <w:r>
              <w:rPr>
                <w:b/>
                <w:bCs/>
              </w:rPr>
              <w:t xml:space="preserve">Three of the strongest datasets — nuMoM2b [1], MFMU HRA [2] and MFMU LRA [3] — are all available through the same repository, the NICHD Data and Specimen Hub (DASH) [9]. One application, one Data Use Agreement [10] and one </w:t>
            </w:r>
            <w:proofErr w:type="spellStart"/>
            <w:r>
              <w:rPr>
                <w:b/>
                <w:bCs/>
              </w:rPr>
              <w:t>authorised</w:t>
            </w:r>
            <w:proofErr w:type="spellEnd"/>
            <w:r>
              <w:rPr>
                <w:b/>
                <w:bCs/>
              </w:rPr>
              <w:t xml:space="preserve"> university signature [11] reach all three.</w:t>
            </w:r>
          </w:p>
          <w:p w14:paraId="3EA904F7" w14:textId="77777777" w:rsidR="00A45CEB" w:rsidRDefault="00000000">
            <w:pPr>
              <w:spacing w:line="285" w:lineRule="auto"/>
            </w:pPr>
            <w:r>
              <w:t>They also cover different population gaps. LRA focuses on low-risk nulliparous women [3], while HRA focuses on high-risk pregnancies and includes 606 women with previous preeclampsia [2]. Because nuMoM2b enrolled nulliparous women [1], it cannot provide prior pregnancy history within its enrolled population — which is exactly the gap HRA fills.</w:t>
            </w:r>
          </w:p>
        </w:tc>
      </w:tr>
    </w:tbl>
    <w:p w14:paraId="49200121" w14:textId="77777777" w:rsidR="00A45CEB" w:rsidRDefault="00A45CEB">
      <w:pPr>
        <w:spacing w:after="140"/>
      </w:pPr>
    </w:p>
    <w:p w14:paraId="6BD822AE" w14:textId="77777777" w:rsidR="00A45CEB" w:rsidRDefault="00000000">
      <w:pPr>
        <w:spacing w:before="300" w:after="110"/>
      </w:pPr>
      <w:r>
        <w:rPr>
          <w:b/>
          <w:bCs/>
          <w:color w:val="3B2F45"/>
          <w:sz w:val="24"/>
          <w:szCs w:val="24"/>
        </w:rPr>
        <w:t>Table 1 — The datasets at a glance</w:t>
      </w:r>
    </w:p>
    <w:tbl>
      <w:tblPr>
        <w:tblW w:w="902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2050"/>
        <w:gridCol w:w="1700"/>
        <w:gridCol w:w="1450"/>
        <w:gridCol w:w="1600"/>
        <w:gridCol w:w="2220"/>
      </w:tblGrid>
      <w:tr w:rsidR="00A45CEB" w14:paraId="0E99B849" w14:textId="77777777">
        <w:trPr>
          <w:cantSplit/>
          <w:tblHeader/>
        </w:trPr>
        <w:tc>
          <w:tcPr>
            <w:tcW w:w="2050" w:type="dxa"/>
            <w:shd w:val="clear" w:color="auto" w:fill="EFE7EC"/>
            <w:tcMar>
              <w:top w:w="90" w:type="dxa"/>
              <w:left w:w="120" w:type="dxa"/>
              <w:bottom w:w="90" w:type="dxa"/>
              <w:right w:w="120" w:type="dxa"/>
            </w:tcMar>
          </w:tcPr>
          <w:p w14:paraId="5DB7694A" w14:textId="77777777" w:rsidR="00A45CEB" w:rsidRDefault="00000000">
            <w:pPr>
              <w:spacing w:line="250" w:lineRule="auto"/>
            </w:pPr>
            <w:r>
              <w:rPr>
                <w:b/>
                <w:bCs/>
                <w:color w:val="261E2D"/>
                <w:sz w:val="15"/>
                <w:szCs w:val="15"/>
              </w:rPr>
              <w:t>Dataset</w:t>
            </w:r>
          </w:p>
        </w:tc>
        <w:tc>
          <w:tcPr>
            <w:tcW w:w="1700" w:type="dxa"/>
            <w:shd w:val="clear" w:color="auto" w:fill="EFE7EC"/>
            <w:tcMar>
              <w:top w:w="90" w:type="dxa"/>
              <w:left w:w="120" w:type="dxa"/>
              <w:bottom w:w="90" w:type="dxa"/>
              <w:right w:w="120" w:type="dxa"/>
            </w:tcMar>
          </w:tcPr>
          <w:p w14:paraId="604F344A" w14:textId="77777777" w:rsidR="00A45CEB" w:rsidRDefault="00000000">
            <w:pPr>
              <w:spacing w:line="250" w:lineRule="auto"/>
            </w:pPr>
            <w:r>
              <w:rPr>
                <w:b/>
                <w:bCs/>
                <w:color w:val="261E2D"/>
                <w:sz w:val="15"/>
                <w:szCs w:val="15"/>
              </w:rPr>
              <w:t>Origin</w:t>
            </w:r>
          </w:p>
        </w:tc>
        <w:tc>
          <w:tcPr>
            <w:tcW w:w="1450" w:type="dxa"/>
            <w:shd w:val="clear" w:color="auto" w:fill="EFE7EC"/>
            <w:tcMar>
              <w:top w:w="90" w:type="dxa"/>
              <w:left w:w="120" w:type="dxa"/>
              <w:bottom w:w="90" w:type="dxa"/>
              <w:right w:w="120" w:type="dxa"/>
            </w:tcMar>
          </w:tcPr>
          <w:p w14:paraId="5995F71D" w14:textId="77777777" w:rsidR="00A45CEB" w:rsidRDefault="00000000">
            <w:pPr>
              <w:spacing w:line="250" w:lineRule="auto"/>
            </w:pPr>
            <w:r>
              <w:rPr>
                <w:b/>
                <w:bCs/>
                <w:color w:val="261E2D"/>
                <w:sz w:val="15"/>
                <w:szCs w:val="15"/>
              </w:rPr>
              <w:t>Size</w:t>
            </w:r>
          </w:p>
        </w:tc>
        <w:tc>
          <w:tcPr>
            <w:tcW w:w="1600" w:type="dxa"/>
            <w:shd w:val="clear" w:color="auto" w:fill="EFE7EC"/>
            <w:tcMar>
              <w:top w:w="90" w:type="dxa"/>
              <w:left w:w="120" w:type="dxa"/>
              <w:bottom w:w="90" w:type="dxa"/>
              <w:right w:w="120" w:type="dxa"/>
            </w:tcMar>
          </w:tcPr>
          <w:p w14:paraId="6935F384" w14:textId="77777777" w:rsidR="00A45CEB" w:rsidRDefault="00000000">
            <w:pPr>
              <w:spacing w:line="250" w:lineRule="auto"/>
            </w:pPr>
            <w:r>
              <w:rPr>
                <w:b/>
                <w:bCs/>
                <w:color w:val="261E2D"/>
                <w:sz w:val="15"/>
                <w:szCs w:val="15"/>
              </w:rPr>
              <w:t>Preeclampsia recorded</w:t>
            </w:r>
          </w:p>
        </w:tc>
        <w:tc>
          <w:tcPr>
            <w:tcW w:w="2220" w:type="dxa"/>
            <w:shd w:val="clear" w:color="auto" w:fill="EFE7EC"/>
            <w:tcMar>
              <w:top w:w="90" w:type="dxa"/>
              <w:left w:w="120" w:type="dxa"/>
              <w:bottom w:w="90" w:type="dxa"/>
              <w:right w:w="120" w:type="dxa"/>
            </w:tcMar>
          </w:tcPr>
          <w:p w14:paraId="55CC02F1" w14:textId="77777777" w:rsidR="00A45CEB" w:rsidRDefault="00000000">
            <w:pPr>
              <w:spacing w:line="250" w:lineRule="auto"/>
            </w:pPr>
            <w:r>
              <w:rPr>
                <w:b/>
                <w:bCs/>
                <w:color w:val="261E2D"/>
                <w:sz w:val="15"/>
                <w:szCs w:val="15"/>
              </w:rPr>
              <w:t>Access</w:t>
            </w:r>
          </w:p>
        </w:tc>
      </w:tr>
      <w:tr w:rsidR="00A45CEB" w14:paraId="0D5FA93A" w14:textId="77777777">
        <w:trPr>
          <w:cantSplit/>
        </w:trPr>
        <w:tc>
          <w:tcPr>
            <w:tcW w:w="2050" w:type="dxa"/>
            <w:tcMar>
              <w:top w:w="90" w:type="dxa"/>
              <w:left w:w="120" w:type="dxa"/>
              <w:bottom w:w="90" w:type="dxa"/>
              <w:right w:w="120" w:type="dxa"/>
            </w:tcMar>
          </w:tcPr>
          <w:p w14:paraId="3A3F8F1A" w14:textId="77777777" w:rsidR="00A45CEB" w:rsidRDefault="00000000">
            <w:pPr>
              <w:spacing w:line="250" w:lineRule="auto"/>
            </w:pPr>
            <w:r>
              <w:rPr>
                <w:b/>
                <w:bCs/>
                <w:sz w:val="15"/>
                <w:szCs w:val="15"/>
              </w:rPr>
              <w:t>MFMU HRA — High-Risk Aspirin [2]</w:t>
            </w:r>
          </w:p>
        </w:tc>
        <w:tc>
          <w:tcPr>
            <w:tcW w:w="1700" w:type="dxa"/>
            <w:tcMar>
              <w:top w:w="90" w:type="dxa"/>
              <w:left w:w="120" w:type="dxa"/>
              <w:bottom w:w="90" w:type="dxa"/>
              <w:right w:w="120" w:type="dxa"/>
            </w:tcMar>
          </w:tcPr>
          <w:p w14:paraId="3361B655" w14:textId="77777777" w:rsidR="00A45CEB" w:rsidRDefault="00000000">
            <w:pPr>
              <w:spacing w:line="250" w:lineRule="auto"/>
            </w:pPr>
            <w:r>
              <w:rPr>
                <w:sz w:val="15"/>
                <w:szCs w:val="15"/>
              </w:rPr>
              <w:t>US — NICHD MFMU randomized trial</w:t>
            </w:r>
          </w:p>
        </w:tc>
        <w:tc>
          <w:tcPr>
            <w:tcW w:w="1450" w:type="dxa"/>
            <w:tcMar>
              <w:top w:w="90" w:type="dxa"/>
              <w:left w:w="120" w:type="dxa"/>
              <w:bottom w:w="90" w:type="dxa"/>
              <w:right w:w="120" w:type="dxa"/>
            </w:tcMar>
          </w:tcPr>
          <w:p w14:paraId="469CA535" w14:textId="77777777" w:rsidR="00A45CEB" w:rsidRDefault="00000000">
            <w:pPr>
              <w:spacing w:line="250" w:lineRule="auto"/>
            </w:pPr>
            <w:r>
              <w:rPr>
                <w:sz w:val="15"/>
                <w:szCs w:val="15"/>
              </w:rPr>
              <w:t>2,539 randomized</w:t>
            </w:r>
          </w:p>
        </w:tc>
        <w:tc>
          <w:tcPr>
            <w:tcW w:w="1600" w:type="dxa"/>
            <w:tcMar>
              <w:top w:w="90" w:type="dxa"/>
              <w:left w:w="120" w:type="dxa"/>
              <w:bottom w:w="90" w:type="dxa"/>
              <w:right w:w="120" w:type="dxa"/>
            </w:tcMar>
          </w:tcPr>
          <w:p w14:paraId="027AC34A" w14:textId="78D0DEF7" w:rsidR="00A45CEB" w:rsidRDefault="00000000">
            <w:pPr>
              <w:spacing w:line="250" w:lineRule="auto"/>
            </w:pPr>
            <w:r>
              <w:rPr>
                <w:sz w:val="15"/>
                <w:szCs w:val="15"/>
              </w:rPr>
              <w:t>Yes</w:t>
            </w:r>
            <w:r w:rsidR="00E30264">
              <w:rPr>
                <w:sz w:val="15"/>
                <w:szCs w:val="15"/>
              </w:rPr>
              <w:t>, 606</w:t>
            </w:r>
          </w:p>
        </w:tc>
        <w:tc>
          <w:tcPr>
            <w:tcW w:w="2220" w:type="dxa"/>
            <w:tcMar>
              <w:top w:w="90" w:type="dxa"/>
              <w:left w:w="120" w:type="dxa"/>
              <w:bottom w:w="90" w:type="dxa"/>
              <w:right w:w="120" w:type="dxa"/>
            </w:tcMar>
          </w:tcPr>
          <w:p w14:paraId="3AA2A9FA" w14:textId="77777777" w:rsidR="00A45CEB" w:rsidRDefault="00000000">
            <w:pPr>
              <w:spacing w:line="250" w:lineRule="auto"/>
            </w:pPr>
            <w:r>
              <w:rPr>
                <w:sz w:val="15"/>
                <w:szCs w:val="15"/>
              </w:rPr>
              <w:t>NICHD DASH [9]; DUA required [10]</w:t>
            </w:r>
          </w:p>
        </w:tc>
      </w:tr>
      <w:tr w:rsidR="00A45CEB" w14:paraId="4DBFB863" w14:textId="77777777">
        <w:trPr>
          <w:cantSplit/>
        </w:trPr>
        <w:tc>
          <w:tcPr>
            <w:tcW w:w="2050" w:type="dxa"/>
            <w:shd w:val="clear" w:color="auto" w:fill="FAF8F9"/>
            <w:tcMar>
              <w:top w:w="90" w:type="dxa"/>
              <w:left w:w="120" w:type="dxa"/>
              <w:bottom w:w="90" w:type="dxa"/>
              <w:right w:w="120" w:type="dxa"/>
            </w:tcMar>
          </w:tcPr>
          <w:p w14:paraId="29EBD28A" w14:textId="77777777" w:rsidR="00A45CEB" w:rsidRDefault="00000000">
            <w:pPr>
              <w:spacing w:line="250" w:lineRule="auto"/>
            </w:pPr>
            <w:r>
              <w:rPr>
                <w:b/>
                <w:bCs/>
                <w:sz w:val="15"/>
                <w:szCs w:val="15"/>
              </w:rPr>
              <w:t>MFMU LRA — Low-Risk Aspirin [3]</w:t>
            </w:r>
          </w:p>
        </w:tc>
        <w:tc>
          <w:tcPr>
            <w:tcW w:w="1700" w:type="dxa"/>
            <w:shd w:val="clear" w:color="auto" w:fill="FAF8F9"/>
            <w:tcMar>
              <w:top w:w="90" w:type="dxa"/>
              <w:left w:w="120" w:type="dxa"/>
              <w:bottom w:w="90" w:type="dxa"/>
              <w:right w:w="120" w:type="dxa"/>
            </w:tcMar>
          </w:tcPr>
          <w:p w14:paraId="56F8C203" w14:textId="77777777" w:rsidR="00A45CEB" w:rsidRDefault="00000000">
            <w:pPr>
              <w:spacing w:line="250" w:lineRule="auto"/>
            </w:pPr>
            <w:r>
              <w:rPr>
                <w:sz w:val="15"/>
                <w:szCs w:val="15"/>
              </w:rPr>
              <w:t>US — NICHD MFMU randomized trial</w:t>
            </w:r>
          </w:p>
        </w:tc>
        <w:tc>
          <w:tcPr>
            <w:tcW w:w="1450" w:type="dxa"/>
            <w:shd w:val="clear" w:color="auto" w:fill="FAF8F9"/>
            <w:tcMar>
              <w:top w:w="90" w:type="dxa"/>
              <w:left w:w="120" w:type="dxa"/>
              <w:bottom w:w="90" w:type="dxa"/>
              <w:right w:w="120" w:type="dxa"/>
            </w:tcMar>
          </w:tcPr>
          <w:p w14:paraId="2037CAAD" w14:textId="77777777" w:rsidR="00A45CEB" w:rsidRDefault="00000000">
            <w:pPr>
              <w:spacing w:line="250" w:lineRule="auto"/>
            </w:pPr>
            <w:r>
              <w:rPr>
                <w:sz w:val="15"/>
                <w:szCs w:val="15"/>
              </w:rPr>
              <w:t>3,135 nulliparous women</w:t>
            </w:r>
          </w:p>
        </w:tc>
        <w:tc>
          <w:tcPr>
            <w:tcW w:w="1600" w:type="dxa"/>
            <w:shd w:val="clear" w:color="auto" w:fill="FAF8F9"/>
            <w:tcMar>
              <w:top w:w="90" w:type="dxa"/>
              <w:left w:w="120" w:type="dxa"/>
              <w:bottom w:w="90" w:type="dxa"/>
              <w:right w:w="120" w:type="dxa"/>
            </w:tcMar>
          </w:tcPr>
          <w:p w14:paraId="176723AB" w14:textId="48A32FBB" w:rsidR="00A45CEB" w:rsidRDefault="00000000">
            <w:pPr>
              <w:spacing w:line="250" w:lineRule="auto"/>
            </w:pPr>
            <w:r>
              <w:rPr>
                <w:sz w:val="15"/>
                <w:szCs w:val="15"/>
              </w:rPr>
              <w:t>Yes — tr</w:t>
            </w:r>
            <w:r w:rsidR="00E30264">
              <w:rPr>
                <w:sz w:val="15"/>
                <w:szCs w:val="15"/>
              </w:rPr>
              <w:t xml:space="preserve">ial outcome </w:t>
            </w:r>
          </w:p>
        </w:tc>
        <w:tc>
          <w:tcPr>
            <w:tcW w:w="2220" w:type="dxa"/>
            <w:shd w:val="clear" w:color="auto" w:fill="FAF8F9"/>
            <w:tcMar>
              <w:top w:w="90" w:type="dxa"/>
              <w:left w:w="120" w:type="dxa"/>
              <w:bottom w:w="90" w:type="dxa"/>
              <w:right w:w="120" w:type="dxa"/>
            </w:tcMar>
          </w:tcPr>
          <w:p w14:paraId="6AD02246" w14:textId="77777777" w:rsidR="00A45CEB" w:rsidRDefault="00000000">
            <w:pPr>
              <w:spacing w:line="250" w:lineRule="auto"/>
            </w:pPr>
            <w:r>
              <w:rPr>
                <w:sz w:val="15"/>
                <w:szCs w:val="15"/>
              </w:rPr>
              <w:t>NICHD DASH [9]</w:t>
            </w:r>
          </w:p>
        </w:tc>
      </w:tr>
      <w:tr w:rsidR="00A45CEB" w14:paraId="4432A65C" w14:textId="77777777">
        <w:trPr>
          <w:cantSplit/>
        </w:trPr>
        <w:tc>
          <w:tcPr>
            <w:tcW w:w="2050" w:type="dxa"/>
            <w:tcMar>
              <w:top w:w="90" w:type="dxa"/>
              <w:left w:w="120" w:type="dxa"/>
              <w:bottom w:w="90" w:type="dxa"/>
              <w:right w:w="120" w:type="dxa"/>
            </w:tcMar>
          </w:tcPr>
          <w:p w14:paraId="4F11899A" w14:textId="77777777" w:rsidR="00A45CEB" w:rsidRDefault="00000000">
            <w:pPr>
              <w:spacing w:line="250" w:lineRule="auto"/>
            </w:pPr>
            <w:r>
              <w:rPr>
                <w:b/>
                <w:bCs/>
                <w:sz w:val="15"/>
                <w:szCs w:val="15"/>
              </w:rPr>
              <w:t>nuMoM2b [1]</w:t>
            </w:r>
          </w:p>
        </w:tc>
        <w:tc>
          <w:tcPr>
            <w:tcW w:w="1700" w:type="dxa"/>
            <w:tcMar>
              <w:top w:w="90" w:type="dxa"/>
              <w:left w:w="120" w:type="dxa"/>
              <w:bottom w:w="90" w:type="dxa"/>
              <w:right w:w="120" w:type="dxa"/>
            </w:tcMar>
          </w:tcPr>
          <w:p w14:paraId="6ED8B867" w14:textId="77777777" w:rsidR="00A45CEB" w:rsidRDefault="00000000">
            <w:pPr>
              <w:spacing w:line="250" w:lineRule="auto"/>
            </w:pPr>
            <w:r>
              <w:rPr>
                <w:sz w:val="15"/>
                <w:szCs w:val="15"/>
              </w:rPr>
              <w:t>US — 8 clinical centers, 2010–2013</w:t>
            </w:r>
          </w:p>
        </w:tc>
        <w:tc>
          <w:tcPr>
            <w:tcW w:w="1450" w:type="dxa"/>
            <w:tcMar>
              <w:top w:w="90" w:type="dxa"/>
              <w:left w:w="120" w:type="dxa"/>
              <w:bottom w:w="90" w:type="dxa"/>
              <w:right w:w="120" w:type="dxa"/>
            </w:tcMar>
          </w:tcPr>
          <w:p w14:paraId="0B2730FF" w14:textId="77777777" w:rsidR="00A45CEB" w:rsidRDefault="00000000">
            <w:pPr>
              <w:spacing w:line="250" w:lineRule="auto"/>
            </w:pPr>
            <w:r>
              <w:rPr>
                <w:sz w:val="15"/>
                <w:szCs w:val="15"/>
              </w:rPr>
              <w:t>10,037 enrolled</w:t>
            </w:r>
          </w:p>
        </w:tc>
        <w:tc>
          <w:tcPr>
            <w:tcW w:w="1600" w:type="dxa"/>
            <w:tcMar>
              <w:top w:w="90" w:type="dxa"/>
              <w:left w:w="120" w:type="dxa"/>
              <w:bottom w:w="90" w:type="dxa"/>
              <w:right w:w="120" w:type="dxa"/>
            </w:tcMar>
          </w:tcPr>
          <w:p w14:paraId="798F5790" w14:textId="77777777" w:rsidR="00A45CEB" w:rsidRDefault="00000000">
            <w:pPr>
              <w:spacing w:line="250" w:lineRule="auto"/>
            </w:pPr>
            <w:r>
              <w:rPr>
                <w:sz w:val="15"/>
                <w:szCs w:val="15"/>
              </w:rPr>
              <w:t>Yes — primary outcome</w:t>
            </w:r>
          </w:p>
        </w:tc>
        <w:tc>
          <w:tcPr>
            <w:tcW w:w="2220" w:type="dxa"/>
            <w:tcMar>
              <w:top w:w="90" w:type="dxa"/>
              <w:left w:w="120" w:type="dxa"/>
              <w:bottom w:w="90" w:type="dxa"/>
              <w:right w:w="120" w:type="dxa"/>
            </w:tcMar>
          </w:tcPr>
          <w:p w14:paraId="0B1F209C" w14:textId="77777777" w:rsidR="00A45CEB" w:rsidRDefault="00000000">
            <w:pPr>
              <w:spacing w:line="250" w:lineRule="auto"/>
            </w:pPr>
            <w:r>
              <w:rPr>
                <w:sz w:val="15"/>
                <w:szCs w:val="15"/>
              </w:rPr>
              <w:t>NICHD DASH [9]</w:t>
            </w:r>
          </w:p>
        </w:tc>
      </w:tr>
      <w:tr w:rsidR="00A45CEB" w14:paraId="6FF96389" w14:textId="77777777">
        <w:trPr>
          <w:cantSplit/>
        </w:trPr>
        <w:tc>
          <w:tcPr>
            <w:tcW w:w="2050" w:type="dxa"/>
            <w:shd w:val="clear" w:color="auto" w:fill="FAF8F9"/>
            <w:tcMar>
              <w:top w:w="90" w:type="dxa"/>
              <w:left w:w="120" w:type="dxa"/>
              <w:bottom w:w="90" w:type="dxa"/>
              <w:right w:w="120" w:type="dxa"/>
            </w:tcMar>
          </w:tcPr>
          <w:p w14:paraId="6624FF45" w14:textId="77777777" w:rsidR="00A45CEB" w:rsidRDefault="00000000">
            <w:pPr>
              <w:spacing w:line="250" w:lineRule="auto"/>
            </w:pPr>
            <w:r>
              <w:rPr>
                <w:b/>
                <w:bCs/>
                <w:sz w:val="15"/>
                <w:szCs w:val="15"/>
              </w:rPr>
              <w:t>RAHMA [4]</w:t>
            </w:r>
          </w:p>
        </w:tc>
        <w:tc>
          <w:tcPr>
            <w:tcW w:w="1700" w:type="dxa"/>
            <w:shd w:val="clear" w:color="auto" w:fill="FAF8F9"/>
            <w:tcMar>
              <w:top w:w="90" w:type="dxa"/>
              <w:left w:w="120" w:type="dxa"/>
              <w:bottom w:w="90" w:type="dxa"/>
              <w:right w:w="120" w:type="dxa"/>
            </w:tcMar>
          </w:tcPr>
          <w:p w14:paraId="3461F0D4" w14:textId="77777777" w:rsidR="00A45CEB" w:rsidRDefault="00000000">
            <w:pPr>
              <w:spacing w:line="250" w:lineRule="auto"/>
            </w:pPr>
            <w:r>
              <w:rPr>
                <w:sz w:val="15"/>
                <w:szCs w:val="15"/>
              </w:rPr>
              <w:t>Saudi — 3 Riyadh hospitals</w:t>
            </w:r>
          </w:p>
        </w:tc>
        <w:tc>
          <w:tcPr>
            <w:tcW w:w="1450" w:type="dxa"/>
            <w:shd w:val="clear" w:color="auto" w:fill="FAF8F9"/>
            <w:tcMar>
              <w:top w:w="90" w:type="dxa"/>
              <w:left w:w="120" w:type="dxa"/>
              <w:bottom w:w="90" w:type="dxa"/>
              <w:right w:w="120" w:type="dxa"/>
            </w:tcMar>
          </w:tcPr>
          <w:p w14:paraId="2C60CB09" w14:textId="77777777" w:rsidR="00A45CEB" w:rsidRDefault="00000000">
            <w:pPr>
              <w:spacing w:line="250" w:lineRule="auto"/>
            </w:pPr>
            <w:r>
              <w:rPr>
                <w:sz w:val="15"/>
                <w:szCs w:val="15"/>
              </w:rPr>
              <w:t>14,568 women</w:t>
            </w:r>
          </w:p>
        </w:tc>
        <w:tc>
          <w:tcPr>
            <w:tcW w:w="1600" w:type="dxa"/>
            <w:shd w:val="clear" w:color="auto" w:fill="FAF8F9"/>
            <w:tcMar>
              <w:top w:w="90" w:type="dxa"/>
              <w:left w:w="120" w:type="dxa"/>
              <w:bottom w:w="90" w:type="dxa"/>
              <w:right w:w="120" w:type="dxa"/>
            </w:tcMar>
          </w:tcPr>
          <w:p w14:paraId="1859DFD4" w14:textId="6B023DD4" w:rsidR="00A45CEB" w:rsidRDefault="00000000">
            <w:pPr>
              <w:spacing w:line="250" w:lineRule="auto"/>
            </w:pPr>
            <w:r>
              <w:rPr>
                <w:sz w:val="15"/>
                <w:szCs w:val="15"/>
              </w:rPr>
              <w:t xml:space="preserve">Yes </w:t>
            </w:r>
            <w:r w:rsidR="00E30264">
              <w:rPr>
                <w:sz w:val="15"/>
                <w:szCs w:val="15"/>
              </w:rPr>
              <w:t>,</w:t>
            </w:r>
            <w:r>
              <w:rPr>
                <w:sz w:val="15"/>
                <w:szCs w:val="15"/>
              </w:rPr>
              <w:t>1.2% PE</w:t>
            </w:r>
            <w:r w:rsidR="00E30264">
              <w:rPr>
                <w:sz w:val="15"/>
                <w:szCs w:val="15"/>
              </w:rPr>
              <w:t xml:space="preserve"> ~ 175</w:t>
            </w:r>
          </w:p>
        </w:tc>
        <w:tc>
          <w:tcPr>
            <w:tcW w:w="2220" w:type="dxa"/>
            <w:shd w:val="clear" w:color="auto" w:fill="FAF8F9"/>
            <w:tcMar>
              <w:top w:w="90" w:type="dxa"/>
              <w:left w:w="120" w:type="dxa"/>
              <w:bottom w:w="90" w:type="dxa"/>
              <w:right w:w="120" w:type="dxa"/>
            </w:tcMar>
          </w:tcPr>
          <w:p w14:paraId="4AEC8D66" w14:textId="2152F455" w:rsidR="00A45CEB" w:rsidRDefault="00000000">
            <w:pPr>
              <w:spacing w:line="250" w:lineRule="auto"/>
            </w:pPr>
            <w:r>
              <w:rPr>
                <w:sz w:val="15"/>
                <w:szCs w:val="15"/>
              </w:rPr>
              <w:t>Restricted;</w:t>
            </w:r>
            <w:r w:rsidR="00E30264">
              <w:rPr>
                <w:sz w:val="15"/>
                <w:szCs w:val="15"/>
              </w:rPr>
              <w:t xml:space="preserve"> </w:t>
            </w:r>
            <w:r>
              <w:rPr>
                <w:sz w:val="15"/>
                <w:szCs w:val="15"/>
              </w:rPr>
              <w:t>access approval required</w:t>
            </w:r>
          </w:p>
        </w:tc>
      </w:tr>
      <w:tr w:rsidR="00A45CEB" w14:paraId="7A14A15C" w14:textId="77777777">
        <w:trPr>
          <w:cantSplit/>
        </w:trPr>
        <w:tc>
          <w:tcPr>
            <w:tcW w:w="2050" w:type="dxa"/>
            <w:tcMar>
              <w:top w:w="90" w:type="dxa"/>
              <w:left w:w="120" w:type="dxa"/>
              <w:bottom w:w="90" w:type="dxa"/>
              <w:right w:w="120" w:type="dxa"/>
            </w:tcMar>
          </w:tcPr>
          <w:p w14:paraId="4D6C64AC" w14:textId="77777777" w:rsidR="00A45CEB" w:rsidRDefault="00000000">
            <w:pPr>
              <w:spacing w:line="250" w:lineRule="auto"/>
            </w:pPr>
            <w:r>
              <w:rPr>
                <w:b/>
                <w:bCs/>
                <w:sz w:val="15"/>
                <w:szCs w:val="15"/>
              </w:rPr>
              <w:t>Dr. Rania’s hospital records</w:t>
            </w:r>
          </w:p>
        </w:tc>
        <w:tc>
          <w:tcPr>
            <w:tcW w:w="1700" w:type="dxa"/>
            <w:tcMar>
              <w:top w:w="90" w:type="dxa"/>
              <w:left w:w="120" w:type="dxa"/>
              <w:bottom w:w="90" w:type="dxa"/>
              <w:right w:w="120" w:type="dxa"/>
            </w:tcMar>
          </w:tcPr>
          <w:p w14:paraId="525EF585" w14:textId="77777777" w:rsidR="00A45CEB" w:rsidRDefault="00000000">
            <w:pPr>
              <w:spacing w:line="250" w:lineRule="auto"/>
            </w:pPr>
            <w:r>
              <w:rPr>
                <w:sz w:val="15"/>
                <w:szCs w:val="15"/>
              </w:rPr>
              <w:t>Saudi — local, single center</w:t>
            </w:r>
          </w:p>
        </w:tc>
        <w:tc>
          <w:tcPr>
            <w:tcW w:w="1450" w:type="dxa"/>
            <w:tcMar>
              <w:top w:w="90" w:type="dxa"/>
              <w:left w:w="120" w:type="dxa"/>
              <w:bottom w:w="90" w:type="dxa"/>
              <w:right w:w="120" w:type="dxa"/>
            </w:tcMar>
          </w:tcPr>
          <w:p w14:paraId="1FFDE3C2" w14:textId="77777777" w:rsidR="00A45CEB" w:rsidRDefault="00000000">
            <w:pPr>
              <w:spacing w:line="250" w:lineRule="auto"/>
            </w:pPr>
            <w:r>
              <w:rPr>
                <w:sz w:val="15"/>
                <w:szCs w:val="15"/>
              </w:rPr>
              <w:t>Unknown — confirm</w:t>
            </w:r>
          </w:p>
        </w:tc>
        <w:tc>
          <w:tcPr>
            <w:tcW w:w="1600" w:type="dxa"/>
            <w:tcMar>
              <w:top w:w="90" w:type="dxa"/>
              <w:left w:w="120" w:type="dxa"/>
              <w:bottom w:w="90" w:type="dxa"/>
              <w:right w:w="120" w:type="dxa"/>
            </w:tcMar>
          </w:tcPr>
          <w:p w14:paraId="6A17474A" w14:textId="77777777" w:rsidR="00A45CEB" w:rsidRDefault="00000000">
            <w:pPr>
              <w:spacing w:line="250" w:lineRule="auto"/>
            </w:pPr>
            <w:r>
              <w:rPr>
                <w:sz w:val="15"/>
                <w:szCs w:val="15"/>
              </w:rPr>
              <w:t>Availability and coding need confirmation</w:t>
            </w:r>
          </w:p>
        </w:tc>
        <w:tc>
          <w:tcPr>
            <w:tcW w:w="2220" w:type="dxa"/>
            <w:tcMar>
              <w:top w:w="90" w:type="dxa"/>
              <w:left w:w="120" w:type="dxa"/>
              <w:bottom w:w="90" w:type="dxa"/>
              <w:right w:w="120" w:type="dxa"/>
            </w:tcMar>
          </w:tcPr>
          <w:p w14:paraId="1A16DC78" w14:textId="77777777" w:rsidR="00A45CEB" w:rsidRDefault="00000000">
            <w:pPr>
              <w:spacing w:line="250" w:lineRule="auto"/>
            </w:pPr>
            <w:r>
              <w:rPr>
                <w:sz w:val="15"/>
                <w:szCs w:val="15"/>
              </w:rPr>
              <w:t>Discuss with Dr. Rania; IRB likely required</w:t>
            </w:r>
          </w:p>
        </w:tc>
      </w:tr>
      <w:tr w:rsidR="00A45CEB" w14:paraId="2E3F88B8" w14:textId="77777777">
        <w:trPr>
          <w:cantSplit/>
        </w:trPr>
        <w:tc>
          <w:tcPr>
            <w:tcW w:w="2050" w:type="dxa"/>
            <w:shd w:val="clear" w:color="auto" w:fill="FAF8F9"/>
            <w:tcMar>
              <w:top w:w="90" w:type="dxa"/>
              <w:left w:w="120" w:type="dxa"/>
              <w:bottom w:w="90" w:type="dxa"/>
              <w:right w:w="120" w:type="dxa"/>
            </w:tcMar>
          </w:tcPr>
          <w:p w14:paraId="047F485A" w14:textId="77777777" w:rsidR="00A45CEB" w:rsidRDefault="00000000">
            <w:pPr>
              <w:spacing w:line="250" w:lineRule="auto"/>
            </w:pPr>
            <w:proofErr w:type="spellStart"/>
            <w:r>
              <w:rPr>
                <w:b/>
                <w:bCs/>
                <w:sz w:val="15"/>
                <w:szCs w:val="15"/>
              </w:rPr>
              <w:t>Mutaba’ah</w:t>
            </w:r>
            <w:proofErr w:type="spellEnd"/>
            <w:r>
              <w:rPr>
                <w:b/>
                <w:bCs/>
                <w:sz w:val="15"/>
                <w:szCs w:val="15"/>
              </w:rPr>
              <w:t xml:space="preserve"> Study [5]</w:t>
            </w:r>
          </w:p>
        </w:tc>
        <w:tc>
          <w:tcPr>
            <w:tcW w:w="1700" w:type="dxa"/>
            <w:shd w:val="clear" w:color="auto" w:fill="FAF8F9"/>
            <w:tcMar>
              <w:top w:w="90" w:type="dxa"/>
              <w:left w:w="120" w:type="dxa"/>
              <w:bottom w:w="90" w:type="dxa"/>
              <w:right w:w="120" w:type="dxa"/>
            </w:tcMar>
          </w:tcPr>
          <w:p w14:paraId="220756F9" w14:textId="77777777" w:rsidR="00A45CEB" w:rsidRDefault="00000000">
            <w:pPr>
              <w:spacing w:line="250" w:lineRule="auto"/>
            </w:pPr>
            <w:r>
              <w:rPr>
                <w:sz w:val="15"/>
                <w:szCs w:val="15"/>
              </w:rPr>
              <w:t>UAE — Al Ain; UAEU + 3 hospitals</w:t>
            </w:r>
          </w:p>
        </w:tc>
        <w:tc>
          <w:tcPr>
            <w:tcW w:w="1450" w:type="dxa"/>
            <w:shd w:val="clear" w:color="auto" w:fill="FAF8F9"/>
            <w:tcMar>
              <w:top w:w="90" w:type="dxa"/>
              <w:left w:w="120" w:type="dxa"/>
              <w:bottom w:w="90" w:type="dxa"/>
              <w:right w:w="120" w:type="dxa"/>
            </w:tcMar>
          </w:tcPr>
          <w:p w14:paraId="0EA063BB" w14:textId="77777777" w:rsidR="00A45CEB" w:rsidRDefault="00000000">
            <w:pPr>
              <w:spacing w:line="250" w:lineRule="auto"/>
            </w:pPr>
            <w:r>
              <w:rPr>
                <w:sz w:val="15"/>
                <w:szCs w:val="15"/>
              </w:rPr>
              <w:t>10,565 recruited</w:t>
            </w:r>
          </w:p>
        </w:tc>
        <w:tc>
          <w:tcPr>
            <w:tcW w:w="1600" w:type="dxa"/>
            <w:shd w:val="clear" w:color="auto" w:fill="FAF8F9"/>
            <w:tcMar>
              <w:top w:w="90" w:type="dxa"/>
              <w:left w:w="120" w:type="dxa"/>
              <w:bottom w:w="90" w:type="dxa"/>
              <w:right w:w="120" w:type="dxa"/>
            </w:tcMar>
          </w:tcPr>
          <w:p w14:paraId="3A1EA52C" w14:textId="77777777" w:rsidR="00A45CEB" w:rsidRDefault="00000000">
            <w:pPr>
              <w:spacing w:line="250" w:lineRule="auto"/>
            </w:pPr>
            <w:r>
              <w:rPr>
                <w:sz w:val="15"/>
                <w:szCs w:val="15"/>
              </w:rPr>
              <w:t>Not confirmed</w:t>
            </w:r>
          </w:p>
        </w:tc>
        <w:tc>
          <w:tcPr>
            <w:tcW w:w="2220" w:type="dxa"/>
            <w:shd w:val="clear" w:color="auto" w:fill="FAF8F9"/>
            <w:tcMar>
              <w:top w:w="90" w:type="dxa"/>
              <w:left w:w="120" w:type="dxa"/>
              <w:bottom w:w="90" w:type="dxa"/>
              <w:right w:w="120" w:type="dxa"/>
            </w:tcMar>
          </w:tcPr>
          <w:p w14:paraId="44B35137" w14:textId="77777777" w:rsidR="00A45CEB" w:rsidRDefault="00000000">
            <w:pPr>
              <w:spacing w:line="250" w:lineRule="auto"/>
            </w:pPr>
            <w:r>
              <w:rPr>
                <w:sz w:val="15"/>
                <w:szCs w:val="15"/>
              </w:rPr>
              <w:t>By reasonable request; ethics may be required</w:t>
            </w:r>
          </w:p>
        </w:tc>
      </w:tr>
      <w:tr w:rsidR="00A45CEB" w14:paraId="2542A8F0" w14:textId="77777777">
        <w:trPr>
          <w:cantSplit/>
        </w:trPr>
        <w:tc>
          <w:tcPr>
            <w:tcW w:w="2050" w:type="dxa"/>
            <w:tcMar>
              <w:top w:w="90" w:type="dxa"/>
              <w:left w:w="120" w:type="dxa"/>
              <w:bottom w:w="90" w:type="dxa"/>
              <w:right w:w="120" w:type="dxa"/>
            </w:tcMar>
          </w:tcPr>
          <w:p w14:paraId="566CB73C" w14:textId="77777777" w:rsidR="00A45CEB" w:rsidRDefault="00000000">
            <w:pPr>
              <w:spacing w:line="250" w:lineRule="auto"/>
            </w:pPr>
            <w:r>
              <w:rPr>
                <w:b/>
                <w:bCs/>
                <w:sz w:val="15"/>
                <w:szCs w:val="15"/>
              </w:rPr>
              <w:t>Qatar Birth Cohort (</w:t>
            </w:r>
            <w:proofErr w:type="spellStart"/>
            <w:r>
              <w:rPr>
                <w:b/>
                <w:bCs/>
                <w:sz w:val="15"/>
                <w:szCs w:val="15"/>
              </w:rPr>
              <w:t>QBiC</w:t>
            </w:r>
            <w:proofErr w:type="spellEnd"/>
            <w:r>
              <w:rPr>
                <w:b/>
                <w:bCs/>
                <w:sz w:val="15"/>
                <w:szCs w:val="15"/>
              </w:rPr>
              <w:t>) [6]</w:t>
            </w:r>
          </w:p>
        </w:tc>
        <w:tc>
          <w:tcPr>
            <w:tcW w:w="1700" w:type="dxa"/>
            <w:tcMar>
              <w:top w:w="90" w:type="dxa"/>
              <w:left w:w="120" w:type="dxa"/>
              <w:bottom w:w="90" w:type="dxa"/>
              <w:right w:w="120" w:type="dxa"/>
            </w:tcMar>
          </w:tcPr>
          <w:p w14:paraId="23BE6213" w14:textId="77777777" w:rsidR="00A45CEB" w:rsidRDefault="00000000">
            <w:pPr>
              <w:spacing w:line="250" w:lineRule="auto"/>
            </w:pPr>
            <w:r>
              <w:rPr>
                <w:sz w:val="15"/>
                <w:szCs w:val="15"/>
              </w:rPr>
              <w:t>Qatar — MOPH, Qatar Biobank &amp; partners</w:t>
            </w:r>
          </w:p>
        </w:tc>
        <w:tc>
          <w:tcPr>
            <w:tcW w:w="1450" w:type="dxa"/>
            <w:tcMar>
              <w:top w:w="90" w:type="dxa"/>
              <w:left w:w="120" w:type="dxa"/>
              <w:bottom w:w="90" w:type="dxa"/>
              <w:right w:w="120" w:type="dxa"/>
            </w:tcMar>
          </w:tcPr>
          <w:p w14:paraId="59C52E3F" w14:textId="77777777" w:rsidR="00A45CEB" w:rsidRDefault="00000000">
            <w:pPr>
              <w:spacing w:line="250" w:lineRule="auto"/>
            </w:pPr>
            <w:r>
              <w:rPr>
                <w:sz w:val="15"/>
                <w:szCs w:val="15"/>
              </w:rPr>
              <w:t xml:space="preserve">3,000 </w:t>
            </w:r>
            <w:proofErr w:type="gramStart"/>
            <w:r>
              <w:rPr>
                <w:sz w:val="15"/>
                <w:szCs w:val="15"/>
              </w:rPr>
              <w:t>target</w:t>
            </w:r>
            <w:proofErr w:type="gramEnd"/>
          </w:p>
        </w:tc>
        <w:tc>
          <w:tcPr>
            <w:tcW w:w="1600" w:type="dxa"/>
            <w:tcMar>
              <w:top w:w="90" w:type="dxa"/>
              <w:left w:w="120" w:type="dxa"/>
              <w:bottom w:w="90" w:type="dxa"/>
              <w:right w:w="120" w:type="dxa"/>
            </w:tcMar>
          </w:tcPr>
          <w:p w14:paraId="7C8BFB54" w14:textId="77777777" w:rsidR="00A45CEB" w:rsidRDefault="00000000">
            <w:pPr>
              <w:spacing w:line="250" w:lineRule="auto"/>
            </w:pPr>
            <w:r>
              <w:rPr>
                <w:sz w:val="15"/>
                <w:szCs w:val="15"/>
              </w:rPr>
              <w:t>Not confirmed</w:t>
            </w:r>
          </w:p>
        </w:tc>
        <w:tc>
          <w:tcPr>
            <w:tcW w:w="2220" w:type="dxa"/>
            <w:tcMar>
              <w:top w:w="90" w:type="dxa"/>
              <w:left w:w="120" w:type="dxa"/>
              <w:bottom w:w="90" w:type="dxa"/>
              <w:right w:w="120" w:type="dxa"/>
            </w:tcMar>
          </w:tcPr>
          <w:p w14:paraId="2135BA8E" w14:textId="77777777" w:rsidR="00A45CEB" w:rsidRDefault="00000000">
            <w:pPr>
              <w:spacing w:line="250" w:lineRule="auto"/>
            </w:pPr>
            <w:r>
              <w:rPr>
                <w:sz w:val="15"/>
                <w:szCs w:val="15"/>
              </w:rPr>
              <w:t>QPHI Research Portal [12]</w:t>
            </w:r>
          </w:p>
        </w:tc>
      </w:tr>
      <w:tr w:rsidR="00A45CEB" w14:paraId="45670844" w14:textId="77777777">
        <w:trPr>
          <w:cantSplit/>
        </w:trPr>
        <w:tc>
          <w:tcPr>
            <w:tcW w:w="2050" w:type="dxa"/>
            <w:shd w:val="clear" w:color="auto" w:fill="FAF8F9"/>
            <w:tcMar>
              <w:top w:w="90" w:type="dxa"/>
              <w:left w:w="120" w:type="dxa"/>
              <w:bottom w:w="90" w:type="dxa"/>
              <w:right w:w="120" w:type="dxa"/>
            </w:tcMar>
          </w:tcPr>
          <w:p w14:paraId="0957C061" w14:textId="77777777" w:rsidR="00A45CEB" w:rsidRDefault="00000000">
            <w:pPr>
              <w:spacing w:line="250" w:lineRule="auto"/>
            </w:pPr>
            <w:r>
              <w:rPr>
                <w:b/>
                <w:bCs/>
                <w:sz w:val="15"/>
                <w:szCs w:val="15"/>
              </w:rPr>
              <w:t>Dryad — metformin trial [8]</w:t>
            </w:r>
          </w:p>
        </w:tc>
        <w:tc>
          <w:tcPr>
            <w:tcW w:w="1700" w:type="dxa"/>
            <w:shd w:val="clear" w:color="auto" w:fill="FAF8F9"/>
            <w:tcMar>
              <w:top w:w="90" w:type="dxa"/>
              <w:left w:w="120" w:type="dxa"/>
              <w:bottom w:w="90" w:type="dxa"/>
              <w:right w:w="120" w:type="dxa"/>
            </w:tcMar>
          </w:tcPr>
          <w:p w14:paraId="067BFDC4" w14:textId="77777777" w:rsidR="00A45CEB" w:rsidRDefault="00000000">
            <w:pPr>
              <w:spacing w:line="250" w:lineRule="auto"/>
            </w:pPr>
            <w:r>
              <w:rPr>
                <w:sz w:val="15"/>
                <w:szCs w:val="15"/>
              </w:rPr>
              <w:t>High-risk pregnancy trial</w:t>
            </w:r>
          </w:p>
        </w:tc>
        <w:tc>
          <w:tcPr>
            <w:tcW w:w="1450" w:type="dxa"/>
            <w:shd w:val="clear" w:color="auto" w:fill="FAF8F9"/>
            <w:tcMar>
              <w:top w:w="90" w:type="dxa"/>
              <w:left w:w="120" w:type="dxa"/>
              <w:bottom w:w="90" w:type="dxa"/>
              <w:right w:w="120" w:type="dxa"/>
            </w:tcMar>
          </w:tcPr>
          <w:p w14:paraId="5DC30857" w14:textId="77777777" w:rsidR="00A45CEB" w:rsidRDefault="00000000">
            <w:pPr>
              <w:spacing w:line="250" w:lineRule="auto"/>
            </w:pPr>
            <w:r>
              <w:rPr>
                <w:sz w:val="15"/>
                <w:szCs w:val="15"/>
              </w:rPr>
              <w:t>410 listed</w:t>
            </w:r>
          </w:p>
        </w:tc>
        <w:tc>
          <w:tcPr>
            <w:tcW w:w="1600" w:type="dxa"/>
            <w:shd w:val="clear" w:color="auto" w:fill="FAF8F9"/>
            <w:tcMar>
              <w:top w:w="90" w:type="dxa"/>
              <w:left w:w="120" w:type="dxa"/>
              <w:bottom w:w="90" w:type="dxa"/>
              <w:right w:w="120" w:type="dxa"/>
            </w:tcMar>
          </w:tcPr>
          <w:p w14:paraId="1E23DE07" w14:textId="77777777" w:rsidR="00A45CEB" w:rsidRDefault="00000000">
            <w:pPr>
              <w:spacing w:line="250" w:lineRule="auto"/>
            </w:pPr>
            <w:r>
              <w:rPr>
                <w:sz w:val="15"/>
                <w:szCs w:val="15"/>
              </w:rPr>
              <w:t>Listed as PE outcome</w:t>
            </w:r>
          </w:p>
        </w:tc>
        <w:tc>
          <w:tcPr>
            <w:tcW w:w="2220" w:type="dxa"/>
            <w:shd w:val="clear" w:color="auto" w:fill="FAF8F9"/>
            <w:tcMar>
              <w:top w:w="90" w:type="dxa"/>
              <w:left w:w="120" w:type="dxa"/>
              <w:bottom w:w="90" w:type="dxa"/>
              <w:right w:w="120" w:type="dxa"/>
            </w:tcMar>
          </w:tcPr>
          <w:p w14:paraId="61098603" w14:textId="77777777" w:rsidR="00A45CEB" w:rsidRDefault="00000000">
            <w:pPr>
              <w:spacing w:line="250" w:lineRule="auto"/>
            </w:pPr>
            <w:r>
              <w:rPr>
                <w:sz w:val="15"/>
                <w:szCs w:val="15"/>
              </w:rPr>
              <w:t>Open download; contents need verification</w:t>
            </w:r>
          </w:p>
        </w:tc>
      </w:tr>
    </w:tbl>
    <w:p w14:paraId="1CB4F71E" w14:textId="77777777" w:rsidR="00A45CEB" w:rsidRDefault="00000000">
      <w:r>
        <w:br w:type="page"/>
      </w:r>
    </w:p>
    <w:p w14:paraId="6578E847" w14:textId="77777777" w:rsidR="00A45CEB" w:rsidRDefault="00000000">
      <w:pPr>
        <w:pBdr>
          <w:bottom w:val="single" w:sz="8" w:space="6" w:color="D8D0D6"/>
        </w:pBdr>
        <w:spacing w:before="400" w:after="150"/>
      </w:pPr>
      <w:r>
        <w:rPr>
          <w:b/>
          <w:bCs/>
          <w:color w:val="4B3A5A"/>
          <w:sz w:val="30"/>
          <w:szCs w:val="30"/>
        </w:rPr>
        <w:lastRenderedPageBreak/>
        <w:t>What each dataset actually is</w:t>
      </w:r>
    </w:p>
    <w:p w14:paraId="6A73D657" w14:textId="77777777" w:rsidR="00A45CEB" w:rsidRDefault="00000000">
      <w:pPr>
        <w:spacing w:after="130" w:line="280" w:lineRule="auto"/>
      </w:pPr>
      <w:r>
        <w:rPr>
          <w:i/>
          <w:iCs/>
          <w:color w:val="6E6478"/>
        </w:rPr>
        <w:t>Table 1 gives names and numbers. This section says, in plain words, what each dataset is, who was in it, and what it can and cannot do for this project.</w:t>
      </w:r>
    </w:p>
    <w:p w14:paraId="78F2ACAE" w14:textId="77777777" w:rsidR="00A45CEB" w:rsidRDefault="00000000">
      <w:pPr>
        <w:spacing w:before="230" w:after="60"/>
      </w:pPr>
      <w:r>
        <w:rPr>
          <w:b/>
          <w:bCs/>
          <w:color w:val="3B2F45"/>
          <w:sz w:val="21"/>
          <w:szCs w:val="21"/>
        </w:rPr>
        <w:t>nuMoM2</w:t>
      </w:r>
      <w:proofErr w:type="gramStart"/>
      <w:r>
        <w:rPr>
          <w:b/>
          <w:bCs/>
          <w:color w:val="3B2F45"/>
          <w:sz w:val="21"/>
          <w:szCs w:val="21"/>
        </w:rPr>
        <w:t>b</w:t>
      </w:r>
      <w:r>
        <w:rPr>
          <w:b/>
          <w:bCs/>
          <w:color w:val="4B3A5A"/>
          <w:sz w:val="18"/>
          <w:szCs w:val="18"/>
        </w:rPr>
        <w:t xml:space="preserve">  [</w:t>
      </w:r>
      <w:proofErr w:type="gramEnd"/>
      <w:r>
        <w:rPr>
          <w:b/>
          <w:bCs/>
          <w:color w:val="4B3A5A"/>
          <w:sz w:val="18"/>
          <w:szCs w:val="18"/>
        </w:rPr>
        <w:t>1]</w:t>
      </w:r>
      <w:r>
        <w:rPr>
          <w:i/>
          <w:iCs/>
          <w:color w:val="6E6478"/>
          <w:sz w:val="18"/>
          <w:szCs w:val="18"/>
        </w:rPr>
        <w:t xml:space="preserve">   —   US, 10,037 women, 2010–2013</w:t>
      </w:r>
    </w:p>
    <w:p w14:paraId="10D790B1" w14:textId="77777777" w:rsidR="00A45CEB" w:rsidRDefault="00000000">
      <w:pPr>
        <w:spacing w:after="80" w:line="280" w:lineRule="auto"/>
      </w:pPr>
      <w:r>
        <w:t>The full name is Nulliparous Pregnancy Outcomes Study: Monitoring Mothers-to-Be. It followed 10,037 women who were pregnant for the first time, across eight hospitals in the United States [1].</w:t>
      </w:r>
    </w:p>
    <w:p w14:paraId="38D684FB" w14:textId="77777777" w:rsidR="00A45CEB" w:rsidRDefault="00000000">
      <w:pPr>
        <w:spacing w:after="80" w:line="280" w:lineRule="auto"/>
      </w:pPr>
      <w:r>
        <w:t xml:space="preserve">Its strongest feature is timing: </w:t>
      </w:r>
      <w:r w:rsidRPr="00E30264">
        <w:rPr>
          <w:b/>
          <w:bCs/>
        </w:rPr>
        <w:t>each woman was seen three times during pregnancy and again at delivery</w:t>
      </w:r>
      <w:r>
        <w:t xml:space="preserve"> [1]. That means the data records how a woman changed over her pregnancy, not a single snapshot — which is what a risk-over-time model </w:t>
      </w:r>
      <w:proofErr w:type="gramStart"/>
      <w:r>
        <w:t>needs</w:t>
      </w:r>
      <w:proofErr w:type="gramEnd"/>
      <w:r>
        <w:t>. Preeclampsia was a main outcome of the study, so the labels are carefully defined.</w:t>
      </w:r>
    </w:p>
    <w:p w14:paraId="18B8713F" w14:textId="77777777" w:rsidR="00A45CEB" w:rsidRDefault="00000000">
      <w:pPr>
        <w:spacing w:after="80" w:line="280" w:lineRule="auto"/>
      </w:pPr>
      <w:r>
        <w:t>Its weakness follows directly from its design. Because every woman is in her first pregnancy, fields such as previous preeclampsia, previous preterm birth, previous gestational diabetes and parity are empty or the same for everyone. Those are among the strongest predictors in the clinical checklist, and a model trained here can never learn them.</w:t>
      </w:r>
    </w:p>
    <w:p w14:paraId="76DD2C1D" w14:textId="77777777" w:rsidR="00A45CEB" w:rsidRDefault="00000000">
      <w:pPr>
        <w:spacing w:before="230" w:after="60"/>
      </w:pPr>
      <w:r>
        <w:rPr>
          <w:b/>
          <w:bCs/>
          <w:color w:val="3B2F45"/>
          <w:sz w:val="21"/>
          <w:szCs w:val="21"/>
        </w:rPr>
        <w:t xml:space="preserve">MFMU HRA — High-Risk Aspirin </w:t>
      </w:r>
      <w:proofErr w:type="gramStart"/>
      <w:r>
        <w:rPr>
          <w:b/>
          <w:bCs/>
          <w:color w:val="3B2F45"/>
          <w:sz w:val="21"/>
          <w:szCs w:val="21"/>
        </w:rPr>
        <w:t>trial</w:t>
      </w:r>
      <w:r>
        <w:rPr>
          <w:b/>
          <w:bCs/>
          <w:color w:val="4B3A5A"/>
          <w:sz w:val="18"/>
          <w:szCs w:val="18"/>
        </w:rPr>
        <w:t xml:space="preserve">  [</w:t>
      </w:r>
      <w:proofErr w:type="gramEnd"/>
      <w:r>
        <w:rPr>
          <w:b/>
          <w:bCs/>
          <w:color w:val="4B3A5A"/>
          <w:sz w:val="18"/>
          <w:szCs w:val="18"/>
        </w:rPr>
        <w:t>2]</w:t>
      </w:r>
      <w:r>
        <w:rPr>
          <w:i/>
          <w:iCs/>
          <w:color w:val="6E6478"/>
          <w:sz w:val="18"/>
          <w:szCs w:val="18"/>
        </w:rPr>
        <w:t xml:space="preserve">   —   US, 2,539 women</w:t>
      </w:r>
    </w:p>
    <w:p w14:paraId="1DF25783" w14:textId="77777777" w:rsidR="00A45CEB" w:rsidRDefault="00000000">
      <w:pPr>
        <w:spacing w:after="80" w:line="280" w:lineRule="auto"/>
      </w:pPr>
      <w:r>
        <w:t xml:space="preserve">A randomized trial run by the NICHD Maternal-Fetal Medicine Units Network [2]. Every woman in it was already known to be at high risk, in four groups: chronic hypertension, pregestational diabetes, multiple pregnancy, and — most importantly for us — </w:t>
      </w:r>
      <w:r w:rsidRPr="00E30264">
        <w:rPr>
          <w:b/>
          <w:bCs/>
        </w:rPr>
        <w:t>606 women who had preeclampsia in a previous pregnancy</w:t>
      </w:r>
      <w:r>
        <w:t xml:space="preserve"> [2].</w:t>
      </w:r>
    </w:p>
    <w:p w14:paraId="7514038B" w14:textId="77777777" w:rsidR="00A45CEB" w:rsidRDefault="00000000">
      <w:pPr>
        <w:spacing w:after="80" w:line="280" w:lineRule="auto"/>
      </w:pPr>
      <w:r>
        <w:t>Because the population is deliberately enriched with high-risk women, the number of preeclampsia cases is large relative to the size of the cohort. And because it is a trial, the outcome was formally adjudicated rather than read off a medical record, so the labels are clean.</w:t>
      </w:r>
    </w:p>
    <w:p w14:paraId="1BD8EC3A" w14:textId="77777777" w:rsidR="00A45CEB" w:rsidRDefault="00000000">
      <w:pPr>
        <w:spacing w:after="80" w:line="280" w:lineRule="auto"/>
      </w:pPr>
      <w:r>
        <w:t>It fills precisely the gap that nuMoM2b [1] leaves open.</w:t>
      </w:r>
    </w:p>
    <w:p w14:paraId="6BEB22F1" w14:textId="77777777" w:rsidR="00A45CEB" w:rsidRDefault="00000000">
      <w:pPr>
        <w:spacing w:before="230" w:after="60"/>
      </w:pPr>
      <w:r>
        <w:rPr>
          <w:b/>
          <w:bCs/>
          <w:color w:val="3B2F45"/>
          <w:sz w:val="21"/>
          <w:szCs w:val="21"/>
        </w:rPr>
        <w:t xml:space="preserve">MFMU LRA — Low-Risk Aspirin </w:t>
      </w:r>
      <w:proofErr w:type="gramStart"/>
      <w:r>
        <w:rPr>
          <w:b/>
          <w:bCs/>
          <w:color w:val="3B2F45"/>
          <w:sz w:val="21"/>
          <w:szCs w:val="21"/>
        </w:rPr>
        <w:t>trial</w:t>
      </w:r>
      <w:r>
        <w:rPr>
          <w:b/>
          <w:bCs/>
          <w:color w:val="4B3A5A"/>
          <w:sz w:val="18"/>
          <w:szCs w:val="18"/>
        </w:rPr>
        <w:t xml:space="preserve">  [</w:t>
      </w:r>
      <w:proofErr w:type="gramEnd"/>
      <w:r>
        <w:rPr>
          <w:b/>
          <w:bCs/>
          <w:color w:val="4B3A5A"/>
          <w:sz w:val="18"/>
          <w:szCs w:val="18"/>
        </w:rPr>
        <w:t>3]</w:t>
      </w:r>
      <w:r>
        <w:rPr>
          <w:i/>
          <w:iCs/>
          <w:color w:val="6E6478"/>
          <w:sz w:val="18"/>
          <w:szCs w:val="18"/>
        </w:rPr>
        <w:t xml:space="preserve">   —   US, 3,135 women</w:t>
      </w:r>
    </w:p>
    <w:p w14:paraId="36A86865" w14:textId="77777777" w:rsidR="00A45CEB" w:rsidRDefault="00000000">
      <w:pPr>
        <w:spacing w:after="80" w:line="280" w:lineRule="auto"/>
      </w:pPr>
      <w:r>
        <w:t>The same research network, but the opposite population: 3,135 healthy first-time mothers with normal blood pressure, enrolled between 13 and 26 weeks [3]. Outcomes were adjudicated, as in HRA.</w:t>
      </w:r>
    </w:p>
    <w:p w14:paraId="75B9B372" w14:textId="77777777" w:rsidR="00A45CEB" w:rsidRDefault="00000000">
      <w:pPr>
        <w:spacing w:after="80" w:line="280" w:lineRule="auto"/>
      </w:pPr>
      <w:r>
        <w:t>It is useful as a contrast group — a low-risk population measured the same way as the high-risk one — and it costs nothing extra to obtain, because it sits in the same repository [9].</w:t>
      </w:r>
    </w:p>
    <w:p w14:paraId="70260490" w14:textId="77777777" w:rsidR="00A45CEB" w:rsidRDefault="00000000">
      <w:pPr>
        <w:spacing w:before="230" w:after="60"/>
      </w:pPr>
      <w:proofErr w:type="gramStart"/>
      <w:r>
        <w:rPr>
          <w:b/>
          <w:bCs/>
          <w:color w:val="3B2F45"/>
          <w:sz w:val="21"/>
          <w:szCs w:val="21"/>
        </w:rPr>
        <w:t>RAHMA</w:t>
      </w:r>
      <w:r>
        <w:rPr>
          <w:b/>
          <w:bCs/>
          <w:color w:val="4B3A5A"/>
          <w:sz w:val="18"/>
          <w:szCs w:val="18"/>
        </w:rPr>
        <w:t xml:space="preserve">  [</w:t>
      </w:r>
      <w:proofErr w:type="gramEnd"/>
      <w:r>
        <w:rPr>
          <w:b/>
          <w:bCs/>
          <w:color w:val="4B3A5A"/>
          <w:sz w:val="18"/>
          <w:szCs w:val="18"/>
        </w:rPr>
        <w:t>4]</w:t>
      </w:r>
      <w:r>
        <w:rPr>
          <w:i/>
          <w:iCs/>
          <w:color w:val="6E6478"/>
          <w:sz w:val="18"/>
          <w:szCs w:val="18"/>
        </w:rPr>
        <w:t xml:space="preserve">   —   Saudi Arabia, 14,568 women</w:t>
      </w:r>
    </w:p>
    <w:p w14:paraId="7D89F4BB" w14:textId="77777777" w:rsidR="00A45CEB" w:rsidRDefault="00000000">
      <w:pPr>
        <w:spacing w:after="80" w:line="280" w:lineRule="auto"/>
      </w:pPr>
      <w:r>
        <w:t xml:space="preserve">A Saudi cohort collected across three Riyadh hospitals of different types: university, military and Ministry of Health [4]. This is the </w:t>
      </w:r>
      <w:r w:rsidRPr="00E30264">
        <w:rPr>
          <w:b/>
          <w:bCs/>
        </w:rPr>
        <w:t>best population match for the women BADIRA is being built for</w:t>
      </w:r>
      <w:r>
        <w:t>.</w:t>
      </w:r>
    </w:p>
    <w:p w14:paraId="307EA3D8" w14:textId="77777777" w:rsidR="00A45CEB" w:rsidRDefault="00000000">
      <w:pPr>
        <w:spacing w:after="80" w:line="280" w:lineRule="auto"/>
      </w:pPr>
      <w:r>
        <w:t>The difficulty is the case count. The reported preeclampsia rate is 1.2% [4], which gives roughly 175 cases from 14,568 women. It is the largest cohort on this list and the one with the smallest number of usable cases.</w:t>
      </w:r>
    </w:p>
    <w:p w14:paraId="05605D54" w14:textId="77777777" w:rsidR="00A45CEB" w:rsidRDefault="00000000">
      <w:pPr>
        <w:spacing w:after="80" w:line="280" w:lineRule="auto"/>
      </w:pPr>
      <w:r>
        <w:t>For context, a Saudi meta-analysis reports a national preeclampsia prevalence of 4.80% [7], so RAHMA’s 1.2% is likely to be measuring something narrower than all hypertensive disorders of pregnancy. This should be checked before the figure is quoted.</w:t>
      </w:r>
    </w:p>
    <w:p w14:paraId="75A6FF24" w14:textId="77777777" w:rsidR="00A45CEB" w:rsidRDefault="00000000">
      <w:pPr>
        <w:spacing w:before="230" w:after="60"/>
      </w:pPr>
      <w:r>
        <w:rPr>
          <w:b/>
          <w:bCs/>
          <w:color w:val="3B2F45"/>
          <w:sz w:val="21"/>
          <w:szCs w:val="21"/>
        </w:rPr>
        <w:t>Dr. Rania’s hospital records</w:t>
      </w:r>
      <w:r>
        <w:rPr>
          <w:b/>
          <w:bCs/>
          <w:color w:val="4B3A5A"/>
          <w:sz w:val="18"/>
          <w:szCs w:val="18"/>
        </w:rPr>
        <w:t xml:space="preserve">  </w:t>
      </w:r>
      <w:r>
        <w:rPr>
          <w:i/>
          <w:iCs/>
          <w:color w:val="6E6478"/>
          <w:sz w:val="18"/>
          <w:szCs w:val="18"/>
        </w:rPr>
        <w:t xml:space="preserve">   —   Saudi Arabia, single </w:t>
      </w:r>
      <w:proofErr w:type="spellStart"/>
      <w:r>
        <w:rPr>
          <w:i/>
          <w:iCs/>
          <w:color w:val="6E6478"/>
          <w:sz w:val="18"/>
          <w:szCs w:val="18"/>
        </w:rPr>
        <w:t>centre</w:t>
      </w:r>
      <w:proofErr w:type="spellEnd"/>
      <w:r>
        <w:rPr>
          <w:i/>
          <w:iCs/>
          <w:color w:val="6E6478"/>
          <w:sz w:val="18"/>
          <w:szCs w:val="18"/>
        </w:rPr>
        <w:t>, size unknown</w:t>
      </w:r>
    </w:p>
    <w:p w14:paraId="2296EF7B" w14:textId="77777777" w:rsidR="00A45CEB" w:rsidRDefault="00000000">
      <w:pPr>
        <w:spacing w:after="80" w:line="280" w:lineRule="auto"/>
      </w:pPr>
      <w:r>
        <w:t>Local records reachable through the clinical collaborator already working with this project. The advantage is the route: a person rather than an application portal.</w:t>
      </w:r>
    </w:p>
    <w:p w14:paraId="136E0EA3" w14:textId="77777777" w:rsidR="00A45CEB" w:rsidRDefault="00000000">
      <w:pPr>
        <w:spacing w:after="80" w:line="280" w:lineRule="auto"/>
      </w:pPr>
      <w:r>
        <w:t>Nothing about it is confirmed yet — not the number of women, not whether preeclampsia is coded in a usable way, not what ethics approval would be required. Those are the first questions to ask.</w:t>
      </w:r>
    </w:p>
    <w:p w14:paraId="00344B9A" w14:textId="77777777" w:rsidR="00A45CEB" w:rsidRDefault="00000000">
      <w:pPr>
        <w:spacing w:before="230" w:after="60"/>
      </w:pPr>
      <w:proofErr w:type="spellStart"/>
      <w:r>
        <w:rPr>
          <w:b/>
          <w:bCs/>
          <w:color w:val="3B2F45"/>
          <w:sz w:val="21"/>
          <w:szCs w:val="21"/>
        </w:rPr>
        <w:t>Mutaba’ah</w:t>
      </w:r>
      <w:proofErr w:type="spellEnd"/>
      <w:r>
        <w:rPr>
          <w:b/>
          <w:bCs/>
          <w:color w:val="3B2F45"/>
          <w:sz w:val="21"/>
          <w:szCs w:val="21"/>
        </w:rPr>
        <w:t xml:space="preserve"> </w:t>
      </w:r>
      <w:proofErr w:type="gramStart"/>
      <w:r>
        <w:rPr>
          <w:b/>
          <w:bCs/>
          <w:color w:val="3B2F45"/>
          <w:sz w:val="21"/>
          <w:szCs w:val="21"/>
        </w:rPr>
        <w:t>Study</w:t>
      </w:r>
      <w:r>
        <w:rPr>
          <w:b/>
          <w:bCs/>
          <w:color w:val="4B3A5A"/>
          <w:sz w:val="18"/>
          <w:szCs w:val="18"/>
        </w:rPr>
        <w:t xml:space="preserve">  [</w:t>
      </w:r>
      <w:proofErr w:type="gramEnd"/>
      <w:r>
        <w:rPr>
          <w:b/>
          <w:bCs/>
          <w:color w:val="4B3A5A"/>
          <w:sz w:val="18"/>
          <w:szCs w:val="18"/>
        </w:rPr>
        <w:t>5]</w:t>
      </w:r>
      <w:r>
        <w:rPr>
          <w:i/>
          <w:iCs/>
          <w:color w:val="6E6478"/>
          <w:sz w:val="18"/>
          <w:szCs w:val="18"/>
        </w:rPr>
        <w:t xml:space="preserve">   —   UAE, Al Ain, 10,565 women</w:t>
      </w:r>
    </w:p>
    <w:p w14:paraId="7144F1E3" w14:textId="77777777" w:rsidR="00A45CEB" w:rsidRDefault="00000000">
      <w:pPr>
        <w:spacing w:after="80" w:line="280" w:lineRule="auto"/>
      </w:pPr>
      <w:r>
        <w:t>An Emirati mother-and-child cohort run by UAE University with three hospitals. Women were recruited at about 12 weeks of pregnancy [5] — exactly the window in which first-trimester prediction happens.</w:t>
      </w:r>
    </w:p>
    <w:p w14:paraId="7D009257" w14:textId="77777777" w:rsidR="00A45CEB" w:rsidRDefault="00000000">
      <w:pPr>
        <w:spacing w:after="80" w:line="280" w:lineRule="auto"/>
      </w:pPr>
      <w:r>
        <w:lastRenderedPageBreak/>
        <w:t>It is an Arab population, which matters for how well a model transfers. But whether preeclampsia is recorded, and how, is not yet confirmed, and access requires a collaboration request rather than a download [5].</w:t>
      </w:r>
    </w:p>
    <w:p w14:paraId="19FB0C05" w14:textId="77777777" w:rsidR="00A45CEB" w:rsidRDefault="00000000">
      <w:pPr>
        <w:spacing w:before="230" w:after="60"/>
      </w:pPr>
      <w:r>
        <w:rPr>
          <w:b/>
          <w:bCs/>
          <w:color w:val="3B2F45"/>
          <w:sz w:val="21"/>
          <w:szCs w:val="21"/>
        </w:rPr>
        <w:t>Qatar Birth Cohort (</w:t>
      </w:r>
      <w:proofErr w:type="spellStart"/>
      <w:proofErr w:type="gramStart"/>
      <w:r>
        <w:rPr>
          <w:b/>
          <w:bCs/>
          <w:color w:val="3B2F45"/>
          <w:sz w:val="21"/>
          <w:szCs w:val="21"/>
        </w:rPr>
        <w:t>QBiC</w:t>
      </w:r>
      <w:proofErr w:type="spellEnd"/>
      <w:r>
        <w:rPr>
          <w:b/>
          <w:bCs/>
          <w:color w:val="3B2F45"/>
          <w:sz w:val="21"/>
          <w:szCs w:val="21"/>
        </w:rPr>
        <w:t>)</w:t>
      </w:r>
      <w:r>
        <w:rPr>
          <w:b/>
          <w:bCs/>
          <w:color w:val="4B3A5A"/>
          <w:sz w:val="18"/>
          <w:szCs w:val="18"/>
        </w:rPr>
        <w:t xml:space="preserve">  [</w:t>
      </w:r>
      <w:proofErr w:type="gramEnd"/>
      <w:r>
        <w:rPr>
          <w:b/>
          <w:bCs/>
          <w:color w:val="4B3A5A"/>
          <w:sz w:val="18"/>
          <w:szCs w:val="18"/>
        </w:rPr>
        <w:t>6]</w:t>
      </w:r>
      <w:r>
        <w:rPr>
          <w:i/>
          <w:iCs/>
          <w:color w:val="6E6478"/>
          <w:sz w:val="18"/>
          <w:szCs w:val="18"/>
        </w:rPr>
        <w:t xml:space="preserve">   —   Qatar, about 3,000 women targeted</w:t>
      </w:r>
    </w:p>
    <w:p w14:paraId="4F08CB65" w14:textId="77777777" w:rsidR="00A45CEB" w:rsidRDefault="00000000">
      <w:pPr>
        <w:spacing w:after="80" w:line="280" w:lineRule="auto"/>
      </w:pPr>
      <w:r>
        <w:t>A national birth cohort run by the Ministry of Public Health with Qatar Biobank [6]. Another Arab population, which is valuable.</w:t>
      </w:r>
    </w:p>
    <w:p w14:paraId="1F6FC8A5" w14:textId="77777777" w:rsidR="00A45CEB" w:rsidRDefault="00000000">
      <w:pPr>
        <w:spacing w:after="80" w:line="280" w:lineRule="auto"/>
      </w:pPr>
      <w:r>
        <w:t>The cohort is small, so even a normal preeclampsia rate would leave a case count in the low double digits — too few to train on alone, though potentially useful for testing whether a model transfers. Access is through the QPHI Research Portal [12].</w:t>
      </w:r>
    </w:p>
    <w:p w14:paraId="1E712B73" w14:textId="77777777" w:rsidR="00A45CEB" w:rsidRDefault="00000000">
      <w:pPr>
        <w:spacing w:before="230" w:after="60"/>
      </w:pPr>
      <w:r>
        <w:rPr>
          <w:b/>
          <w:bCs/>
          <w:color w:val="3B2F45"/>
          <w:sz w:val="21"/>
          <w:szCs w:val="21"/>
        </w:rPr>
        <w:t xml:space="preserve">Dryad — metformin prevention </w:t>
      </w:r>
      <w:proofErr w:type="gramStart"/>
      <w:r>
        <w:rPr>
          <w:b/>
          <w:bCs/>
          <w:color w:val="3B2F45"/>
          <w:sz w:val="21"/>
          <w:szCs w:val="21"/>
        </w:rPr>
        <w:t>trial</w:t>
      </w:r>
      <w:r>
        <w:rPr>
          <w:b/>
          <w:bCs/>
          <w:color w:val="4B3A5A"/>
          <w:sz w:val="18"/>
          <w:szCs w:val="18"/>
        </w:rPr>
        <w:t xml:space="preserve">  [</w:t>
      </w:r>
      <w:proofErr w:type="gramEnd"/>
      <w:r>
        <w:rPr>
          <w:b/>
          <w:bCs/>
          <w:color w:val="4B3A5A"/>
          <w:sz w:val="18"/>
          <w:szCs w:val="18"/>
        </w:rPr>
        <w:t>8]</w:t>
      </w:r>
      <w:r>
        <w:rPr>
          <w:i/>
          <w:iCs/>
          <w:color w:val="6E6478"/>
          <w:sz w:val="18"/>
          <w:szCs w:val="18"/>
        </w:rPr>
        <w:t xml:space="preserve">   —   410 women, openly downloadable</w:t>
      </w:r>
    </w:p>
    <w:p w14:paraId="769C9585" w14:textId="77777777" w:rsidR="00A45CEB" w:rsidRDefault="00000000">
      <w:pPr>
        <w:spacing w:after="80" w:line="280" w:lineRule="auto"/>
      </w:pPr>
      <w:r>
        <w:t>A published trial in high-risk pregnancy whose data is deposited on Dryad and can be downloaded immediately, with no application and no agreement [8]. Preeclampsia is listed as an outcome.</w:t>
      </w:r>
    </w:p>
    <w:p w14:paraId="7020F8BD" w14:textId="77777777" w:rsidR="00A45CEB" w:rsidRDefault="00000000">
      <w:pPr>
        <w:spacing w:after="80" w:line="280" w:lineRule="auto"/>
      </w:pPr>
      <w:r>
        <w:t xml:space="preserve">It is far </w:t>
      </w:r>
      <w:r w:rsidRPr="00E30264">
        <w:rPr>
          <w:b/>
          <w:bCs/>
        </w:rPr>
        <w:t>too small to be the main dataset</w:t>
      </w:r>
      <w:r>
        <w:t>. Its value is practical: it is real obstetric data we can have today, so the preprocessing pipeline and the Data Profiler can be built and tested on it while the applications for the larger datasets are still pending.</w:t>
      </w:r>
    </w:p>
    <w:p w14:paraId="3E8B87F3" w14:textId="77777777" w:rsidR="005A3550" w:rsidRDefault="005A3550">
      <w:pPr>
        <w:spacing w:after="80" w:line="280" w:lineRule="auto"/>
      </w:pPr>
    </w:p>
    <w:p w14:paraId="310688FA" w14:textId="69B32198" w:rsidR="005A3550" w:rsidRPr="005A3550" w:rsidRDefault="005A3550" w:rsidP="005A3550">
      <w:pPr>
        <w:spacing w:after="80" w:line="280" w:lineRule="auto"/>
      </w:pPr>
      <w:r w:rsidRPr="005A3550">
        <w:rPr>
          <w:noProof/>
        </w:rPr>
        <w:drawing>
          <wp:inline distT="0" distB="0" distL="0" distR="0" wp14:anchorId="11C7975D" wp14:editId="3D8A48A8">
            <wp:extent cx="5832231" cy="3758562"/>
            <wp:effectExtent l="0" t="0" r="0" b="0"/>
            <wp:docPr id="1825896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34059" cy="3759740"/>
                    </a:xfrm>
                    <a:prstGeom prst="rect">
                      <a:avLst/>
                    </a:prstGeom>
                    <a:noFill/>
                    <a:ln>
                      <a:noFill/>
                    </a:ln>
                  </pic:spPr>
                </pic:pic>
              </a:graphicData>
            </a:graphic>
          </wp:inline>
        </w:drawing>
      </w:r>
    </w:p>
    <w:p w14:paraId="19C9F227" w14:textId="77777777" w:rsidR="005A3550" w:rsidRDefault="005A3550">
      <w:pPr>
        <w:spacing w:after="80" w:line="280" w:lineRule="auto"/>
      </w:pPr>
    </w:p>
    <w:p w14:paraId="3BF35A61" w14:textId="77777777" w:rsidR="00A45CEB" w:rsidRDefault="00000000">
      <w:r>
        <w:br w:type="page"/>
      </w:r>
    </w:p>
    <w:p w14:paraId="01DF0E7D" w14:textId="77777777" w:rsidR="00A45CEB" w:rsidRDefault="00000000">
      <w:pPr>
        <w:pBdr>
          <w:bottom w:val="single" w:sz="8" w:space="6" w:color="D8D0D6"/>
        </w:pBdr>
        <w:spacing w:before="400" w:after="150"/>
      </w:pPr>
      <w:r>
        <w:rPr>
          <w:b/>
          <w:bCs/>
          <w:color w:val="4B3A5A"/>
          <w:sz w:val="30"/>
          <w:szCs w:val="30"/>
        </w:rPr>
        <w:lastRenderedPageBreak/>
        <w:t>The number that decides: preeclampsia case counts</w:t>
      </w:r>
    </w:p>
    <w:tbl>
      <w:tblPr>
        <w:tblW w:w="9020" w:type="dxa"/>
        <w:tblCellMar>
          <w:left w:w="10" w:type="dxa"/>
          <w:right w:w="10" w:type="dxa"/>
        </w:tblCellMar>
        <w:tblLook w:val="04A0" w:firstRow="1" w:lastRow="0" w:firstColumn="1" w:lastColumn="0" w:noHBand="0" w:noVBand="1"/>
      </w:tblPr>
      <w:tblGrid>
        <w:gridCol w:w="9020"/>
      </w:tblGrid>
      <w:tr w:rsidR="00A45CEB" w14:paraId="36437734" w14:textId="77777777">
        <w:trPr>
          <w:cantSplit/>
        </w:trPr>
        <w:tc>
          <w:tcPr>
            <w:tcW w:w="9020" w:type="dxa"/>
            <w:tcBorders>
              <w:left w:val="single" w:sz="28" w:space="0" w:color="A2564A"/>
            </w:tcBorders>
            <w:shd w:val="clear" w:color="auto" w:fill="FBF1EE"/>
            <w:tcMar>
              <w:top w:w="200" w:type="dxa"/>
              <w:left w:w="260" w:type="dxa"/>
              <w:bottom w:w="200" w:type="dxa"/>
              <w:right w:w="240" w:type="dxa"/>
            </w:tcMar>
          </w:tcPr>
          <w:p w14:paraId="653B7D51" w14:textId="235F1FD3" w:rsidR="00A45CEB" w:rsidRDefault="00000000">
            <w:pPr>
              <w:spacing w:line="285" w:lineRule="auto"/>
            </w:pPr>
            <w:r>
              <w:rPr>
                <w:b/>
                <w:bCs/>
              </w:rPr>
              <w:t>Row count is not sample size. The number of women who actually developed preeclampsia is what limits any model</w:t>
            </w:r>
            <w:r w:rsidR="005A3550">
              <w:rPr>
                <w:b/>
                <w:bCs/>
              </w:rPr>
              <w:t>.</w:t>
            </w:r>
          </w:p>
        </w:tc>
      </w:tr>
    </w:tbl>
    <w:p w14:paraId="5540CA26" w14:textId="77777777" w:rsidR="00A45CEB" w:rsidRDefault="00A45CEB">
      <w:pPr>
        <w:spacing w:after="160"/>
      </w:pPr>
    </w:p>
    <w:p w14:paraId="3197FFDA" w14:textId="77777777" w:rsidR="00A45CEB" w:rsidRDefault="00000000">
      <w:pPr>
        <w:spacing w:before="300" w:after="110"/>
      </w:pPr>
      <w:r>
        <w:rPr>
          <w:b/>
          <w:bCs/>
          <w:color w:val="3B2F45"/>
          <w:sz w:val="24"/>
          <w:szCs w:val="24"/>
        </w:rPr>
        <w:t>Table 2 — Estimated preeclampsia case counts</w:t>
      </w:r>
    </w:p>
    <w:tbl>
      <w:tblPr>
        <w:tblW w:w="902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2000"/>
        <w:gridCol w:w="1150"/>
        <w:gridCol w:w="1500"/>
        <w:gridCol w:w="4370"/>
      </w:tblGrid>
      <w:tr w:rsidR="00A45CEB" w14:paraId="7DBFA505" w14:textId="77777777">
        <w:trPr>
          <w:cantSplit/>
          <w:tblHeader/>
        </w:trPr>
        <w:tc>
          <w:tcPr>
            <w:tcW w:w="2000" w:type="dxa"/>
            <w:shd w:val="clear" w:color="auto" w:fill="EFE7EC"/>
            <w:tcMar>
              <w:top w:w="90" w:type="dxa"/>
              <w:left w:w="120" w:type="dxa"/>
              <w:bottom w:w="90" w:type="dxa"/>
              <w:right w:w="120" w:type="dxa"/>
            </w:tcMar>
          </w:tcPr>
          <w:p w14:paraId="2F3F2530" w14:textId="77777777" w:rsidR="00A45CEB" w:rsidRDefault="00000000">
            <w:pPr>
              <w:spacing w:line="250" w:lineRule="auto"/>
            </w:pPr>
            <w:r>
              <w:rPr>
                <w:b/>
                <w:bCs/>
                <w:color w:val="261E2D"/>
                <w:sz w:val="15"/>
                <w:szCs w:val="15"/>
              </w:rPr>
              <w:t>Dataset</w:t>
            </w:r>
          </w:p>
        </w:tc>
        <w:tc>
          <w:tcPr>
            <w:tcW w:w="1150" w:type="dxa"/>
            <w:shd w:val="clear" w:color="auto" w:fill="EFE7EC"/>
            <w:tcMar>
              <w:top w:w="90" w:type="dxa"/>
              <w:left w:w="120" w:type="dxa"/>
              <w:bottom w:w="90" w:type="dxa"/>
              <w:right w:w="120" w:type="dxa"/>
            </w:tcMar>
          </w:tcPr>
          <w:p w14:paraId="248277DC" w14:textId="77777777" w:rsidR="00A45CEB" w:rsidRDefault="00000000">
            <w:pPr>
              <w:spacing w:line="250" w:lineRule="auto"/>
            </w:pPr>
            <w:r>
              <w:rPr>
                <w:b/>
                <w:bCs/>
                <w:color w:val="261E2D"/>
                <w:sz w:val="15"/>
                <w:szCs w:val="15"/>
              </w:rPr>
              <w:t>Women</w:t>
            </w:r>
          </w:p>
        </w:tc>
        <w:tc>
          <w:tcPr>
            <w:tcW w:w="1500" w:type="dxa"/>
            <w:shd w:val="clear" w:color="auto" w:fill="EFE7EC"/>
            <w:tcMar>
              <w:top w:w="90" w:type="dxa"/>
              <w:left w:w="120" w:type="dxa"/>
              <w:bottom w:w="90" w:type="dxa"/>
              <w:right w:w="120" w:type="dxa"/>
            </w:tcMar>
          </w:tcPr>
          <w:p w14:paraId="3C3CE918" w14:textId="77777777" w:rsidR="00A45CEB" w:rsidRDefault="00000000">
            <w:pPr>
              <w:spacing w:line="250" w:lineRule="auto"/>
            </w:pPr>
            <w:r>
              <w:rPr>
                <w:b/>
                <w:bCs/>
                <w:color w:val="261E2D"/>
                <w:sz w:val="15"/>
                <w:szCs w:val="15"/>
              </w:rPr>
              <w:t>PE cases</w:t>
            </w:r>
          </w:p>
        </w:tc>
        <w:tc>
          <w:tcPr>
            <w:tcW w:w="4370" w:type="dxa"/>
            <w:shd w:val="clear" w:color="auto" w:fill="EFE7EC"/>
            <w:tcMar>
              <w:top w:w="90" w:type="dxa"/>
              <w:left w:w="120" w:type="dxa"/>
              <w:bottom w:w="90" w:type="dxa"/>
              <w:right w:w="120" w:type="dxa"/>
            </w:tcMar>
          </w:tcPr>
          <w:p w14:paraId="07C72413" w14:textId="77777777" w:rsidR="00A45CEB" w:rsidRDefault="00000000">
            <w:pPr>
              <w:spacing w:line="250" w:lineRule="auto"/>
            </w:pPr>
            <w:r>
              <w:rPr>
                <w:b/>
                <w:bCs/>
                <w:color w:val="261E2D"/>
                <w:sz w:val="15"/>
                <w:szCs w:val="15"/>
              </w:rPr>
              <w:t>Basis</w:t>
            </w:r>
          </w:p>
        </w:tc>
      </w:tr>
      <w:tr w:rsidR="00A45CEB" w14:paraId="2D3CDF02" w14:textId="77777777">
        <w:trPr>
          <w:cantSplit/>
        </w:trPr>
        <w:tc>
          <w:tcPr>
            <w:tcW w:w="2000" w:type="dxa"/>
            <w:tcMar>
              <w:top w:w="90" w:type="dxa"/>
              <w:left w:w="120" w:type="dxa"/>
              <w:bottom w:w="90" w:type="dxa"/>
              <w:right w:w="120" w:type="dxa"/>
            </w:tcMar>
          </w:tcPr>
          <w:p w14:paraId="3C2AB2E4" w14:textId="77777777" w:rsidR="00A45CEB" w:rsidRDefault="00000000">
            <w:pPr>
              <w:spacing w:line="250" w:lineRule="auto"/>
            </w:pPr>
            <w:r>
              <w:rPr>
                <w:b/>
                <w:bCs/>
                <w:sz w:val="15"/>
                <w:szCs w:val="15"/>
              </w:rPr>
              <w:t>nuMoM2b [1]</w:t>
            </w:r>
          </w:p>
        </w:tc>
        <w:tc>
          <w:tcPr>
            <w:tcW w:w="1150" w:type="dxa"/>
            <w:tcMar>
              <w:top w:w="90" w:type="dxa"/>
              <w:left w:w="120" w:type="dxa"/>
              <w:bottom w:w="90" w:type="dxa"/>
              <w:right w:w="120" w:type="dxa"/>
            </w:tcMar>
          </w:tcPr>
          <w:p w14:paraId="4D1DBB41" w14:textId="77777777" w:rsidR="00A45CEB" w:rsidRDefault="00000000">
            <w:pPr>
              <w:spacing w:line="250" w:lineRule="auto"/>
            </w:pPr>
            <w:r>
              <w:rPr>
                <w:sz w:val="15"/>
                <w:szCs w:val="15"/>
              </w:rPr>
              <w:t>~10,000</w:t>
            </w:r>
          </w:p>
        </w:tc>
        <w:tc>
          <w:tcPr>
            <w:tcW w:w="1500" w:type="dxa"/>
            <w:tcMar>
              <w:top w:w="90" w:type="dxa"/>
              <w:left w:w="120" w:type="dxa"/>
              <w:bottom w:w="90" w:type="dxa"/>
              <w:right w:w="120" w:type="dxa"/>
            </w:tcMar>
          </w:tcPr>
          <w:p w14:paraId="08A59212" w14:textId="77777777" w:rsidR="00A45CEB" w:rsidRDefault="00000000">
            <w:pPr>
              <w:spacing w:line="250" w:lineRule="auto"/>
            </w:pPr>
            <w:r>
              <w:rPr>
                <w:sz w:val="15"/>
                <w:szCs w:val="15"/>
              </w:rPr>
              <w:t>Several hundred+ (est.)</w:t>
            </w:r>
          </w:p>
        </w:tc>
        <w:tc>
          <w:tcPr>
            <w:tcW w:w="4370" w:type="dxa"/>
            <w:tcMar>
              <w:top w:w="90" w:type="dxa"/>
              <w:left w:w="120" w:type="dxa"/>
              <w:bottom w:w="90" w:type="dxa"/>
              <w:right w:w="120" w:type="dxa"/>
            </w:tcMar>
          </w:tcPr>
          <w:p w14:paraId="52E16DC4" w14:textId="77777777" w:rsidR="00A45CEB" w:rsidRDefault="00000000">
            <w:pPr>
              <w:spacing w:line="250" w:lineRule="auto"/>
            </w:pPr>
            <w:r>
              <w:rPr>
                <w:sz w:val="15"/>
                <w:szCs w:val="15"/>
              </w:rPr>
              <w:t>Inferred from cohort size and a general-population rate; the exact adjudicated count must be confirmed from the data dictionary</w:t>
            </w:r>
          </w:p>
        </w:tc>
      </w:tr>
      <w:tr w:rsidR="00A45CEB" w14:paraId="647FB400" w14:textId="77777777">
        <w:trPr>
          <w:cantSplit/>
        </w:trPr>
        <w:tc>
          <w:tcPr>
            <w:tcW w:w="2000" w:type="dxa"/>
            <w:shd w:val="clear" w:color="auto" w:fill="FAF8F9"/>
            <w:tcMar>
              <w:top w:w="90" w:type="dxa"/>
              <w:left w:w="120" w:type="dxa"/>
              <w:bottom w:w="90" w:type="dxa"/>
              <w:right w:w="120" w:type="dxa"/>
            </w:tcMar>
          </w:tcPr>
          <w:p w14:paraId="13440B4C" w14:textId="77777777" w:rsidR="00A45CEB" w:rsidRDefault="00000000">
            <w:pPr>
              <w:spacing w:line="250" w:lineRule="auto"/>
            </w:pPr>
            <w:r>
              <w:rPr>
                <w:b/>
                <w:bCs/>
                <w:sz w:val="15"/>
                <w:szCs w:val="15"/>
              </w:rPr>
              <w:t>MFMU LRA [3]</w:t>
            </w:r>
          </w:p>
        </w:tc>
        <w:tc>
          <w:tcPr>
            <w:tcW w:w="1150" w:type="dxa"/>
            <w:shd w:val="clear" w:color="auto" w:fill="FAF8F9"/>
            <w:tcMar>
              <w:top w:w="90" w:type="dxa"/>
              <w:left w:w="120" w:type="dxa"/>
              <w:bottom w:w="90" w:type="dxa"/>
              <w:right w:w="120" w:type="dxa"/>
            </w:tcMar>
          </w:tcPr>
          <w:p w14:paraId="34722599" w14:textId="77777777" w:rsidR="00A45CEB" w:rsidRDefault="00000000">
            <w:pPr>
              <w:spacing w:line="250" w:lineRule="auto"/>
            </w:pPr>
            <w:r>
              <w:rPr>
                <w:sz w:val="15"/>
                <w:szCs w:val="15"/>
              </w:rPr>
              <w:t>3,135</w:t>
            </w:r>
          </w:p>
        </w:tc>
        <w:tc>
          <w:tcPr>
            <w:tcW w:w="1500" w:type="dxa"/>
            <w:shd w:val="clear" w:color="auto" w:fill="FAF8F9"/>
            <w:tcMar>
              <w:top w:w="90" w:type="dxa"/>
              <w:left w:w="120" w:type="dxa"/>
              <w:bottom w:w="90" w:type="dxa"/>
              <w:right w:w="120" w:type="dxa"/>
            </w:tcMar>
          </w:tcPr>
          <w:p w14:paraId="1A1920E5" w14:textId="77777777" w:rsidR="00A45CEB" w:rsidRDefault="00000000">
            <w:pPr>
              <w:spacing w:line="250" w:lineRule="auto"/>
            </w:pPr>
            <w:r>
              <w:rPr>
                <w:sz w:val="15"/>
                <w:szCs w:val="15"/>
              </w:rPr>
              <w:t>Moderate</w:t>
            </w:r>
          </w:p>
        </w:tc>
        <w:tc>
          <w:tcPr>
            <w:tcW w:w="4370" w:type="dxa"/>
            <w:shd w:val="clear" w:color="auto" w:fill="FAF8F9"/>
            <w:tcMar>
              <w:top w:w="90" w:type="dxa"/>
              <w:left w:w="120" w:type="dxa"/>
              <w:bottom w:w="90" w:type="dxa"/>
              <w:right w:w="120" w:type="dxa"/>
            </w:tcMar>
          </w:tcPr>
          <w:p w14:paraId="510FC184" w14:textId="77777777" w:rsidR="00A45CEB" w:rsidRDefault="00000000">
            <w:pPr>
              <w:spacing w:line="250" w:lineRule="auto"/>
            </w:pPr>
            <w:r>
              <w:rPr>
                <w:sz w:val="15"/>
                <w:szCs w:val="15"/>
              </w:rPr>
              <w:t>Low-risk nulliparous population; trial-adjudicated outcome</w:t>
            </w:r>
          </w:p>
        </w:tc>
      </w:tr>
      <w:tr w:rsidR="00A45CEB" w14:paraId="37310869" w14:textId="77777777">
        <w:trPr>
          <w:cantSplit/>
        </w:trPr>
        <w:tc>
          <w:tcPr>
            <w:tcW w:w="2000" w:type="dxa"/>
            <w:tcMar>
              <w:top w:w="90" w:type="dxa"/>
              <w:left w:w="120" w:type="dxa"/>
              <w:bottom w:w="90" w:type="dxa"/>
              <w:right w:w="120" w:type="dxa"/>
            </w:tcMar>
          </w:tcPr>
          <w:p w14:paraId="1229560B" w14:textId="77777777" w:rsidR="00A45CEB" w:rsidRDefault="00000000">
            <w:pPr>
              <w:spacing w:line="250" w:lineRule="auto"/>
            </w:pPr>
            <w:r>
              <w:rPr>
                <w:b/>
                <w:bCs/>
                <w:sz w:val="15"/>
                <w:szCs w:val="15"/>
              </w:rPr>
              <w:t>MFMU HRA [2]</w:t>
            </w:r>
          </w:p>
        </w:tc>
        <w:tc>
          <w:tcPr>
            <w:tcW w:w="1150" w:type="dxa"/>
            <w:tcMar>
              <w:top w:w="90" w:type="dxa"/>
              <w:left w:w="120" w:type="dxa"/>
              <w:bottom w:w="90" w:type="dxa"/>
              <w:right w:w="120" w:type="dxa"/>
            </w:tcMar>
          </w:tcPr>
          <w:p w14:paraId="56D6A901" w14:textId="77777777" w:rsidR="00A45CEB" w:rsidRDefault="00000000">
            <w:pPr>
              <w:spacing w:line="250" w:lineRule="auto"/>
            </w:pPr>
            <w:r>
              <w:rPr>
                <w:sz w:val="15"/>
                <w:szCs w:val="15"/>
              </w:rPr>
              <w:t>2,539</w:t>
            </w:r>
          </w:p>
        </w:tc>
        <w:tc>
          <w:tcPr>
            <w:tcW w:w="1500" w:type="dxa"/>
            <w:tcMar>
              <w:top w:w="90" w:type="dxa"/>
              <w:left w:w="120" w:type="dxa"/>
              <w:bottom w:w="90" w:type="dxa"/>
              <w:right w:w="120" w:type="dxa"/>
            </w:tcMar>
          </w:tcPr>
          <w:p w14:paraId="041E705F" w14:textId="77777777" w:rsidR="00A45CEB" w:rsidRDefault="00000000">
            <w:pPr>
              <w:spacing w:line="250" w:lineRule="auto"/>
            </w:pPr>
            <w:r>
              <w:rPr>
                <w:sz w:val="15"/>
                <w:szCs w:val="15"/>
              </w:rPr>
              <w:t>High — enriched</w:t>
            </w:r>
          </w:p>
        </w:tc>
        <w:tc>
          <w:tcPr>
            <w:tcW w:w="4370" w:type="dxa"/>
            <w:tcMar>
              <w:top w:w="90" w:type="dxa"/>
              <w:left w:w="120" w:type="dxa"/>
              <w:bottom w:w="90" w:type="dxa"/>
              <w:right w:w="120" w:type="dxa"/>
            </w:tcMar>
          </w:tcPr>
          <w:p w14:paraId="1EC99A4C" w14:textId="77777777" w:rsidR="00A45CEB" w:rsidRDefault="00000000">
            <w:pPr>
              <w:spacing w:line="250" w:lineRule="auto"/>
            </w:pPr>
            <w:r>
              <w:rPr>
                <w:sz w:val="15"/>
                <w:szCs w:val="15"/>
              </w:rPr>
              <w:t>High-risk population by design; 606 women with previous preeclampsia [2]</w:t>
            </w:r>
          </w:p>
        </w:tc>
      </w:tr>
      <w:tr w:rsidR="00A45CEB" w14:paraId="2FC92C37" w14:textId="77777777">
        <w:trPr>
          <w:cantSplit/>
        </w:trPr>
        <w:tc>
          <w:tcPr>
            <w:tcW w:w="2000" w:type="dxa"/>
            <w:shd w:val="clear" w:color="auto" w:fill="FAF8F9"/>
            <w:tcMar>
              <w:top w:w="90" w:type="dxa"/>
              <w:left w:w="120" w:type="dxa"/>
              <w:bottom w:w="90" w:type="dxa"/>
              <w:right w:w="120" w:type="dxa"/>
            </w:tcMar>
          </w:tcPr>
          <w:p w14:paraId="6F1C83D3" w14:textId="77777777" w:rsidR="00A45CEB" w:rsidRDefault="00000000">
            <w:pPr>
              <w:spacing w:line="250" w:lineRule="auto"/>
            </w:pPr>
            <w:r>
              <w:rPr>
                <w:b/>
                <w:bCs/>
                <w:sz w:val="15"/>
                <w:szCs w:val="15"/>
              </w:rPr>
              <w:t>RAHMA [4]</w:t>
            </w:r>
          </w:p>
        </w:tc>
        <w:tc>
          <w:tcPr>
            <w:tcW w:w="1150" w:type="dxa"/>
            <w:shd w:val="clear" w:color="auto" w:fill="FAF8F9"/>
            <w:tcMar>
              <w:top w:w="90" w:type="dxa"/>
              <w:left w:w="120" w:type="dxa"/>
              <w:bottom w:w="90" w:type="dxa"/>
              <w:right w:w="120" w:type="dxa"/>
            </w:tcMar>
          </w:tcPr>
          <w:p w14:paraId="33FA3422" w14:textId="77777777" w:rsidR="00A45CEB" w:rsidRDefault="00000000">
            <w:pPr>
              <w:spacing w:line="250" w:lineRule="auto"/>
            </w:pPr>
            <w:r>
              <w:rPr>
                <w:sz w:val="15"/>
                <w:szCs w:val="15"/>
              </w:rPr>
              <w:t>14,568</w:t>
            </w:r>
          </w:p>
        </w:tc>
        <w:tc>
          <w:tcPr>
            <w:tcW w:w="1500" w:type="dxa"/>
            <w:shd w:val="clear" w:color="auto" w:fill="FAF8F9"/>
            <w:tcMar>
              <w:top w:w="90" w:type="dxa"/>
              <w:left w:w="120" w:type="dxa"/>
              <w:bottom w:w="90" w:type="dxa"/>
              <w:right w:w="120" w:type="dxa"/>
            </w:tcMar>
          </w:tcPr>
          <w:p w14:paraId="20AEC735" w14:textId="77777777" w:rsidR="00A45CEB" w:rsidRDefault="00000000">
            <w:pPr>
              <w:spacing w:line="250" w:lineRule="auto"/>
            </w:pPr>
            <w:r>
              <w:rPr>
                <w:sz w:val="15"/>
                <w:szCs w:val="15"/>
              </w:rPr>
              <w:t>~175 (calc.)</w:t>
            </w:r>
          </w:p>
        </w:tc>
        <w:tc>
          <w:tcPr>
            <w:tcW w:w="4370" w:type="dxa"/>
            <w:shd w:val="clear" w:color="auto" w:fill="FAF8F9"/>
            <w:tcMar>
              <w:top w:w="90" w:type="dxa"/>
              <w:left w:w="120" w:type="dxa"/>
              <w:bottom w:w="90" w:type="dxa"/>
              <w:right w:w="120" w:type="dxa"/>
            </w:tcMar>
          </w:tcPr>
          <w:p w14:paraId="6C1D0156" w14:textId="77777777" w:rsidR="00A45CEB" w:rsidRDefault="00000000">
            <w:pPr>
              <w:spacing w:line="250" w:lineRule="auto"/>
            </w:pPr>
            <w:r>
              <w:rPr>
                <w:sz w:val="15"/>
                <w:szCs w:val="15"/>
              </w:rPr>
              <w:t>14,568 × the reported 1.2% prevalence [4]</w:t>
            </w:r>
          </w:p>
        </w:tc>
      </w:tr>
      <w:tr w:rsidR="00A45CEB" w14:paraId="50457D0B" w14:textId="77777777">
        <w:trPr>
          <w:cantSplit/>
        </w:trPr>
        <w:tc>
          <w:tcPr>
            <w:tcW w:w="2000" w:type="dxa"/>
            <w:tcMar>
              <w:top w:w="90" w:type="dxa"/>
              <w:left w:w="120" w:type="dxa"/>
              <w:bottom w:w="90" w:type="dxa"/>
              <w:right w:w="120" w:type="dxa"/>
            </w:tcMar>
          </w:tcPr>
          <w:p w14:paraId="53B20A14" w14:textId="77777777" w:rsidR="00A45CEB" w:rsidRDefault="00000000">
            <w:pPr>
              <w:spacing w:line="250" w:lineRule="auto"/>
            </w:pPr>
            <w:proofErr w:type="spellStart"/>
            <w:r>
              <w:rPr>
                <w:b/>
                <w:bCs/>
                <w:sz w:val="15"/>
                <w:szCs w:val="15"/>
              </w:rPr>
              <w:t>Mutaba’ah</w:t>
            </w:r>
            <w:proofErr w:type="spellEnd"/>
            <w:r>
              <w:rPr>
                <w:b/>
                <w:bCs/>
                <w:sz w:val="15"/>
                <w:szCs w:val="15"/>
              </w:rPr>
              <w:t xml:space="preserve"> [5]</w:t>
            </w:r>
          </w:p>
        </w:tc>
        <w:tc>
          <w:tcPr>
            <w:tcW w:w="1150" w:type="dxa"/>
            <w:tcMar>
              <w:top w:w="90" w:type="dxa"/>
              <w:left w:w="120" w:type="dxa"/>
              <w:bottom w:w="90" w:type="dxa"/>
              <w:right w:w="120" w:type="dxa"/>
            </w:tcMar>
          </w:tcPr>
          <w:p w14:paraId="703981C5" w14:textId="77777777" w:rsidR="00A45CEB" w:rsidRDefault="00000000">
            <w:pPr>
              <w:spacing w:line="250" w:lineRule="auto"/>
            </w:pPr>
            <w:r>
              <w:rPr>
                <w:sz w:val="15"/>
                <w:szCs w:val="15"/>
              </w:rPr>
              <w:t>10,565</w:t>
            </w:r>
          </w:p>
        </w:tc>
        <w:tc>
          <w:tcPr>
            <w:tcW w:w="1500" w:type="dxa"/>
            <w:tcMar>
              <w:top w:w="90" w:type="dxa"/>
              <w:left w:w="120" w:type="dxa"/>
              <w:bottom w:w="90" w:type="dxa"/>
              <w:right w:w="120" w:type="dxa"/>
            </w:tcMar>
          </w:tcPr>
          <w:p w14:paraId="693460F8" w14:textId="77777777" w:rsidR="00A45CEB" w:rsidRDefault="00000000">
            <w:pPr>
              <w:spacing w:line="250" w:lineRule="auto"/>
            </w:pPr>
            <w:r>
              <w:rPr>
                <w:sz w:val="15"/>
                <w:szCs w:val="15"/>
              </w:rPr>
              <w:t>Unknown</w:t>
            </w:r>
          </w:p>
        </w:tc>
        <w:tc>
          <w:tcPr>
            <w:tcW w:w="4370" w:type="dxa"/>
            <w:tcMar>
              <w:top w:w="90" w:type="dxa"/>
              <w:left w:w="120" w:type="dxa"/>
              <w:bottom w:w="90" w:type="dxa"/>
              <w:right w:w="120" w:type="dxa"/>
            </w:tcMar>
          </w:tcPr>
          <w:p w14:paraId="1978F46B" w14:textId="77777777" w:rsidR="00A45CEB" w:rsidRDefault="00000000">
            <w:pPr>
              <w:spacing w:line="250" w:lineRule="auto"/>
            </w:pPr>
            <w:r>
              <w:rPr>
                <w:sz w:val="15"/>
                <w:szCs w:val="15"/>
              </w:rPr>
              <w:t>Recruited at ~12 weeks [5]; preeclampsia recording not yet confirmed</w:t>
            </w:r>
          </w:p>
        </w:tc>
      </w:tr>
      <w:tr w:rsidR="00A45CEB" w14:paraId="06D39C92" w14:textId="77777777">
        <w:trPr>
          <w:cantSplit/>
        </w:trPr>
        <w:tc>
          <w:tcPr>
            <w:tcW w:w="2000" w:type="dxa"/>
            <w:shd w:val="clear" w:color="auto" w:fill="FAF8F9"/>
            <w:tcMar>
              <w:top w:w="90" w:type="dxa"/>
              <w:left w:w="120" w:type="dxa"/>
              <w:bottom w:w="90" w:type="dxa"/>
              <w:right w:w="120" w:type="dxa"/>
            </w:tcMar>
          </w:tcPr>
          <w:p w14:paraId="14DAF67A" w14:textId="77777777" w:rsidR="00A45CEB" w:rsidRDefault="00000000">
            <w:pPr>
              <w:spacing w:line="250" w:lineRule="auto"/>
            </w:pPr>
            <w:proofErr w:type="spellStart"/>
            <w:r>
              <w:rPr>
                <w:b/>
                <w:bCs/>
                <w:sz w:val="15"/>
                <w:szCs w:val="15"/>
              </w:rPr>
              <w:t>QBiC</w:t>
            </w:r>
            <w:proofErr w:type="spellEnd"/>
            <w:r>
              <w:rPr>
                <w:b/>
                <w:bCs/>
                <w:sz w:val="15"/>
                <w:szCs w:val="15"/>
              </w:rPr>
              <w:t xml:space="preserve"> [6]</w:t>
            </w:r>
          </w:p>
        </w:tc>
        <w:tc>
          <w:tcPr>
            <w:tcW w:w="1150" w:type="dxa"/>
            <w:shd w:val="clear" w:color="auto" w:fill="FAF8F9"/>
            <w:tcMar>
              <w:top w:w="90" w:type="dxa"/>
              <w:left w:w="120" w:type="dxa"/>
              <w:bottom w:w="90" w:type="dxa"/>
              <w:right w:w="120" w:type="dxa"/>
            </w:tcMar>
          </w:tcPr>
          <w:p w14:paraId="2F2E53E1" w14:textId="77777777" w:rsidR="00A45CEB" w:rsidRDefault="00000000">
            <w:pPr>
              <w:spacing w:line="250" w:lineRule="auto"/>
            </w:pPr>
            <w:r>
              <w:rPr>
                <w:sz w:val="15"/>
                <w:szCs w:val="15"/>
              </w:rPr>
              <w:t>~3,000</w:t>
            </w:r>
          </w:p>
        </w:tc>
        <w:tc>
          <w:tcPr>
            <w:tcW w:w="1500" w:type="dxa"/>
            <w:shd w:val="clear" w:color="auto" w:fill="FAF8F9"/>
            <w:tcMar>
              <w:top w:w="90" w:type="dxa"/>
              <w:left w:w="120" w:type="dxa"/>
              <w:bottom w:w="90" w:type="dxa"/>
              <w:right w:w="120" w:type="dxa"/>
            </w:tcMar>
          </w:tcPr>
          <w:p w14:paraId="1F54A300" w14:textId="77777777" w:rsidR="00A45CEB" w:rsidRDefault="00000000">
            <w:pPr>
              <w:spacing w:line="250" w:lineRule="auto"/>
            </w:pPr>
            <w:r>
              <w:rPr>
                <w:sz w:val="15"/>
                <w:szCs w:val="15"/>
              </w:rPr>
              <w:t>Low (est.)</w:t>
            </w:r>
          </w:p>
        </w:tc>
        <w:tc>
          <w:tcPr>
            <w:tcW w:w="4370" w:type="dxa"/>
            <w:shd w:val="clear" w:color="auto" w:fill="FAF8F9"/>
            <w:tcMar>
              <w:top w:w="90" w:type="dxa"/>
              <w:left w:w="120" w:type="dxa"/>
              <w:bottom w:w="90" w:type="dxa"/>
              <w:right w:w="120" w:type="dxa"/>
            </w:tcMar>
          </w:tcPr>
          <w:p w14:paraId="0CFDFCB0" w14:textId="77777777" w:rsidR="00A45CEB" w:rsidRDefault="00000000">
            <w:pPr>
              <w:spacing w:line="250" w:lineRule="auto"/>
            </w:pPr>
            <w:r>
              <w:rPr>
                <w:sz w:val="15"/>
                <w:szCs w:val="15"/>
              </w:rPr>
              <w:t>Small cohort; at any normal prevalence the count is likely double digits</w:t>
            </w:r>
          </w:p>
        </w:tc>
      </w:tr>
      <w:tr w:rsidR="00A45CEB" w14:paraId="0B7CDD96" w14:textId="77777777">
        <w:trPr>
          <w:cantSplit/>
        </w:trPr>
        <w:tc>
          <w:tcPr>
            <w:tcW w:w="2000" w:type="dxa"/>
            <w:tcMar>
              <w:top w:w="90" w:type="dxa"/>
              <w:left w:w="120" w:type="dxa"/>
              <w:bottom w:w="90" w:type="dxa"/>
              <w:right w:w="120" w:type="dxa"/>
            </w:tcMar>
          </w:tcPr>
          <w:p w14:paraId="7F2A3C17" w14:textId="77777777" w:rsidR="00A45CEB" w:rsidRDefault="00000000">
            <w:pPr>
              <w:spacing w:line="250" w:lineRule="auto"/>
            </w:pPr>
            <w:r>
              <w:rPr>
                <w:b/>
                <w:bCs/>
                <w:sz w:val="15"/>
                <w:szCs w:val="15"/>
              </w:rPr>
              <w:t>Dryad metformin [8]</w:t>
            </w:r>
          </w:p>
        </w:tc>
        <w:tc>
          <w:tcPr>
            <w:tcW w:w="1150" w:type="dxa"/>
            <w:tcMar>
              <w:top w:w="90" w:type="dxa"/>
              <w:left w:w="120" w:type="dxa"/>
              <w:bottom w:w="90" w:type="dxa"/>
              <w:right w:w="120" w:type="dxa"/>
            </w:tcMar>
          </w:tcPr>
          <w:p w14:paraId="12504142" w14:textId="77777777" w:rsidR="00A45CEB" w:rsidRDefault="00000000">
            <w:pPr>
              <w:spacing w:line="250" w:lineRule="auto"/>
            </w:pPr>
            <w:r>
              <w:rPr>
                <w:sz w:val="15"/>
                <w:szCs w:val="15"/>
              </w:rPr>
              <w:t>410</w:t>
            </w:r>
          </w:p>
        </w:tc>
        <w:tc>
          <w:tcPr>
            <w:tcW w:w="1500" w:type="dxa"/>
            <w:tcMar>
              <w:top w:w="90" w:type="dxa"/>
              <w:left w:w="120" w:type="dxa"/>
              <w:bottom w:w="90" w:type="dxa"/>
              <w:right w:w="120" w:type="dxa"/>
            </w:tcMar>
          </w:tcPr>
          <w:p w14:paraId="2BE4410B" w14:textId="77777777" w:rsidR="00A45CEB" w:rsidRDefault="00000000">
            <w:pPr>
              <w:spacing w:line="250" w:lineRule="auto"/>
            </w:pPr>
            <w:r>
              <w:rPr>
                <w:sz w:val="15"/>
                <w:szCs w:val="15"/>
              </w:rPr>
              <w:t>~60–80 (est.)</w:t>
            </w:r>
          </w:p>
        </w:tc>
        <w:tc>
          <w:tcPr>
            <w:tcW w:w="4370" w:type="dxa"/>
            <w:tcMar>
              <w:top w:w="90" w:type="dxa"/>
              <w:left w:w="120" w:type="dxa"/>
              <w:bottom w:w="90" w:type="dxa"/>
              <w:right w:w="120" w:type="dxa"/>
            </w:tcMar>
          </w:tcPr>
          <w:p w14:paraId="6EA00215" w14:textId="77777777" w:rsidR="00A45CEB" w:rsidRDefault="00000000">
            <w:pPr>
              <w:spacing w:line="250" w:lineRule="auto"/>
            </w:pPr>
            <w:r>
              <w:rPr>
                <w:sz w:val="15"/>
                <w:szCs w:val="15"/>
              </w:rPr>
              <w:t>Our estimate at 15–20% incidence in a high-risk trial population — not a published figure</w:t>
            </w:r>
          </w:p>
        </w:tc>
      </w:tr>
      <w:tr w:rsidR="00A45CEB" w14:paraId="76C2995E" w14:textId="77777777">
        <w:trPr>
          <w:cantSplit/>
        </w:trPr>
        <w:tc>
          <w:tcPr>
            <w:tcW w:w="2000" w:type="dxa"/>
            <w:shd w:val="clear" w:color="auto" w:fill="FAF8F9"/>
            <w:tcMar>
              <w:top w:w="90" w:type="dxa"/>
              <w:left w:w="120" w:type="dxa"/>
              <w:bottom w:w="90" w:type="dxa"/>
              <w:right w:w="120" w:type="dxa"/>
            </w:tcMar>
          </w:tcPr>
          <w:p w14:paraId="504D8401" w14:textId="77777777" w:rsidR="00A45CEB" w:rsidRDefault="00000000">
            <w:pPr>
              <w:spacing w:line="250" w:lineRule="auto"/>
            </w:pPr>
            <w:r>
              <w:rPr>
                <w:b/>
                <w:bCs/>
                <w:sz w:val="15"/>
                <w:szCs w:val="15"/>
              </w:rPr>
              <w:t>UCI [14]</w:t>
            </w:r>
          </w:p>
        </w:tc>
        <w:tc>
          <w:tcPr>
            <w:tcW w:w="1150" w:type="dxa"/>
            <w:shd w:val="clear" w:color="auto" w:fill="FAF8F9"/>
            <w:tcMar>
              <w:top w:w="90" w:type="dxa"/>
              <w:left w:w="120" w:type="dxa"/>
              <w:bottom w:w="90" w:type="dxa"/>
              <w:right w:w="120" w:type="dxa"/>
            </w:tcMar>
          </w:tcPr>
          <w:p w14:paraId="48CE0343" w14:textId="77777777" w:rsidR="00A45CEB" w:rsidRDefault="00000000">
            <w:pPr>
              <w:spacing w:line="250" w:lineRule="auto"/>
            </w:pPr>
            <w:r>
              <w:rPr>
                <w:sz w:val="15"/>
                <w:szCs w:val="15"/>
              </w:rPr>
              <w:t>1,014</w:t>
            </w:r>
          </w:p>
        </w:tc>
        <w:tc>
          <w:tcPr>
            <w:tcW w:w="1500" w:type="dxa"/>
            <w:shd w:val="clear" w:color="auto" w:fill="FAF8F9"/>
            <w:tcMar>
              <w:top w:w="90" w:type="dxa"/>
              <w:left w:w="120" w:type="dxa"/>
              <w:bottom w:w="90" w:type="dxa"/>
              <w:right w:w="120" w:type="dxa"/>
            </w:tcMar>
          </w:tcPr>
          <w:p w14:paraId="22600692" w14:textId="77777777" w:rsidR="00A45CEB" w:rsidRDefault="00000000">
            <w:pPr>
              <w:spacing w:line="250" w:lineRule="auto"/>
            </w:pPr>
            <w:r>
              <w:rPr>
                <w:sz w:val="15"/>
                <w:szCs w:val="15"/>
              </w:rPr>
              <w:t>0</w:t>
            </w:r>
          </w:p>
        </w:tc>
        <w:tc>
          <w:tcPr>
            <w:tcW w:w="4370" w:type="dxa"/>
            <w:shd w:val="clear" w:color="auto" w:fill="FAF8F9"/>
            <w:tcMar>
              <w:top w:w="90" w:type="dxa"/>
              <w:left w:w="120" w:type="dxa"/>
              <w:bottom w:w="90" w:type="dxa"/>
              <w:right w:w="120" w:type="dxa"/>
            </w:tcMar>
          </w:tcPr>
          <w:p w14:paraId="58E8D1B9" w14:textId="77777777" w:rsidR="00A45CEB" w:rsidRDefault="00000000">
            <w:pPr>
              <w:spacing w:line="250" w:lineRule="auto"/>
            </w:pPr>
            <w:r>
              <w:rPr>
                <w:sz w:val="15"/>
                <w:szCs w:val="15"/>
              </w:rPr>
              <w:t>No preeclampsia outcome exists in the file [14]</w:t>
            </w:r>
          </w:p>
        </w:tc>
      </w:tr>
    </w:tbl>
    <w:p w14:paraId="2282B252" w14:textId="77777777" w:rsidR="00A45CEB" w:rsidRDefault="00A45CEB">
      <w:pPr>
        <w:spacing w:after="140"/>
      </w:pPr>
    </w:p>
    <w:tbl>
      <w:tblPr>
        <w:tblW w:w="9020" w:type="dxa"/>
        <w:tblCellMar>
          <w:left w:w="10" w:type="dxa"/>
          <w:right w:w="10" w:type="dxa"/>
        </w:tblCellMar>
        <w:tblLook w:val="04A0" w:firstRow="1" w:lastRow="0" w:firstColumn="1" w:lastColumn="0" w:noHBand="0" w:noVBand="1"/>
      </w:tblPr>
      <w:tblGrid>
        <w:gridCol w:w="9020"/>
      </w:tblGrid>
      <w:tr w:rsidR="00A45CEB" w14:paraId="3E800737" w14:textId="77777777">
        <w:trPr>
          <w:cantSplit/>
        </w:trPr>
        <w:tc>
          <w:tcPr>
            <w:tcW w:w="9020" w:type="dxa"/>
            <w:tcBorders>
              <w:left w:val="single" w:sz="28" w:space="0" w:color="A2564A"/>
            </w:tcBorders>
            <w:shd w:val="clear" w:color="auto" w:fill="FBF1EE"/>
            <w:tcMar>
              <w:top w:w="200" w:type="dxa"/>
              <w:left w:w="260" w:type="dxa"/>
              <w:bottom w:w="200" w:type="dxa"/>
              <w:right w:w="240" w:type="dxa"/>
            </w:tcMar>
          </w:tcPr>
          <w:p w14:paraId="0AFFC158" w14:textId="77777777" w:rsidR="00A45CEB" w:rsidRDefault="00000000">
            <w:pPr>
              <w:spacing w:after="100" w:line="285" w:lineRule="auto"/>
            </w:pPr>
            <w:r>
              <w:rPr>
                <w:b/>
                <w:bCs/>
                <w:color w:val="A2564A"/>
                <w:sz w:val="17"/>
                <w:szCs w:val="17"/>
              </w:rPr>
              <w:t>NOTE ON THE ESTIMATES</w:t>
            </w:r>
          </w:p>
          <w:p w14:paraId="10A9005F" w14:textId="77777777" w:rsidR="00A45CEB" w:rsidRDefault="00000000">
            <w:pPr>
              <w:spacing w:line="285" w:lineRule="auto"/>
            </w:pPr>
            <w:r>
              <w:rPr>
                <w:sz w:val="19"/>
                <w:szCs w:val="19"/>
              </w:rPr>
              <w:t xml:space="preserve">Only the RAHMA figure is calculated from a published number [4]. The nuMoM2b, </w:t>
            </w:r>
            <w:proofErr w:type="spellStart"/>
            <w:r>
              <w:rPr>
                <w:sz w:val="19"/>
                <w:szCs w:val="19"/>
              </w:rPr>
              <w:t>QBiC</w:t>
            </w:r>
            <w:proofErr w:type="spellEnd"/>
            <w:r>
              <w:rPr>
                <w:sz w:val="19"/>
                <w:szCs w:val="19"/>
              </w:rPr>
              <w:t xml:space="preserve"> and Dryad case counts are our own estimates, made to rank the candidates, and are marked “est.” above. Each must be replaced with the true adjudicated count once the data dictionaries are in hand.</w:t>
            </w:r>
          </w:p>
        </w:tc>
      </w:tr>
    </w:tbl>
    <w:p w14:paraId="50A1A67E" w14:textId="77777777" w:rsidR="00A45CEB" w:rsidRDefault="00A45CEB">
      <w:pPr>
        <w:spacing w:after="180"/>
      </w:pPr>
    </w:p>
    <w:p w14:paraId="647CFD9F" w14:textId="77777777" w:rsidR="00A45CEB" w:rsidRDefault="00000000">
      <w:pPr>
        <w:pBdr>
          <w:bottom w:val="single" w:sz="8" w:space="6" w:color="D8D0D6"/>
        </w:pBdr>
        <w:spacing w:before="400" w:after="150"/>
      </w:pPr>
      <w:r>
        <w:rPr>
          <w:b/>
          <w:bCs/>
          <w:color w:val="4B3A5A"/>
          <w:sz w:val="30"/>
          <w:szCs w:val="30"/>
        </w:rPr>
        <w:t>Checked and excluded</w:t>
      </w:r>
    </w:p>
    <w:p w14:paraId="2A1AB267" w14:textId="77777777" w:rsidR="00A45CEB" w:rsidRDefault="00000000">
      <w:pPr>
        <w:spacing w:before="300" w:after="110"/>
      </w:pPr>
      <w:r>
        <w:rPr>
          <w:b/>
          <w:bCs/>
          <w:color w:val="3B2F45"/>
          <w:sz w:val="24"/>
          <w:szCs w:val="24"/>
        </w:rPr>
        <w:t>Table 3 — Datasets examined and set aside</w:t>
      </w:r>
    </w:p>
    <w:tbl>
      <w:tblPr>
        <w:tblW w:w="902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2400"/>
        <w:gridCol w:w="3400"/>
        <w:gridCol w:w="3220"/>
      </w:tblGrid>
      <w:tr w:rsidR="00A45CEB" w14:paraId="5DF95652" w14:textId="77777777">
        <w:trPr>
          <w:cantSplit/>
          <w:tblHeader/>
        </w:trPr>
        <w:tc>
          <w:tcPr>
            <w:tcW w:w="2400" w:type="dxa"/>
            <w:shd w:val="clear" w:color="auto" w:fill="EFE7EC"/>
            <w:tcMar>
              <w:top w:w="90" w:type="dxa"/>
              <w:left w:w="120" w:type="dxa"/>
              <w:bottom w:w="90" w:type="dxa"/>
              <w:right w:w="120" w:type="dxa"/>
            </w:tcMar>
          </w:tcPr>
          <w:p w14:paraId="5D3AD3A3" w14:textId="77777777" w:rsidR="00A45CEB" w:rsidRDefault="00000000">
            <w:pPr>
              <w:spacing w:line="250" w:lineRule="auto"/>
            </w:pPr>
            <w:r>
              <w:rPr>
                <w:b/>
                <w:bCs/>
                <w:color w:val="261E2D"/>
                <w:sz w:val="16"/>
                <w:szCs w:val="16"/>
              </w:rPr>
              <w:t>Dataset</w:t>
            </w:r>
          </w:p>
        </w:tc>
        <w:tc>
          <w:tcPr>
            <w:tcW w:w="3400" w:type="dxa"/>
            <w:shd w:val="clear" w:color="auto" w:fill="EFE7EC"/>
            <w:tcMar>
              <w:top w:w="90" w:type="dxa"/>
              <w:left w:w="120" w:type="dxa"/>
              <w:bottom w:w="90" w:type="dxa"/>
              <w:right w:w="120" w:type="dxa"/>
            </w:tcMar>
          </w:tcPr>
          <w:p w14:paraId="34D5F33A" w14:textId="77777777" w:rsidR="00A45CEB" w:rsidRDefault="00000000">
            <w:pPr>
              <w:spacing w:line="250" w:lineRule="auto"/>
            </w:pPr>
            <w:r>
              <w:rPr>
                <w:b/>
                <w:bCs/>
                <w:color w:val="261E2D"/>
                <w:sz w:val="16"/>
                <w:szCs w:val="16"/>
              </w:rPr>
              <w:t>What it is</w:t>
            </w:r>
          </w:p>
        </w:tc>
        <w:tc>
          <w:tcPr>
            <w:tcW w:w="3220" w:type="dxa"/>
            <w:shd w:val="clear" w:color="auto" w:fill="EFE7EC"/>
            <w:tcMar>
              <w:top w:w="90" w:type="dxa"/>
              <w:left w:w="120" w:type="dxa"/>
              <w:bottom w:w="90" w:type="dxa"/>
              <w:right w:w="120" w:type="dxa"/>
            </w:tcMar>
          </w:tcPr>
          <w:p w14:paraId="0EE0B7D6" w14:textId="77777777" w:rsidR="00A45CEB" w:rsidRDefault="00000000">
            <w:pPr>
              <w:spacing w:line="250" w:lineRule="auto"/>
            </w:pPr>
            <w:r>
              <w:rPr>
                <w:b/>
                <w:bCs/>
                <w:color w:val="261E2D"/>
                <w:sz w:val="16"/>
                <w:szCs w:val="16"/>
              </w:rPr>
              <w:t>Why excluded</w:t>
            </w:r>
          </w:p>
        </w:tc>
      </w:tr>
      <w:tr w:rsidR="00A45CEB" w14:paraId="28007246" w14:textId="77777777">
        <w:trPr>
          <w:cantSplit/>
        </w:trPr>
        <w:tc>
          <w:tcPr>
            <w:tcW w:w="2400" w:type="dxa"/>
            <w:tcMar>
              <w:top w:w="90" w:type="dxa"/>
              <w:left w:w="120" w:type="dxa"/>
              <w:bottom w:w="90" w:type="dxa"/>
              <w:right w:w="120" w:type="dxa"/>
            </w:tcMar>
          </w:tcPr>
          <w:p w14:paraId="41716FDD" w14:textId="77777777" w:rsidR="00A45CEB" w:rsidRDefault="00000000">
            <w:pPr>
              <w:spacing w:line="250" w:lineRule="auto"/>
            </w:pPr>
            <w:r>
              <w:rPr>
                <w:b/>
                <w:bCs/>
                <w:sz w:val="16"/>
                <w:szCs w:val="16"/>
              </w:rPr>
              <w:t>UCI Maternal Health Risk [14]</w:t>
            </w:r>
          </w:p>
        </w:tc>
        <w:tc>
          <w:tcPr>
            <w:tcW w:w="3400" w:type="dxa"/>
            <w:tcMar>
              <w:top w:w="90" w:type="dxa"/>
              <w:left w:w="120" w:type="dxa"/>
              <w:bottom w:w="90" w:type="dxa"/>
              <w:right w:w="120" w:type="dxa"/>
            </w:tcMar>
          </w:tcPr>
          <w:p w14:paraId="37DD5697" w14:textId="77777777" w:rsidR="00A45CEB" w:rsidRDefault="00000000">
            <w:pPr>
              <w:spacing w:line="250" w:lineRule="auto"/>
            </w:pPr>
            <w:r>
              <w:rPr>
                <w:sz w:val="16"/>
                <w:szCs w:val="16"/>
              </w:rPr>
              <w:t>1,014 rows; age, systolic BP, diastolic BP, blood sugar, temperature, heart rate + a generic three-level risk label</w:t>
            </w:r>
          </w:p>
        </w:tc>
        <w:tc>
          <w:tcPr>
            <w:tcW w:w="3220" w:type="dxa"/>
            <w:tcMar>
              <w:top w:w="90" w:type="dxa"/>
              <w:left w:w="120" w:type="dxa"/>
              <w:bottom w:w="90" w:type="dxa"/>
              <w:right w:w="120" w:type="dxa"/>
            </w:tcMar>
          </w:tcPr>
          <w:p w14:paraId="414FA883" w14:textId="77777777" w:rsidR="00A45CEB" w:rsidRDefault="00000000">
            <w:pPr>
              <w:spacing w:line="250" w:lineRule="auto"/>
            </w:pPr>
            <w:r>
              <w:rPr>
                <w:sz w:val="16"/>
                <w:szCs w:val="16"/>
              </w:rPr>
              <w:t>No gestational age, no obstetric history, and no specific preeclampsia outcome. It cannot answer the question we are asking.</w:t>
            </w:r>
          </w:p>
        </w:tc>
      </w:tr>
      <w:tr w:rsidR="00A45CEB" w14:paraId="04803602" w14:textId="77777777">
        <w:trPr>
          <w:cantSplit/>
        </w:trPr>
        <w:tc>
          <w:tcPr>
            <w:tcW w:w="2400" w:type="dxa"/>
            <w:shd w:val="clear" w:color="auto" w:fill="FAF8F9"/>
            <w:tcMar>
              <w:top w:w="90" w:type="dxa"/>
              <w:left w:w="120" w:type="dxa"/>
              <w:bottom w:w="90" w:type="dxa"/>
              <w:right w:w="120" w:type="dxa"/>
            </w:tcMar>
          </w:tcPr>
          <w:p w14:paraId="342CA240" w14:textId="77777777" w:rsidR="00A45CEB" w:rsidRDefault="00000000">
            <w:pPr>
              <w:spacing w:line="250" w:lineRule="auto"/>
            </w:pPr>
            <w:r>
              <w:rPr>
                <w:b/>
                <w:bCs/>
                <w:sz w:val="16"/>
                <w:szCs w:val="16"/>
              </w:rPr>
              <w:t>Kaggle — Maternal Health and High-Risk Pregnancy [15]</w:t>
            </w:r>
          </w:p>
        </w:tc>
        <w:tc>
          <w:tcPr>
            <w:tcW w:w="3400" w:type="dxa"/>
            <w:shd w:val="clear" w:color="auto" w:fill="FAF8F9"/>
            <w:tcMar>
              <w:top w:w="90" w:type="dxa"/>
              <w:left w:w="120" w:type="dxa"/>
              <w:bottom w:w="90" w:type="dxa"/>
              <w:right w:w="120" w:type="dxa"/>
            </w:tcMar>
          </w:tcPr>
          <w:p w14:paraId="2F593B48" w14:textId="77777777" w:rsidR="00A45CEB" w:rsidRDefault="00000000">
            <w:pPr>
              <w:spacing w:line="250" w:lineRule="auto"/>
            </w:pPr>
            <w:r>
              <w:rPr>
                <w:sz w:val="16"/>
                <w:szCs w:val="16"/>
              </w:rPr>
              <w:t>An uploaded maternal-health dataset, updated July 2026</w:t>
            </w:r>
          </w:p>
        </w:tc>
        <w:tc>
          <w:tcPr>
            <w:tcW w:w="3220" w:type="dxa"/>
            <w:shd w:val="clear" w:color="auto" w:fill="FAF8F9"/>
            <w:tcMar>
              <w:top w:w="90" w:type="dxa"/>
              <w:left w:w="120" w:type="dxa"/>
              <w:bottom w:w="90" w:type="dxa"/>
              <w:right w:w="120" w:type="dxa"/>
            </w:tcMar>
          </w:tcPr>
          <w:p w14:paraId="0D43FE52" w14:textId="77777777" w:rsidR="00A45CEB" w:rsidRDefault="00000000">
            <w:pPr>
              <w:spacing w:line="250" w:lineRule="auto"/>
            </w:pPr>
            <w:r>
              <w:rPr>
                <w:sz w:val="16"/>
                <w:szCs w:val="16"/>
              </w:rPr>
              <w:t>No clear data source or publication. Provenance cannot be verified, so nothing built on it could be defended.</w:t>
            </w:r>
          </w:p>
        </w:tc>
      </w:tr>
    </w:tbl>
    <w:p w14:paraId="45A49044" w14:textId="77777777" w:rsidR="00A45CEB" w:rsidRDefault="00000000">
      <w:r>
        <w:br w:type="page"/>
      </w:r>
    </w:p>
    <w:p w14:paraId="553F5A9E" w14:textId="77777777" w:rsidR="00A45CEB" w:rsidRDefault="00000000">
      <w:pPr>
        <w:pBdr>
          <w:bottom w:val="single" w:sz="8" w:space="6" w:color="D8D0D6"/>
        </w:pBdr>
        <w:spacing w:before="400" w:after="150"/>
      </w:pPr>
      <w:r>
        <w:rPr>
          <w:b/>
          <w:bCs/>
          <w:color w:val="4B3A5A"/>
          <w:sz w:val="30"/>
          <w:szCs w:val="30"/>
        </w:rPr>
        <w:lastRenderedPageBreak/>
        <w:t>The two datasets we recommend</w:t>
      </w:r>
    </w:p>
    <w:p w14:paraId="7A843809" w14:textId="77777777" w:rsidR="00A45CEB" w:rsidRDefault="00000000">
      <w:pPr>
        <w:spacing w:after="130" w:line="280" w:lineRule="auto"/>
      </w:pPr>
      <w:r>
        <w:rPr>
          <w:i/>
          <w:iCs/>
          <w:color w:val="6E6478"/>
        </w:rPr>
        <w:t>Nine datasets were examined. Two are worth applying for first, and they are chosen as a pair rather than individually — because each one covers the other’s weakness.</w:t>
      </w:r>
    </w:p>
    <w:p w14:paraId="3D66ACE7" w14:textId="77777777" w:rsidR="00A45CEB" w:rsidRDefault="00000000">
      <w:pPr>
        <w:spacing w:before="300" w:after="110"/>
      </w:pPr>
      <w:r>
        <w:rPr>
          <w:b/>
          <w:bCs/>
          <w:color w:val="3B2F45"/>
          <w:sz w:val="24"/>
          <w:szCs w:val="24"/>
        </w:rPr>
        <w:t>First choice — MFMU HRA (High-Risk Aspirin trial) [2]</w:t>
      </w:r>
    </w:p>
    <w:tbl>
      <w:tblPr>
        <w:tblW w:w="9020" w:type="dxa"/>
        <w:tblCellMar>
          <w:left w:w="10" w:type="dxa"/>
          <w:right w:w="10" w:type="dxa"/>
        </w:tblCellMar>
        <w:tblLook w:val="04A0" w:firstRow="1" w:lastRow="0" w:firstColumn="1" w:lastColumn="0" w:noHBand="0" w:noVBand="1"/>
      </w:tblPr>
      <w:tblGrid>
        <w:gridCol w:w="9020"/>
      </w:tblGrid>
      <w:tr w:rsidR="00A45CEB" w14:paraId="5C01BE4A" w14:textId="77777777">
        <w:trPr>
          <w:cantSplit/>
        </w:trPr>
        <w:tc>
          <w:tcPr>
            <w:tcW w:w="9020" w:type="dxa"/>
            <w:tcBorders>
              <w:left w:val="single" w:sz="28" w:space="0" w:color="3E6B58"/>
            </w:tcBorders>
            <w:shd w:val="clear" w:color="auto" w:fill="EDF3F0"/>
            <w:tcMar>
              <w:top w:w="200" w:type="dxa"/>
              <w:left w:w="260" w:type="dxa"/>
              <w:bottom w:w="200" w:type="dxa"/>
              <w:right w:w="240" w:type="dxa"/>
            </w:tcMar>
          </w:tcPr>
          <w:p w14:paraId="2703E8AB" w14:textId="77777777" w:rsidR="00A45CEB" w:rsidRDefault="00000000">
            <w:pPr>
              <w:spacing w:line="285" w:lineRule="auto"/>
            </w:pPr>
            <w:r>
              <w:rPr>
                <w:b/>
                <w:bCs/>
                <w:color w:val="3E6B58"/>
                <w:sz w:val="21"/>
                <w:szCs w:val="21"/>
              </w:rPr>
              <w:t>Because the number of preeclampsia cases is the binding constraint, and this is the only dataset that was deliberately built to contain them.</w:t>
            </w:r>
          </w:p>
        </w:tc>
      </w:tr>
    </w:tbl>
    <w:p w14:paraId="49EDF260" w14:textId="77777777" w:rsidR="00A45CEB" w:rsidRDefault="00A45CEB">
      <w:pPr>
        <w:spacing w:after="140"/>
      </w:pPr>
    </w:p>
    <w:p w14:paraId="48783061" w14:textId="77777777" w:rsidR="00A45CEB" w:rsidRDefault="00000000">
      <w:pPr>
        <w:spacing w:after="80" w:line="270" w:lineRule="auto"/>
        <w:ind w:left="340" w:hanging="200"/>
      </w:pPr>
      <w:r>
        <w:rPr>
          <w:color w:val="A796B5"/>
        </w:rPr>
        <w:t xml:space="preserve">•   </w:t>
      </w:r>
      <w:r>
        <w:t>Every woman in it was already high-risk [2], so the proportion who develop preeclampsia is far higher than in a general cohort. A smaller file can therefore carry more usable cases than a much larger one — compare its 2,539 women with RAHMA’s 14,568 and roughly 175 cases [4].</w:t>
      </w:r>
    </w:p>
    <w:p w14:paraId="45E4DB78" w14:textId="77777777" w:rsidR="00A45CEB" w:rsidRDefault="00000000">
      <w:pPr>
        <w:spacing w:after="80" w:line="270" w:lineRule="auto"/>
        <w:ind w:left="340" w:hanging="200"/>
      </w:pPr>
      <w:r>
        <w:rPr>
          <w:color w:val="A796B5"/>
        </w:rPr>
        <w:t xml:space="preserve">•   </w:t>
      </w:r>
      <w:r>
        <w:t>It contains 606 women with preeclampsia in a previous pregnancy [2]. Previous preeclampsia is the single strongest factor on the clinical checklist, and it is the field nuMoM2b [1] structurally cannot provide.</w:t>
      </w:r>
    </w:p>
    <w:p w14:paraId="77C46973" w14:textId="77777777" w:rsidR="00A45CEB" w:rsidRDefault="00000000">
      <w:pPr>
        <w:spacing w:after="80" w:line="270" w:lineRule="auto"/>
        <w:ind w:left="340" w:hanging="200"/>
      </w:pPr>
      <w:r>
        <w:rPr>
          <w:color w:val="A796B5"/>
        </w:rPr>
        <w:t xml:space="preserve">•   </w:t>
      </w:r>
      <w:r>
        <w:t>The outcome was adjudicated as part of a randomized trial [2], not extracted from routine notes, so the labels are as clean as this field gets.</w:t>
      </w:r>
    </w:p>
    <w:p w14:paraId="450E5F55" w14:textId="77777777" w:rsidR="00A45CEB" w:rsidRDefault="00000000">
      <w:pPr>
        <w:spacing w:after="80" w:line="270" w:lineRule="auto"/>
        <w:ind w:left="340" w:hanging="200"/>
      </w:pPr>
      <w:r>
        <w:rPr>
          <w:color w:val="A796B5"/>
        </w:rPr>
        <w:t xml:space="preserve">•   </w:t>
      </w:r>
      <w:r>
        <w:t>It is held on NICHD DASH [9], which is an application and a data use agreement [10] — a defined process with a known route, not an open-ended negotiation.</w:t>
      </w:r>
    </w:p>
    <w:p w14:paraId="536C11C6" w14:textId="77777777" w:rsidR="00A45CEB" w:rsidRDefault="00000000">
      <w:pPr>
        <w:spacing w:before="300" w:after="110"/>
      </w:pPr>
      <w:r>
        <w:rPr>
          <w:b/>
          <w:bCs/>
          <w:color w:val="3B2F45"/>
          <w:sz w:val="24"/>
          <w:szCs w:val="24"/>
        </w:rPr>
        <w:t>Second choice — nuMoM2b [1]</w:t>
      </w:r>
    </w:p>
    <w:tbl>
      <w:tblPr>
        <w:tblW w:w="9020" w:type="dxa"/>
        <w:tblCellMar>
          <w:left w:w="10" w:type="dxa"/>
          <w:right w:w="10" w:type="dxa"/>
        </w:tblCellMar>
        <w:tblLook w:val="04A0" w:firstRow="1" w:lastRow="0" w:firstColumn="1" w:lastColumn="0" w:noHBand="0" w:noVBand="1"/>
      </w:tblPr>
      <w:tblGrid>
        <w:gridCol w:w="9020"/>
      </w:tblGrid>
      <w:tr w:rsidR="00A45CEB" w14:paraId="43D1BDEF" w14:textId="77777777">
        <w:trPr>
          <w:cantSplit/>
        </w:trPr>
        <w:tc>
          <w:tcPr>
            <w:tcW w:w="9020" w:type="dxa"/>
            <w:tcBorders>
              <w:left w:val="single" w:sz="28" w:space="0" w:color="9E4F66"/>
            </w:tcBorders>
            <w:shd w:val="clear" w:color="auto" w:fill="FBEFF2"/>
            <w:tcMar>
              <w:top w:w="200" w:type="dxa"/>
              <w:left w:w="260" w:type="dxa"/>
              <w:bottom w:w="200" w:type="dxa"/>
              <w:right w:w="240" w:type="dxa"/>
            </w:tcMar>
          </w:tcPr>
          <w:p w14:paraId="73F2C739" w14:textId="77777777" w:rsidR="00A45CEB" w:rsidRDefault="00000000">
            <w:pPr>
              <w:spacing w:line="285" w:lineRule="auto"/>
            </w:pPr>
            <w:r>
              <w:rPr>
                <w:b/>
                <w:bCs/>
                <w:color w:val="9E4F66"/>
                <w:sz w:val="21"/>
                <w:szCs w:val="21"/>
              </w:rPr>
              <w:t>Because it is the only candidate with real measurements over time, which is what a risk-over-time model requires.</w:t>
            </w:r>
          </w:p>
        </w:tc>
      </w:tr>
    </w:tbl>
    <w:p w14:paraId="607046C6" w14:textId="77777777" w:rsidR="00A45CEB" w:rsidRDefault="00A45CEB">
      <w:pPr>
        <w:spacing w:after="140"/>
      </w:pPr>
    </w:p>
    <w:p w14:paraId="4E5808AC" w14:textId="77777777" w:rsidR="00A45CEB" w:rsidRDefault="00000000">
      <w:pPr>
        <w:spacing w:after="80" w:line="270" w:lineRule="auto"/>
        <w:ind w:left="340" w:hanging="200"/>
      </w:pPr>
      <w:r>
        <w:rPr>
          <w:color w:val="A796B5"/>
        </w:rPr>
        <w:t xml:space="preserve">•   </w:t>
      </w:r>
      <w:r>
        <w:t>Three antenatal visits plus delivery for each woman [1]. Most cohorts record one snapshot; this one records a trajectory, which is what BADIRA is designed to predict.</w:t>
      </w:r>
    </w:p>
    <w:p w14:paraId="22519A29" w14:textId="77777777" w:rsidR="00A45CEB" w:rsidRDefault="00000000">
      <w:pPr>
        <w:spacing w:after="80" w:line="270" w:lineRule="auto"/>
        <w:ind w:left="340" w:hanging="200"/>
      </w:pPr>
      <w:r>
        <w:rPr>
          <w:color w:val="A796B5"/>
        </w:rPr>
        <w:t xml:space="preserve">•   </w:t>
      </w:r>
      <w:r>
        <w:t>It is the largest well-documented cohort on the list, with preeclampsia as a primary study outcome and full published methods [1].</w:t>
      </w:r>
    </w:p>
    <w:p w14:paraId="2F93CB0C" w14:textId="77777777" w:rsidR="00A45CEB" w:rsidRDefault="00000000">
      <w:pPr>
        <w:spacing w:after="80" w:line="270" w:lineRule="auto"/>
        <w:ind w:left="340" w:hanging="200"/>
      </w:pPr>
      <w:r>
        <w:rPr>
          <w:color w:val="A796B5"/>
        </w:rPr>
        <w:t xml:space="preserve">•   </w:t>
      </w:r>
      <w:r>
        <w:t>Its known weakness — nulliparous by design, so six of the eighteen Woman Schema fields are empty or constant — is exactly what HRA [2] supplies. The two together cover both populations and both halves of the schema.</w:t>
      </w:r>
    </w:p>
    <w:p w14:paraId="53E14F05" w14:textId="77777777" w:rsidR="00A45CEB" w:rsidRDefault="00A45CEB">
      <w:pPr>
        <w:spacing w:after="160"/>
      </w:pPr>
    </w:p>
    <w:p w14:paraId="05A14D7C" w14:textId="77777777" w:rsidR="00A45CEB" w:rsidRDefault="00000000">
      <w:pPr>
        <w:spacing w:before="300" w:after="110"/>
      </w:pPr>
      <w:r>
        <w:rPr>
          <w:b/>
          <w:bCs/>
          <w:color w:val="3B2F45"/>
          <w:sz w:val="24"/>
          <w:szCs w:val="24"/>
        </w:rPr>
        <w:t>Why this pair, and not any other</w:t>
      </w:r>
    </w:p>
    <w:tbl>
      <w:tblPr>
        <w:tblW w:w="9020" w:type="dxa"/>
        <w:tblCellMar>
          <w:left w:w="10" w:type="dxa"/>
          <w:right w:w="10" w:type="dxa"/>
        </w:tblCellMar>
        <w:tblLook w:val="04A0" w:firstRow="1" w:lastRow="0" w:firstColumn="1" w:lastColumn="0" w:noHBand="0" w:noVBand="1"/>
      </w:tblPr>
      <w:tblGrid>
        <w:gridCol w:w="9020"/>
      </w:tblGrid>
      <w:tr w:rsidR="00A45CEB" w14:paraId="28F66D1D" w14:textId="77777777">
        <w:trPr>
          <w:cantSplit/>
        </w:trPr>
        <w:tc>
          <w:tcPr>
            <w:tcW w:w="9020" w:type="dxa"/>
            <w:tcBorders>
              <w:left w:val="single" w:sz="28" w:space="0" w:color="8A6B22"/>
            </w:tcBorders>
            <w:shd w:val="clear" w:color="auto" w:fill="FBF6EA"/>
            <w:tcMar>
              <w:top w:w="200" w:type="dxa"/>
              <w:left w:w="260" w:type="dxa"/>
              <w:bottom w:w="200" w:type="dxa"/>
              <w:right w:w="240" w:type="dxa"/>
            </w:tcMar>
          </w:tcPr>
          <w:p w14:paraId="18263949" w14:textId="77777777" w:rsidR="00A45CEB" w:rsidRDefault="00000000">
            <w:pPr>
              <w:spacing w:after="100" w:line="285" w:lineRule="auto"/>
            </w:pPr>
            <w:r>
              <w:rPr>
                <w:b/>
                <w:bCs/>
                <w:color w:val="8A6B22"/>
                <w:sz w:val="21"/>
                <w:szCs w:val="21"/>
              </w:rPr>
              <w:t xml:space="preserve">nuMoM2b [1], MFMU HRA [2] and MFMU LRA [3] are held in the same repository [9]. One application, one Data Use Agreement [10] and one </w:t>
            </w:r>
            <w:proofErr w:type="spellStart"/>
            <w:r>
              <w:rPr>
                <w:b/>
                <w:bCs/>
                <w:color w:val="8A6B22"/>
                <w:sz w:val="21"/>
                <w:szCs w:val="21"/>
              </w:rPr>
              <w:t>authorised</w:t>
            </w:r>
            <w:proofErr w:type="spellEnd"/>
            <w:r>
              <w:rPr>
                <w:b/>
                <w:bCs/>
                <w:color w:val="8A6B22"/>
                <w:sz w:val="21"/>
                <w:szCs w:val="21"/>
              </w:rPr>
              <w:t xml:space="preserve"> signature from the university [11] reach all three.</w:t>
            </w:r>
          </w:p>
          <w:p w14:paraId="0D705195" w14:textId="77777777" w:rsidR="00A45CEB" w:rsidRDefault="00000000">
            <w:pPr>
              <w:spacing w:line="285" w:lineRule="auto"/>
            </w:pPr>
            <w:r>
              <w:t>That is the most important practical fact in this task. The two recommended datasets cost the same effort to obtain as one, and LRA comes with them at no additional cost.</w:t>
            </w:r>
          </w:p>
        </w:tc>
      </w:tr>
    </w:tbl>
    <w:p w14:paraId="10C4BCEB" w14:textId="77777777" w:rsidR="00A45CEB" w:rsidRDefault="00A45CEB">
      <w:pPr>
        <w:spacing w:after="180"/>
      </w:pPr>
    </w:p>
    <w:p w14:paraId="30F50D20" w14:textId="77777777" w:rsidR="005A3550" w:rsidRDefault="005A3550">
      <w:pPr>
        <w:pBdr>
          <w:bottom w:val="single" w:sz="8" w:space="6" w:color="D8D0D6"/>
        </w:pBdr>
        <w:spacing w:before="400" w:after="150"/>
        <w:rPr>
          <w:b/>
          <w:bCs/>
          <w:color w:val="3B2F45"/>
          <w:sz w:val="24"/>
          <w:szCs w:val="24"/>
        </w:rPr>
      </w:pPr>
    </w:p>
    <w:p w14:paraId="698E897F" w14:textId="1354A2C5" w:rsidR="00A45CEB" w:rsidRDefault="00000000">
      <w:pPr>
        <w:pBdr>
          <w:bottom w:val="single" w:sz="8" w:space="6" w:color="D8D0D6"/>
        </w:pBdr>
        <w:spacing w:before="400" w:after="150"/>
      </w:pPr>
      <w:r>
        <w:rPr>
          <w:b/>
          <w:bCs/>
          <w:color w:val="4B3A5A"/>
          <w:sz w:val="30"/>
          <w:szCs w:val="30"/>
        </w:rPr>
        <w:lastRenderedPageBreak/>
        <w:t>Sources</w:t>
      </w:r>
    </w:p>
    <w:p w14:paraId="1C3DB00B" w14:textId="77777777" w:rsidR="00A45CEB" w:rsidRDefault="00000000">
      <w:pPr>
        <w:spacing w:after="130" w:line="280" w:lineRule="auto"/>
      </w:pPr>
      <w:r>
        <w:rPr>
          <w:i/>
          <w:iCs/>
          <w:color w:val="6E6478"/>
        </w:rPr>
        <w:t>Cited in the text and tables as [1] to [15].</w:t>
      </w:r>
    </w:p>
    <w:p w14:paraId="059766D9" w14:textId="77777777" w:rsidR="00A45CEB" w:rsidRDefault="00000000">
      <w:pPr>
        <w:spacing w:before="230" w:after="90"/>
      </w:pPr>
      <w:r>
        <w:rPr>
          <w:b/>
          <w:bCs/>
          <w:color w:val="6B5780"/>
          <w:sz w:val="21"/>
          <w:szCs w:val="21"/>
        </w:rPr>
        <w:t>Study publications and datasets</w:t>
      </w:r>
    </w:p>
    <w:p w14:paraId="1C5145F0" w14:textId="77777777" w:rsidR="00A45CEB" w:rsidRDefault="00000000">
      <w:pPr>
        <w:spacing w:after="80" w:line="270" w:lineRule="auto"/>
        <w:ind w:left="400" w:hanging="260"/>
      </w:pPr>
      <w:r>
        <w:rPr>
          <w:b/>
          <w:bCs/>
          <w:color w:val="6B5780"/>
        </w:rPr>
        <w:t xml:space="preserve">1.   </w:t>
      </w:r>
      <w:r>
        <w:t>Haas DM, Parker CB, Wing DA, et al. A description of the methods of the Nulliparous Pregnancy Outcomes Study: Monitoring Mothers-to-Be (nuMoM2b). American Journal of Obstetrics and Gynecology. 2015;212(4</w:t>
      </w:r>
      <w:proofErr w:type="gramStart"/>
      <w:r>
        <w:t>):539.e</w:t>
      </w:r>
      <w:proofErr w:type="gramEnd"/>
      <w:r>
        <w:t>1–539.e24. See also the NICHD nuMoM2b study page.</w:t>
      </w:r>
    </w:p>
    <w:p w14:paraId="74F4B704" w14:textId="77777777" w:rsidR="00A45CEB" w:rsidRDefault="00000000">
      <w:pPr>
        <w:spacing w:after="80" w:line="270" w:lineRule="auto"/>
        <w:ind w:left="400" w:hanging="260"/>
      </w:pPr>
      <w:r>
        <w:rPr>
          <w:b/>
          <w:bCs/>
          <w:color w:val="6B5780"/>
        </w:rPr>
        <w:t xml:space="preserve">2.   </w:t>
      </w:r>
      <w:proofErr w:type="spellStart"/>
      <w:r>
        <w:t>Caritis</w:t>
      </w:r>
      <w:proofErr w:type="spellEnd"/>
      <w:r>
        <w:t xml:space="preserve"> S, </w:t>
      </w:r>
      <w:proofErr w:type="spellStart"/>
      <w:r>
        <w:t>Sibai</w:t>
      </w:r>
      <w:proofErr w:type="spellEnd"/>
      <w:r>
        <w:t xml:space="preserve"> B, Hauth J, et al. Low-dose aspirin to prevent preeclampsia in women at high risk. New England Journal of Medicine. </w:t>
      </w:r>
      <w:proofErr w:type="gramStart"/>
      <w:r>
        <w:t>1998;338:701</w:t>
      </w:r>
      <w:proofErr w:type="gramEnd"/>
      <w:r>
        <w:t>–705. (MFMU High-Risk Aspirin trial.)</w:t>
      </w:r>
    </w:p>
    <w:p w14:paraId="6B1E0272" w14:textId="77777777" w:rsidR="00A45CEB" w:rsidRDefault="00000000">
      <w:pPr>
        <w:spacing w:after="80" w:line="270" w:lineRule="auto"/>
        <w:ind w:left="400" w:hanging="260"/>
      </w:pPr>
      <w:r>
        <w:rPr>
          <w:b/>
          <w:bCs/>
          <w:color w:val="6B5780"/>
        </w:rPr>
        <w:t xml:space="preserve">3.   </w:t>
      </w:r>
      <w:proofErr w:type="spellStart"/>
      <w:r>
        <w:t>Sibai</w:t>
      </w:r>
      <w:proofErr w:type="spellEnd"/>
      <w:r>
        <w:t xml:space="preserve"> BM, </w:t>
      </w:r>
      <w:proofErr w:type="spellStart"/>
      <w:r>
        <w:t>Caritis</w:t>
      </w:r>
      <w:proofErr w:type="spellEnd"/>
      <w:r>
        <w:t xml:space="preserve"> SN, Thom E, et al. Prevention of preeclampsia with low-dose aspirin in healthy, nulliparous pregnant women. New England Journal of Medicine. </w:t>
      </w:r>
      <w:proofErr w:type="gramStart"/>
      <w:r>
        <w:t>1993;329:1213</w:t>
      </w:r>
      <w:proofErr w:type="gramEnd"/>
      <w:r>
        <w:t>–1218. (MFMU Low-Risk Aspirin trial.)</w:t>
      </w:r>
    </w:p>
    <w:p w14:paraId="7950C220" w14:textId="77777777" w:rsidR="00A45CEB" w:rsidRDefault="00000000">
      <w:pPr>
        <w:spacing w:after="80" w:line="270" w:lineRule="auto"/>
        <w:ind w:left="400" w:hanging="260"/>
      </w:pPr>
      <w:r>
        <w:rPr>
          <w:b/>
          <w:bCs/>
          <w:color w:val="6B5780"/>
        </w:rPr>
        <w:t xml:space="preserve">4.   </w:t>
      </w:r>
      <w:r>
        <w:t xml:space="preserve">RAHMA cohort profile. PLOS ONE. 2016. </w:t>
      </w:r>
      <w:proofErr w:type="gramStart"/>
      <w:r>
        <w:t>doi:10.1371/journal.pone</w:t>
      </w:r>
      <w:proofErr w:type="gramEnd"/>
      <w:r>
        <w:t xml:space="preserve">.0150297. (Riyadh mother-and-baby </w:t>
      </w:r>
      <w:proofErr w:type="spellStart"/>
      <w:r>
        <w:t>multicentre</w:t>
      </w:r>
      <w:proofErr w:type="spellEnd"/>
      <w:r>
        <w:t xml:space="preserve"> cohort; source of the 14,568 figure and the 1.2% preeclampsia rate.)</w:t>
      </w:r>
    </w:p>
    <w:p w14:paraId="2A34496D" w14:textId="77777777" w:rsidR="00A45CEB" w:rsidRDefault="00000000">
      <w:pPr>
        <w:spacing w:after="80" w:line="270" w:lineRule="auto"/>
        <w:ind w:left="400" w:hanging="260"/>
      </w:pPr>
      <w:r>
        <w:rPr>
          <w:b/>
          <w:bCs/>
          <w:color w:val="6B5780"/>
        </w:rPr>
        <w:t xml:space="preserve">5.   </w:t>
      </w:r>
      <w:proofErr w:type="spellStart"/>
      <w:r>
        <w:t>Mutaba’ah</w:t>
      </w:r>
      <w:proofErr w:type="spellEnd"/>
      <w:r>
        <w:t xml:space="preserve"> Study cohort profile. Population Medicine. Study protocol published in BMJ Open. (UAE, Al Ain; UAE University with three hospitals.)</w:t>
      </w:r>
    </w:p>
    <w:p w14:paraId="32F1A18E" w14:textId="77777777" w:rsidR="00A45CEB" w:rsidRDefault="00000000">
      <w:pPr>
        <w:spacing w:after="80" w:line="270" w:lineRule="auto"/>
        <w:ind w:left="400" w:hanging="260"/>
      </w:pPr>
      <w:r>
        <w:rPr>
          <w:b/>
          <w:bCs/>
          <w:color w:val="6B5780"/>
        </w:rPr>
        <w:t xml:space="preserve">6.   </w:t>
      </w:r>
      <w:r>
        <w:t>Qatar Birth Cohort (</w:t>
      </w:r>
      <w:proofErr w:type="spellStart"/>
      <w:r>
        <w:t>QBiC</w:t>
      </w:r>
      <w:proofErr w:type="spellEnd"/>
      <w:r>
        <w:t>) phase I. BMC Public Health. 2017.</w:t>
      </w:r>
    </w:p>
    <w:p w14:paraId="7ACF9EF2" w14:textId="77777777" w:rsidR="00A45CEB" w:rsidRDefault="00000000">
      <w:pPr>
        <w:spacing w:after="80" w:line="270" w:lineRule="auto"/>
        <w:ind w:left="400" w:hanging="260"/>
      </w:pPr>
      <w:r>
        <w:rPr>
          <w:b/>
          <w:bCs/>
          <w:color w:val="6B5780"/>
        </w:rPr>
        <w:t xml:space="preserve">7.   </w:t>
      </w:r>
      <w:proofErr w:type="spellStart"/>
      <w:r>
        <w:t>Nujoom</w:t>
      </w:r>
      <w:proofErr w:type="spellEnd"/>
      <w:r>
        <w:t xml:space="preserve"> et al. Prevalence of preeclampsia in Saudi Arabia: a meta-analysis. Cureus. 2025. (4.80% prevalence; 27% awareness.)</w:t>
      </w:r>
    </w:p>
    <w:p w14:paraId="0A11AC5E" w14:textId="77777777" w:rsidR="00A45CEB" w:rsidRDefault="00000000">
      <w:pPr>
        <w:spacing w:after="80" w:line="270" w:lineRule="auto"/>
        <w:ind w:left="400" w:hanging="260"/>
      </w:pPr>
      <w:r>
        <w:rPr>
          <w:b/>
          <w:bCs/>
          <w:color w:val="6B5780"/>
        </w:rPr>
        <w:t xml:space="preserve">8.   </w:t>
      </w:r>
      <w:r>
        <w:t>Metformin for the prevention of preeclampsia — trial data deposited in the Dryad Digital Repository.</w:t>
      </w:r>
    </w:p>
    <w:p w14:paraId="630E4EC3" w14:textId="77777777" w:rsidR="00A45CEB" w:rsidRDefault="00000000">
      <w:pPr>
        <w:spacing w:before="230" w:after="90"/>
      </w:pPr>
      <w:r>
        <w:rPr>
          <w:b/>
          <w:bCs/>
          <w:color w:val="6B5780"/>
          <w:sz w:val="21"/>
          <w:szCs w:val="21"/>
        </w:rPr>
        <w:t>Repositories and access routes</w:t>
      </w:r>
    </w:p>
    <w:p w14:paraId="36F08D05" w14:textId="77777777" w:rsidR="00A45CEB" w:rsidRDefault="00000000">
      <w:pPr>
        <w:spacing w:after="80" w:line="270" w:lineRule="auto"/>
        <w:ind w:left="400" w:hanging="260"/>
      </w:pPr>
      <w:r>
        <w:rPr>
          <w:b/>
          <w:bCs/>
          <w:color w:val="6B5780"/>
        </w:rPr>
        <w:t xml:space="preserve">9.   </w:t>
      </w:r>
      <w:r>
        <w:t>NICHD Data and Specimen Hub (DASH) — the repository holding nuMoM2b, MFMU HRA and MFMU LRA. dash.nichd.nih.gov</w:t>
      </w:r>
    </w:p>
    <w:p w14:paraId="455ECE29" w14:textId="77777777" w:rsidR="00A45CEB" w:rsidRDefault="00000000">
      <w:pPr>
        <w:spacing w:after="80" w:line="270" w:lineRule="auto"/>
        <w:ind w:left="400" w:hanging="260"/>
      </w:pPr>
      <w:r>
        <w:rPr>
          <w:b/>
          <w:bCs/>
          <w:color w:val="6B5780"/>
        </w:rPr>
        <w:t xml:space="preserve">10.   </w:t>
      </w:r>
      <w:r>
        <w:t>DASH — How to request data; Data Use Agreement (PDF); Data request checklist (PDF).</w:t>
      </w:r>
    </w:p>
    <w:p w14:paraId="6117D076" w14:textId="77777777" w:rsidR="00A45CEB" w:rsidRDefault="00000000">
      <w:pPr>
        <w:spacing w:after="80" w:line="270" w:lineRule="auto"/>
        <w:ind w:left="400" w:hanging="260"/>
      </w:pPr>
      <w:r>
        <w:rPr>
          <w:b/>
          <w:bCs/>
          <w:color w:val="6B5780"/>
        </w:rPr>
        <w:t xml:space="preserve">11.   </w:t>
      </w:r>
      <w:r>
        <w:t>DASH — Authorized Organization Representative (AOR) guide (PDF): who at the university must sign the agreement.</w:t>
      </w:r>
    </w:p>
    <w:p w14:paraId="69A52957" w14:textId="77777777" w:rsidR="00A45CEB" w:rsidRDefault="00000000">
      <w:pPr>
        <w:spacing w:after="80" w:line="270" w:lineRule="auto"/>
        <w:ind w:left="400" w:hanging="260"/>
      </w:pPr>
      <w:r>
        <w:rPr>
          <w:b/>
          <w:bCs/>
          <w:color w:val="6B5780"/>
        </w:rPr>
        <w:t xml:space="preserve">12.   </w:t>
      </w:r>
      <w:r>
        <w:t xml:space="preserve">Qatar Biobank / QPHI Research Portal — access route for </w:t>
      </w:r>
      <w:proofErr w:type="spellStart"/>
      <w:r>
        <w:t>QBiC</w:t>
      </w:r>
      <w:proofErr w:type="spellEnd"/>
      <w:r>
        <w:t>.</w:t>
      </w:r>
    </w:p>
    <w:p w14:paraId="002FCCB8" w14:textId="77777777" w:rsidR="00A45CEB" w:rsidRDefault="00000000">
      <w:pPr>
        <w:spacing w:after="80" w:line="270" w:lineRule="auto"/>
        <w:ind w:left="400" w:hanging="260"/>
      </w:pPr>
      <w:r>
        <w:rPr>
          <w:b/>
          <w:bCs/>
          <w:color w:val="6B5780"/>
        </w:rPr>
        <w:t xml:space="preserve">13.   </w:t>
      </w:r>
      <w:r>
        <w:t>Global Pregnancy Collaboration (</w:t>
      </w:r>
      <w:proofErr w:type="spellStart"/>
      <w:r>
        <w:t>CoLab</w:t>
      </w:r>
      <w:proofErr w:type="spellEnd"/>
      <w:r>
        <w:t>) and the COLLECT database — searched for further candidate cohorts.</w:t>
      </w:r>
    </w:p>
    <w:p w14:paraId="44CD67B7" w14:textId="77777777" w:rsidR="00A45CEB" w:rsidRDefault="00000000">
      <w:pPr>
        <w:spacing w:before="230" w:after="90"/>
      </w:pPr>
      <w:r>
        <w:rPr>
          <w:b/>
          <w:bCs/>
          <w:color w:val="6B5780"/>
          <w:sz w:val="21"/>
          <w:szCs w:val="21"/>
        </w:rPr>
        <w:t>Datasets examined and set aside</w:t>
      </w:r>
    </w:p>
    <w:p w14:paraId="1710AC27" w14:textId="77777777" w:rsidR="00A45CEB" w:rsidRDefault="00000000">
      <w:pPr>
        <w:spacing w:after="80" w:line="270" w:lineRule="auto"/>
        <w:ind w:left="400" w:hanging="260"/>
      </w:pPr>
      <w:r>
        <w:rPr>
          <w:b/>
          <w:bCs/>
          <w:color w:val="6B5780"/>
        </w:rPr>
        <w:t xml:space="preserve">14.   </w:t>
      </w:r>
      <w:r>
        <w:t>UCI Machine Learning Repository — Maternal Health Risk dataset. Excluded: no gestational age, no obstetric history, no preeclampsia outcome.</w:t>
      </w:r>
    </w:p>
    <w:p w14:paraId="75A91FC5" w14:textId="77777777" w:rsidR="00A45CEB" w:rsidRDefault="00000000">
      <w:pPr>
        <w:spacing w:after="80" w:line="270" w:lineRule="auto"/>
        <w:ind w:left="400" w:hanging="260"/>
      </w:pPr>
      <w:r>
        <w:rPr>
          <w:b/>
          <w:bCs/>
          <w:color w:val="6B5780"/>
        </w:rPr>
        <w:t xml:space="preserve">15.   </w:t>
      </w:r>
      <w:r>
        <w:t>Kaggle — Maternal Health and High-Risk Pregnancy dataset, updated July 2026. Excluded: provenance not verifiable.</w:t>
      </w:r>
    </w:p>
    <w:p w14:paraId="23DC8F38" w14:textId="09EB51F8" w:rsidR="00A45CEB" w:rsidRDefault="00A45CEB">
      <w:pPr>
        <w:spacing w:after="130" w:line="280" w:lineRule="auto"/>
      </w:pPr>
    </w:p>
    <w:sectPr w:rsidR="00A45CEB">
      <w:footerReference w:type="default" r:id="rId8"/>
      <w:pgSz w:w="11906" w:h="16838"/>
      <w:pgMar w:top="11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000C0" w14:textId="77777777" w:rsidR="00CA1BEB" w:rsidRDefault="00CA1BEB">
      <w:r>
        <w:separator/>
      </w:r>
    </w:p>
  </w:endnote>
  <w:endnote w:type="continuationSeparator" w:id="0">
    <w:p w14:paraId="304A4403" w14:textId="77777777" w:rsidR="00CA1BEB" w:rsidRDefault="00CA1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4A0E1" w14:textId="77777777" w:rsidR="00A45CEB" w:rsidRDefault="00000000">
    <w:pPr>
      <w:jc w:val="center"/>
    </w:pPr>
    <w:r>
      <w:rPr>
        <w:color w:val="6E6478"/>
        <w:sz w:val="15"/>
        <w:szCs w:val="15"/>
      </w:rPr>
      <w:t xml:space="preserve">BADIRA · Task 2 · Finding the Data   —   </w:t>
    </w:r>
    <w:r>
      <w:rPr>
        <w:color w:val="6E6478"/>
        <w:sz w:val="15"/>
        <w:szCs w:val="15"/>
      </w:rPr>
      <w:fldChar w:fldCharType="begin"/>
    </w:r>
    <w:r>
      <w:rPr>
        <w:color w:val="6E6478"/>
        <w:sz w:val="15"/>
        <w:szCs w:val="15"/>
      </w:rPr>
      <w:instrText>PAGE</w:instrText>
    </w:r>
    <w:r>
      <w:rPr>
        <w:color w:val="6E6478"/>
        <w:sz w:val="15"/>
        <w:szCs w:val="15"/>
      </w:rPr>
      <w:fldChar w:fldCharType="separate"/>
    </w:r>
    <w:r w:rsidR="005A3550">
      <w:rPr>
        <w:noProof/>
        <w:color w:val="6E6478"/>
        <w:sz w:val="15"/>
        <w:szCs w:val="15"/>
      </w:rPr>
      <w:t>1</w:t>
    </w:r>
    <w:r>
      <w:rPr>
        <w:color w:val="6E647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F2A91" w14:textId="77777777" w:rsidR="00CA1BEB" w:rsidRDefault="00CA1BEB">
      <w:r>
        <w:separator/>
      </w:r>
    </w:p>
  </w:footnote>
  <w:footnote w:type="continuationSeparator" w:id="0">
    <w:p w14:paraId="368507BC" w14:textId="77777777" w:rsidR="00CA1BEB" w:rsidRDefault="00CA1B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935B2"/>
    <w:multiLevelType w:val="hybridMultilevel"/>
    <w:tmpl w:val="35EC252C"/>
    <w:lvl w:ilvl="0" w:tplc="569AA892">
      <w:start w:val="1"/>
      <w:numFmt w:val="bullet"/>
      <w:lvlText w:val="●"/>
      <w:lvlJc w:val="left"/>
      <w:pPr>
        <w:ind w:left="720" w:hanging="360"/>
      </w:pPr>
    </w:lvl>
    <w:lvl w:ilvl="1" w:tplc="6CA4564C">
      <w:start w:val="1"/>
      <w:numFmt w:val="bullet"/>
      <w:lvlText w:val="○"/>
      <w:lvlJc w:val="left"/>
      <w:pPr>
        <w:ind w:left="1440" w:hanging="360"/>
      </w:pPr>
    </w:lvl>
    <w:lvl w:ilvl="2" w:tplc="28522E8A">
      <w:start w:val="1"/>
      <w:numFmt w:val="bullet"/>
      <w:lvlText w:val="■"/>
      <w:lvlJc w:val="left"/>
      <w:pPr>
        <w:ind w:left="2160" w:hanging="360"/>
      </w:pPr>
    </w:lvl>
    <w:lvl w:ilvl="3" w:tplc="D78004C2">
      <w:start w:val="1"/>
      <w:numFmt w:val="bullet"/>
      <w:lvlText w:val="●"/>
      <w:lvlJc w:val="left"/>
      <w:pPr>
        <w:ind w:left="2880" w:hanging="360"/>
      </w:pPr>
    </w:lvl>
    <w:lvl w:ilvl="4" w:tplc="084E0B76">
      <w:start w:val="1"/>
      <w:numFmt w:val="bullet"/>
      <w:lvlText w:val="○"/>
      <w:lvlJc w:val="left"/>
      <w:pPr>
        <w:ind w:left="3600" w:hanging="360"/>
      </w:pPr>
    </w:lvl>
    <w:lvl w:ilvl="5" w:tplc="0400B25C">
      <w:start w:val="1"/>
      <w:numFmt w:val="bullet"/>
      <w:lvlText w:val="■"/>
      <w:lvlJc w:val="left"/>
      <w:pPr>
        <w:ind w:left="4320" w:hanging="360"/>
      </w:pPr>
    </w:lvl>
    <w:lvl w:ilvl="6" w:tplc="FED025E2">
      <w:start w:val="1"/>
      <w:numFmt w:val="bullet"/>
      <w:lvlText w:val="●"/>
      <w:lvlJc w:val="left"/>
      <w:pPr>
        <w:ind w:left="5040" w:hanging="360"/>
      </w:pPr>
    </w:lvl>
    <w:lvl w:ilvl="7" w:tplc="9D36AE60">
      <w:start w:val="1"/>
      <w:numFmt w:val="bullet"/>
      <w:lvlText w:val="●"/>
      <w:lvlJc w:val="left"/>
      <w:pPr>
        <w:ind w:left="5760" w:hanging="360"/>
      </w:pPr>
    </w:lvl>
    <w:lvl w:ilvl="8" w:tplc="3AF083B2">
      <w:start w:val="1"/>
      <w:numFmt w:val="bullet"/>
      <w:lvlText w:val="●"/>
      <w:lvlJc w:val="left"/>
      <w:pPr>
        <w:ind w:left="6480" w:hanging="360"/>
      </w:pPr>
    </w:lvl>
  </w:abstractNum>
  <w:num w:numId="1" w16cid:durableId="21041103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CEB"/>
    <w:rsid w:val="004056A5"/>
    <w:rsid w:val="005A3550"/>
    <w:rsid w:val="00706BB3"/>
    <w:rsid w:val="00A45CEB"/>
    <w:rsid w:val="00CA1BEB"/>
    <w:rsid w:val="00E30264"/>
    <w:rsid w:val="00FD7D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9F24D"/>
  <w15:docId w15:val="{B3F49133-894F-4F56-A18A-C428EECAE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color w:val="2B253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1978</Words>
  <Characters>11279</Characters>
  <Application>Microsoft Office Word</Application>
  <DocSecurity>0</DocSecurity>
  <Lines>93</Lines>
  <Paragraphs>26</Paragraphs>
  <ScaleCrop>false</ScaleCrop>
  <Company/>
  <LinksUpToDate>false</LinksUpToDate>
  <CharactersWithSpaces>13231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dana mounayer</cp:lastModifiedBy>
  <cp:revision>4</cp:revision>
  <dcterms:created xsi:type="dcterms:W3CDTF">2026-09-30T07:40:00Z</dcterms:created>
  <dcterms:modified xsi:type="dcterms:W3CDTF">2026-10-04T05:41:00Z</dcterms:modified>
</cp:coreProperties>
</file>