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DDE63" w14:textId="77777777" w:rsidR="00C75609" w:rsidRPr="00DC77EC" w:rsidRDefault="00C75609" w:rsidP="00C756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1D996039" w14:textId="77777777" w:rsidR="00C75609" w:rsidRPr="00DC77EC" w:rsidRDefault="00C75609" w:rsidP="00C7560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14:paraId="200D1F89" w14:textId="77777777" w:rsidR="00C75609" w:rsidRPr="00DC77EC" w:rsidRDefault="00C75609" w:rsidP="00C7560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327F806B" w14:textId="77777777" w:rsidR="00C75609" w:rsidRPr="00DC77EC" w:rsidRDefault="00C75609" w:rsidP="00C756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06E64CE" w14:textId="77777777" w:rsidR="00C75609" w:rsidRPr="00DC77EC" w:rsidRDefault="00C75609" w:rsidP="00C756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061E2E2C" w14:textId="77777777" w:rsidR="00C75609" w:rsidRPr="00DC77EC" w:rsidRDefault="00C75609" w:rsidP="00C756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5D32EE" wp14:editId="49779F64">
            <wp:extent cx="1619250" cy="1924050"/>
            <wp:effectExtent l="19050" t="0" r="0" b="0"/>
            <wp:docPr id="28" name="Рисунок 28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E00B6" w14:textId="77777777" w:rsidR="00C75609" w:rsidRPr="00DC77EC" w:rsidRDefault="00C75609" w:rsidP="00C756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5CE1ED5" w14:textId="77777777" w:rsidR="00C75609" w:rsidRPr="00DC77EC" w:rsidRDefault="00C75609" w:rsidP="00C756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F81AD9E" w14:textId="32E7BF8B" w:rsidR="00C75609" w:rsidRDefault="00B97C88" w:rsidP="00C7560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Домашнее задание по курсу</w:t>
      </w:r>
    </w:p>
    <w:p w14:paraId="51CB06CF" w14:textId="5DC40AE7" w:rsidR="00B97C88" w:rsidRPr="00B97C88" w:rsidRDefault="00B97C88" w:rsidP="00B97C88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auto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color w:val="auto"/>
          <w:szCs w:val="24"/>
          <w:lang w:eastAsia="zh-CN"/>
        </w:rPr>
        <w:t>«</w:t>
      </w:r>
      <w:r w:rsidRPr="00B97C88">
        <w:rPr>
          <w:rFonts w:ascii="Times New Roman" w:eastAsia="Times New Roman" w:hAnsi="Times New Roman" w:cs="Times New Roman"/>
          <w:b/>
          <w:color w:val="auto"/>
          <w:szCs w:val="24"/>
          <w:lang w:eastAsia="zh-CN"/>
        </w:rPr>
        <w:t>Методы машинного обучения</w:t>
      </w:r>
      <w:r>
        <w:rPr>
          <w:rFonts w:ascii="Times New Roman" w:eastAsia="Times New Roman" w:hAnsi="Times New Roman" w:cs="Times New Roman"/>
          <w:b/>
          <w:color w:val="auto"/>
          <w:szCs w:val="24"/>
          <w:lang w:eastAsia="zh-CN"/>
        </w:rPr>
        <w:t>»</w:t>
      </w:r>
    </w:p>
    <w:p w14:paraId="7FAC0BF0" w14:textId="44E318A2" w:rsidR="00B97C88" w:rsidRDefault="00B97C88" w:rsidP="00C7560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5734DB16" w14:textId="15A15300" w:rsidR="00B97C88" w:rsidRDefault="00B97C88" w:rsidP="00C7560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Реферат на тему:</w:t>
      </w:r>
    </w:p>
    <w:p w14:paraId="68F9E676" w14:textId="77777777" w:rsidR="00B97C88" w:rsidRPr="00B97C88" w:rsidRDefault="00B97C88" w:rsidP="00C7560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6CEE50E0" w14:textId="29134924" w:rsidR="00C75609" w:rsidRPr="00B97C88" w:rsidRDefault="00C75609" w:rsidP="00B97C88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 w:rsidRPr="00B97C88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«</w:t>
      </w:r>
      <w:r w:rsidR="00B97C88" w:rsidRPr="00B97C88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Проблемы классификация видов деревьев по данным </w:t>
      </w:r>
      <w:proofErr w:type="spellStart"/>
      <w:r w:rsidR="00B97C88" w:rsidRPr="00B97C88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LiDAR</w:t>
      </w:r>
      <w:proofErr w:type="spellEnd"/>
      <w:r w:rsidR="00B97C88" w:rsidRPr="00B97C88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 xml:space="preserve"> с помощью модели глубокого обучения</w:t>
      </w:r>
      <w:r w:rsidRPr="00B97C88"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»</w:t>
      </w:r>
    </w:p>
    <w:p w14:paraId="0DA19059" w14:textId="77777777" w:rsidR="00C75609" w:rsidRDefault="00C75609" w:rsidP="00C75609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</w:p>
    <w:p w14:paraId="3C326B18" w14:textId="14C8529F" w:rsidR="00C75609" w:rsidRDefault="00C75609" w:rsidP="00C756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zh-CN"/>
        </w:rPr>
      </w:pPr>
    </w:p>
    <w:p w14:paraId="64165030" w14:textId="77777777" w:rsidR="00C75609" w:rsidRDefault="00C75609" w:rsidP="00C756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75435EBE" w14:textId="77777777" w:rsidR="00C75609" w:rsidRDefault="00C75609" w:rsidP="00C756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349695DC" w14:textId="77777777" w:rsidR="00C75609" w:rsidRDefault="00C75609" w:rsidP="00C756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</w:p>
    <w:p w14:paraId="0FFFF610" w14:textId="77777777" w:rsidR="00C75609" w:rsidRPr="00DC77EC" w:rsidRDefault="00C75609" w:rsidP="00C756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698F6ED2" w14:textId="77777777" w:rsidR="00C75609" w:rsidRPr="00DC77EC" w:rsidRDefault="00C75609" w:rsidP="00C7560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E9B522B" w14:textId="77777777" w:rsidR="00C75609" w:rsidRPr="00DC77EC" w:rsidRDefault="00C75609" w:rsidP="00C75609">
      <w:pPr>
        <w:suppressAutoHyphens/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ИСПОЛНИТЕЛЬ:</w:t>
      </w:r>
    </w:p>
    <w:p w14:paraId="67AC1A54" w14:textId="77777777" w:rsidR="00C75609" w:rsidRPr="00DC77EC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Нурлыева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Дана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Джалилевна</w:t>
      </w:r>
      <w:proofErr w:type="spellEnd"/>
    </w:p>
    <w:p w14:paraId="507AF922" w14:textId="77777777" w:rsidR="00C75609" w:rsidRPr="003A32AE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Группа ИУ5-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21М</w:t>
      </w:r>
    </w:p>
    <w:p w14:paraId="18B4676B" w14:textId="77777777" w:rsidR="00C75609" w:rsidRPr="00DC77EC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_____________________</w:t>
      </w:r>
    </w:p>
    <w:p w14:paraId="5BF03415" w14:textId="77777777" w:rsidR="00C75609" w:rsidRPr="00DC77EC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90AFD05" w14:textId="77777777" w:rsidR="00C75609" w:rsidRPr="00DC77EC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"__"___________2021</w:t>
      </w:r>
      <w:r w:rsidRPr="00DC77E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г.</w:t>
      </w:r>
    </w:p>
    <w:p w14:paraId="5F43CA31" w14:textId="77777777" w:rsidR="00C75609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6B0B3A2" w14:textId="77777777" w:rsidR="00C75609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E83508" w14:textId="77777777" w:rsidR="00C75609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E472BF3" w14:textId="77777777" w:rsidR="00C75609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B6E0463" w14:textId="77777777" w:rsidR="00C75609" w:rsidRPr="00DC77EC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91D9F1B" w14:textId="0755572C" w:rsidR="00C75609" w:rsidRPr="00DC77EC" w:rsidRDefault="00C75609" w:rsidP="00B97C88">
      <w:pPr>
        <w:tabs>
          <w:tab w:val="left" w:pos="4020"/>
        </w:tabs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06DA439" w14:textId="77777777" w:rsidR="00C75609" w:rsidRPr="00DC77EC" w:rsidRDefault="00C75609" w:rsidP="00C75609">
      <w:pPr>
        <w:suppressAutoHyphens/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42219C" w14:textId="77777777" w:rsidR="00C75609" w:rsidRPr="00DC77EC" w:rsidRDefault="00C75609" w:rsidP="00C75609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Москва        2021</w:t>
      </w:r>
    </w:p>
    <w:p w14:paraId="62942CE2" w14:textId="2A26B79A" w:rsidR="00C75609" w:rsidRDefault="00C75609"/>
    <w:p w14:paraId="530E7022" w14:textId="41AB4BA6" w:rsidR="00B97C88" w:rsidRDefault="00B97C88" w:rsidP="00B97C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B97C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Аннотация</w:t>
      </w:r>
    </w:p>
    <w:p w14:paraId="6381F240" w14:textId="77777777" w:rsidR="00031FDB" w:rsidRPr="00B97C88" w:rsidRDefault="00031FDB" w:rsidP="00B97C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0AD5949B" w14:textId="54BEF4C3" w:rsidR="00B97C88" w:rsidRPr="00B97C88" w:rsidRDefault="00031FDB" w:rsidP="00031FD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Инвентаризация деревьев-важная задача для экологии, расчета поглощения углекислого газа и обустройства города. Но разные типы деревьев имеют свои особенности, и проблема их автоматической классификации является актуальной. В настоящее время для решения этой задачи используются различные датчики, но наиболее часто используется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Применяются различные методы классификации, включая глубокое обучение. Одной из современных моделей глубокого обучения для данных облака точек является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PointNet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Поэтому авторы этой работы применили его для классификации древесных пород. В России есть свой собственный специфический набор древесных пород, и авторы собрали для исследования набор данных, содержащий типичные для этой области виды деревьев, и провели его маркировку. Результаты показали хорошие возможности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PointNet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классификации видов деревьев, но выявили проблему недостаточности данных для высокой точности обучения и трудности с ручной маркировкой экземпляров на основе данных облака точек. В статье даны рекомендации по преодолению этих проблем.</w:t>
      </w:r>
    </w:p>
    <w:p w14:paraId="34945E82" w14:textId="77777777" w:rsidR="00031FDB" w:rsidRDefault="00B97C88" w:rsidP="00031F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B97C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Вступление</w:t>
      </w:r>
    </w:p>
    <w:p w14:paraId="379A9DFA" w14:textId="77777777" w:rsidR="00031FDB" w:rsidRDefault="00031FDB" w:rsidP="00031F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14:paraId="00311F85" w14:textId="59CD9D11" w:rsidR="00031FDB" w:rsidRPr="00031FDB" w:rsidRDefault="00031FDB" w:rsidP="00031FD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Одной из наиболее обсуждаемых и актуальных проблем на данный момент является проблема экологии. Существует огромное количество различных факторов, влияющих на состояние природы, и одним из них является углерод. Это совокупность всех выбросов парниковых газов, которые прямо или косвенно сопровождают любую деятельность человека или организации с точки зрения углекислого газа. Чтобы ограничить глобальное потепление по сравнению с доиндустриальным уровнем, было принято Парижское соглашение. Это юридически обязательный международный договор об изменении климата, вступивший в силу 4 ноября 2016 года[1].</w:t>
      </w:r>
    </w:p>
    <w:p w14:paraId="7792E803" w14:textId="6AB6CB48" w:rsidR="00031FDB" w:rsidRP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соответствии с этим соглашением странам рекомендуется принимать меры по осуществлению и поддержке мероприятий, связанных с сохранением лесов, устойчивым лесопользованием и увеличением запасов углерода в лесах в развивающихся странах. [1] Именно поэтому возникает необходимость следить за ситуацией с лесными насаждениями и за тем, сколько углерода будет поглощено той или иной частью лесной насаждения. Точная характеристика лесных видов и их пространственное распределение имеют решающее значение для устойчивого лесопользования, а также для экологии и охраны окружающей среды [2, 3]. В случае городских районов классификация видов деревьев привлекает все большее внимание для моделирования шума, а также экологического анализа, поскольку деревья играют решающую роль в городских экосистемах для поддержания качества окружающей среды, эстетической красоты городского ландшафта [4].</w:t>
      </w:r>
    </w:p>
    <w:p w14:paraId="59DBABDB" w14:textId="77777777" w:rsidR="00031FDB" w:rsidRP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 последние 35 лет число исследований, посвященных классификации древесных пород, постоянно росло, что хорошо подтверждается общей тенденцией к увеличению публикационной активности [5]. Между периодами 2005-2010 и 2010-2015 годов наблюдается почти экспоненциальный рост, обусловленный увеличением доступности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гиперспектральных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бортовых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лидарных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данных. Оба источника данных часто применяются в контексте инвентаризации лесов, причем древесные породы являются одним из наиболее популярных целевых вариантов, помимо общего объема растущего запаса и биомассы [5]. Лесные насаждения в Российской Федерации имеют свои особенности и требуют исследований по видам данной территории [6].</w:t>
      </w:r>
    </w:p>
    <w:p w14:paraId="5B5CE705" w14:textId="15CF3C1E" w:rsidR="00031FDB" w:rsidRP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LiDAR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Light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Detection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and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Ranging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</w:t>
      </w:r>
      <w:proofErr w:type="gram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это</w:t>
      </w:r>
      <w:proofErr w:type="gram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технология дистанционного зондирования, которая использует свет в виде импульсного лазера для измерения переменных расстояний до объекта. Излучая инфракрасные лазерные импульсы, а также регистрируя местоположение и ориентацию объекта в пространстве, формируется плотное трехмерное облако точек, отражающее окружающее пространство. Растущая доступность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лидара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вызвала большой интерес у менеджеров природных ресурсов, поскольку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LiDAR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можно использовать для измерения характеристик деревьев [7]. В то же время точность классификации отдельных деревьев остается низкой [2].</w:t>
      </w:r>
    </w:p>
    <w:p w14:paraId="16178B54" w14:textId="0135D655" w:rsidR="00031FDB" w:rsidRP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Различные типы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лидаров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уже используются для классификации видов деревьев. В течение последнего десятилетия исследователи изучали возможность использования данных бортового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лидара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классификации типов древостоев или отдельных видов [2]. Более поздний мобильный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LiDAR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привлек большое внимание к обнаружению и моделированию городской растительности, поскольку он </w:t>
      </w:r>
      <w:r w:rsidR="00B06D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создаёт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</w:t>
      </w:r>
      <w:r w:rsidR="00B06D4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гораздо более высокой плотностью точек и более полным охватом данных, чем бортовая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лидарная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система, и с более высокой эффективностью, чем наземная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лидарная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система [4].</w:t>
      </w:r>
    </w:p>
    <w:p w14:paraId="2048C732" w14:textId="32F1B0CE" w:rsid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Для классификации деревьев применяются различные алгоритмы. Сначала наиболее широко используемые методы классификации включали контролируемые классификаторы максимального правдоподобия и неконтролируемую кластеризацию (K-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means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ISODATA). Позже в качестве альтернативы другим классификаторам появились непараметрические классификаторы на основе дерева решений и нейронные сети. В некоторых недавних исследованиях, использующих смешанные наборы входных переменных, предпочтение отдается использованию непараметрических методов машинного обучения, таких как RF или SVM [5].</w:t>
      </w:r>
    </w:p>
    <w:p w14:paraId="7A5A106A" w14:textId="77777777" w:rsid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К</w:t>
      </w:r>
      <w:r w:rsidRPr="00031F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лассификация </w:t>
      </w:r>
      <w:proofErr w:type="spellStart"/>
      <w:r w:rsidRPr="00031F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лидарных</w:t>
      </w:r>
      <w:proofErr w:type="spellEnd"/>
      <w:r w:rsidRPr="00031F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данных</w:t>
      </w:r>
      <w:r w:rsidRPr="00031F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 помощью </w:t>
      </w:r>
      <w:proofErr w:type="spellStart"/>
      <w:r w:rsidRPr="00031FD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PointNet</w:t>
      </w:r>
      <w:proofErr w:type="spellEnd"/>
    </w:p>
    <w:p w14:paraId="094C764B" w14:textId="1B933B63" w:rsidR="00031FDB" w:rsidRP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Облако точек</w:t>
      </w:r>
      <w:proofErr w:type="gram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-это</w:t>
      </w:r>
      <w:proofErr w:type="gram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самый простой способ представления объекта в виде набора отдельных точек в геометрической системе координат X, Y и Z. Облака точек создаются путем сканирования объектов или их структуры с помощью 3D-датчиков, таких как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процессе глубокого обучения для 3D-облака точек обычно решаются две задачи: классификация и сегментация.</w:t>
      </w:r>
    </w:p>
    <w:p w14:paraId="7D188D66" w14:textId="5562E367" w:rsidR="00031FDB" w:rsidRP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PointNet</w:t>
      </w:r>
      <w:proofErr w:type="spellEnd"/>
      <w:proofErr w:type="gram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-это</w:t>
      </w:r>
      <w:proofErr w:type="gram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модель, обрабатывающая неструктурированные данные облака точек с использованием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сверточной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нейронной сети. Архитектура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PointNet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[9] показана на рис. 1. Классификационная сеть состоит из двух сетей преобразования, каждая из которых имеет общий многослойный персептрон (MLP) с размерами выходного слоя (64, 64) и (64, 128, 1024) и максимальным объединением.</w:t>
      </w:r>
    </w:p>
    <w:p w14:paraId="3D3EAB33" w14:textId="61751869" w:rsidR="00B97C88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Существуют различные модели распознавания облаков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лидарных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точек, но наиболее эффективными являются модели глубокого обучения.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SEGCloud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сочетает в себе методы классического машинного обучения и глубокие архитектуры, то есть эта модель использует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воксельные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сетки и необработанные 3D-точки, полученные с помощью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трилинейной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интерполяции [8].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PointNet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работает непосредственно с облаком точек [9]. Эта сеть показала впечатляющие результаты в распознавании 3D-объектов внутри помещений и семантической сегментации [10].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PointNet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++ [11], который является вариантом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PointNet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был успешно применен для идентификации деревьев в облаках точек [12]. Поэтому было решено использовать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PointNet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для классификации видов деревьев по облаку точек.</w:t>
      </w:r>
    </w:p>
    <w:p w14:paraId="64364C2F" w14:textId="12159153" w:rsidR="00031FDB" w:rsidRDefault="00031FDB" w:rsidP="00031FDB">
      <w:pPr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10D74">
        <w:rPr>
          <w:color w:val="000000"/>
          <w:bdr w:val="none" w:sz="0" w:space="0" w:color="auto" w:frame="1"/>
          <w:shd w:val="clear" w:color="auto" w:fill="FFFFFF"/>
          <w:lang w:eastAsia="ru-RU"/>
        </w:rPr>
        <w:fldChar w:fldCharType="begin"/>
      </w:r>
      <w:r w:rsidRPr="00110D74">
        <w:rPr>
          <w:color w:val="000000"/>
          <w:bdr w:val="none" w:sz="0" w:space="0" w:color="auto" w:frame="1"/>
          <w:shd w:val="clear" w:color="auto" w:fill="FFFFFF"/>
          <w:lang w:eastAsia="ru-RU"/>
        </w:rPr>
        <w:instrText xml:space="preserve"> INCLUDEPICTURE "https://lh3.googleusercontent.com/O648H2n9RYCyASQOXQjDOIcR7zABhgyUrxOGIJjza1rB4fWizrcHihxXfnf9mNLft6kPKPScnWaquxagx_y11K2MDbKtE_gmgyxbZfrofoFMGnjKJdG2qcatzSQ0yMCT7r9ndA2R" \* MERGEFORMATINET </w:instrText>
      </w:r>
      <w:r w:rsidRPr="00110D74">
        <w:rPr>
          <w:color w:val="000000"/>
          <w:bdr w:val="none" w:sz="0" w:space="0" w:color="auto" w:frame="1"/>
          <w:shd w:val="clear" w:color="auto" w:fill="FFFFFF"/>
          <w:lang w:eastAsia="ru-RU"/>
        </w:rPr>
        <w:fldChar w:fldCharType="separate"/>
      </w:r>
      <w:r w:rsidRPr="00110D74">
        <w:rPr>
          <w:noProof/>
          <w:color w:val="000000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6074E65B" wp14:editId="7FB61CA7">
            <wp:extent cx="4392930" cy="160528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D74">
        <w:rPr>
          <w:color w:val="000000"/>
          <w:bdr w:val="none" w:sz="0" w:space="0" w:color="auto" w:frame="1"/>
          <w:shd w:val="clear" w:color="auto" w:fill="FFFFFF"/>
          <w:lang w:eastAsia="ru-RU"/>
        </w:rPr>
        <w:fldChar w:fldCharType="end"/>
      </w:r>
    </w:p>
    <w:p w14:paraId="661E6DFB" w14:textId="08762C94" w:rsidR="00031FDB" w:rsidRDefault="00031FDB" w:rsidP="00031FDB">
      <w:pPr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Рис. 1. Архитектура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PointNet</w:t>
      </w:r>
      <w:proofErr w:type="spellEnd"/>
    </w:p>
    <w:p w14:paraId="3898F19F" w14:textId="2CA93535" w:rsid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Этот метод берет рассеянные и неупорядоченные данные облака точек, состоящие из N точек, и обрабатывает их отдельно с помощью N! перестановок при условии, что модель инвариантна к этим изменениям. Одна точка не рассматривается изолированно. Напротив, точка взаимодействует со своими ближайшими соседями, и они часто несут информацию, полезную для классификации. Таким образом,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PointNet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использует две симметричные функции (1), которые делают модель устойчивой к преобразованиям, причем выходные данные этих функций по-прежнему совпадают с входными:</w:t>
      </w:r>
    </w:p>
    <w:p w14:paraId="0FFB038C" w14:textId="77777777" w:rsidR="00031FDB" w:rsidRDefault="00031FDB" w:rsidP="00031FDB">
      <w:pPr>
        <w:pStyle w:val="equation"/>
      </w:pPr>
      <w:r>
        <w:rPr>
          <w:i/>
        </w:rPr>
        <w:tab/>
        <w:t>f({x</w:t>
      </w:r>
      <w:r>
        <w:rPr>
          <w:i/>
          <w:vertAlign w:val="subscript"/>
        </w:rPr>
        <w:t>1</w:t>
      </w:r>
      <w:r>
        <w:rPr>
          <w:i/>
        </w:rPr>
        <w:t xml:space="preserve">, …, 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rPr>
          <w:i/>
        </w:rPr>
        <w:t>}) = g(h(x</w:t>
      </w:r>
      <w:r>
        <w:rPr>
          <w:i/>
          <w:vertAlign w:val="subscript"/>
        </w:rPr>
        <w:t>1</w:t>
      </w:r>
      <w:r>
        <w:rPr>
          <w:i/>
        </w:rPr>
        <w:t>), …, h(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rPr>
          <w:i/>
        </w:rPr>
        <w:t>))</w:t>
      </w:r>
      <w:r>
        <w:tab/>
        <w:t>(</w:t>
      </w:r>
      <w:r>
        <w:fldChar w:fldCharType="begin"/>
      </w:r>
      <w:r>
        <w:instrText xml:space="preserve"> SEQ "Equation" \n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)</w:t>
      </w:r>
    </w:p>
    <w:p w14:paraId="4E5B39FD" w14:textId="77777777" w:rsidR="00031FDB" w:rsidRP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где 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- максимальный объединяющий слой, а 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h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- многослойный персептрон.</w:t>
      </w:r>
    </w:p>
    <w:p w14:paraId="726B0DBD" w14:textId="69E83EF0" w:rsidR="00031FDB" w:rsidRPr="00031FDB" w:rsidRDefault="00031FDB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MLP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-это преобразования объектов, которые независимо отображают каждую из 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точек из одного измерения в другое. Последняя трансформационная сеть также имеет два полностью связанных слоя с выходными размерами (512, 256, 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), где 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-количество классов. Для предсказания класса данного облака точек модель в ее конечном слое имеет функцию активации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softmax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которая часто используется для задач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многоклассовой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классификации. Для минимизации частоты ошибок модели используется оптимизатор 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Adam</w:t>
      </w:r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который сочетает в себе преимущества оптимизаторов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RMSProp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AdaGrad</w:t>
      </w:r>
      <w:proofErr w:type="spellEnd"/>
      <w:r w:rsidRPr="00031FD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0DC378BF" w14:textId="26F2067A" w:rsidR="00031FDB" w:rsidRDefault="00227D23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Сбор</w:t>
      </w:r>
      <w:r w:rsidRPr="00227D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данных</w:t>
      </w:r>
    </w:p>
    <w:p w14:paraId="4BBDDAFB" w14:textId="5B00B7CF" w:rsidR="00227D23" w:rsidRDefault="00227D23" w:rsidP="00031FDB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идентификации деревьев было проведено обследование территории в лесу с использованием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лидарного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устройства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GeoSLAM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ZEB-HORIZON. С диапазоном измерения до 100 м он идеально подходит для съемки открытых пространств. Он сканирует 300 000 точек в секунду с точностью 1-3 см. Для предварительной обработки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лидарных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данных использовалось программное обеспечение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GeoSLAM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Hub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+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Draw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которое преобразует исходные данные 3D-сканирования в формат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pcd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5EE97B7F" w14:textId="77777777" w:rsidR="00227D23" w:rsidRP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Измерения проводились в центральном регионе Европейской России. В результате этого опроса были получены изображения деревьев в облаке точек. Отдельные деревья были вручную выбраны из полных изображений местности и помещены в отдельные файлы с помощью программного обеспечения 3D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Forest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После всех преобразований был получен 261 образ дерева.</w:t>
      </w:r>
    </w:p>
    <w:p w14:paraId="459871F1" w14:textId="6D65E62D" w:rsid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После сбора файлов необходимо было пометить данные, определить тип каждого дерева. Для этого полученный набор данных просматривался вручную, и каждому дереву присваивалась своя метка. Всего было идентифицировано 10 видов, и для всех видов были выбраны соответствующие названия видов на латыни. Классы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Castanea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Salix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содержащие недостаточное количество примеров, были исключены из набора данных. Количество экземпляров для остальных классов представлено в таблице 1. В процессе маркировки для каждого вида дерева были определены его уникальные критерии: объем ствола, крона дерева, направление роста ветвей и т.д.</w:t>
      </w:r>
    </w:p>
    <w:p w14:paraId="793C4547" w14:textId="1B22E414" w:rsidR="00227D23" w:rsidRDefault="00227D23" w:rsidP="00227D23">
      <w:pPr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Таблица 1. Количество экземпляров в наборе данных каждого класса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709"/>
        <w:gridCol w:w="567"/>
        <w:gridCol w:w="709"/>
        <w:gridCol w:w="709"/>
        <w:gridCol w:w="1020"/>
        <w:gridCol w:w="796"/>
        <w:gridCol w:w="707"/>
      </w:tblGrid>
      <w:tr w:rsidR="00227D23" w:rsidRPr="00227D23" w14:paraId="4D68572A" w14:textId="77777777" w:rsidTr="005802B8">
        <w:trPr>
          <w:trHeight w:val="379"/>
          <w:jc w:val="center"/>
        </w:trPr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841AD0" w14:textId="77777777" w:rsidR="00227D23" w:rsidRPr="00227D23" w:rsidRDefault="00227D23" w:rsidP="00227D2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27D2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Tree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055ADA" w14:textId="77777777" w:rsidR="00227D23" w:rsidRPr="00227D23" w:rsidRDefault="00227D23" w:rsidP="00227D2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27D2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Aspen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7B4D5D" w14:textId="77777777" w:rsidR="00227D23" w:rsidRPr="00227D23" w:rsidRDefault="00227D23" w:rsidP="00227D2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27D2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Poplar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53BF7A" w14:textId="77777777" w:rsidR="00227D23" w:rsidRPr="00227D23" w:rsidRDefault="00227D23" w:rsidP="00227D2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27D2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Spruce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E58B3B" w14:textId="77777777" w:rsidR="00227D23" w:rsidRPr="00227D23" w:rsidRDefault="00227D23" w:rsidP="00227D2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27D2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Birch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F1B1D16" w14:textId="77777777" w:rsidR="00227D23" w:rsidRPr="00227D23" w:rsidRDefault="00227D23" w:rsidP="00227D2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27D2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Linden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37E035" w14:textId="77777777" w:rsidR="00227D23" w:rsidRPr="00227D23" w:rsidRDefault="00227D23" w:rsidP="00227D2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27D2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Maple</w:t>
            </w:r>
          </w:p>
        </w:tc>
        <w:tc>
          <w:tcPr>
            <w:tcW w:w="796" w:type="dxa"/>
            <w:tcBorders>
              <w:top w:val="single" w:sz="12" w:space="0" w:color="auto"/>
              <w:bottom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A13DF9" w14:textId="77777777" w:rsidR="00227D23" w:rsidRPr="00227D23" w:rsidRDefault="00227D23" w:rsidP="00227D2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27D2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Pine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D368CD" w14:textId="77777777" w:rsidR="00227D23" w:rsidRPr="00227D23" w:rsidRDefault="00227D23" w:rsidP="00227D23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27D2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Oak</w:t>
            </w:r>
          </w:p>
        </w:tc>
      </w:tr>
      <w:tr w:rsidR="00227D23" w:rsidRPr="00227D23" w14:paraId="13204266" w14:textId="77777777" w:rsidTr="005802B8">
        <w:trPr>
          <w:trHeight w:val="506"/>
          <w:jc w:val="center"/>
        </w:trPr>
        <w:tc>
          <w:tcPr>
            <w:tcW w:w="851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E4C62B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shd w:val="clear" w:color="auto" w:fill="FFFFFF"/>
                <w:lang w:eastAsia="ru-RU"/>
              </w:rPr>
              <w:t>Species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932648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Populus</w:t>
            </w:r>
            <w:proofErr w:type="spellEnd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tremula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3056A6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Populus</w:t>
            </w:r>
            <w:proofErr w:type="spellEnd"/>
          </w:p>
          <w:p w14:paraId="2A78E484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E3627D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Picea</w:t>
            </w:r>
            <w:proofErr w:type="spellEnd"/>
          </w:p>
          <w:p w14:paraId="004661B8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abies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1F74EF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Betula</w:t>
            </w:r>
            <w:proofErr w:type="spellEnd"/>
          </w:p>
          <w:p w14:paraId="7CD5CB4A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pendula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E4D5A3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Tilia</w:t>
            </w:r>
            <w:proofErr w:type="spellEnd"/>
          </w:p>
          <w:p w14:paraId="55E49C84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cordata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E5546AD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Acer</w:t>
            </w:r>
            <w:proofErr w:type="spellEnd"/>
          </w:p>
          <w:p w14:paraId="688522B4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platanoides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9134A6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Pinus</w:t>
            </w:r>
            <w:proofErr w:type="spellEnd"/>
          </w:p>
          <w:p w14:paraId="1B9D954E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sylvestris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759261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Quercus</w:t>
            </w:r>
            <w:proofErr w:type="spellEnd"/>
          </w:p>
          <w:p w14:paraId="447D39D4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robur</w:t>
            </w:r>
            <w:proofErr w:type="spellEnd"/>
          </w:p>
        </w:tc>
      </w:tr>
      <w:tr w:rsidR="00227D23" w:rsidRPr="00227D23" w14:paraId="0DCA8E3C" w14:textId="77777777" w:rsidTr="005802B8">
        <w:trPr>
          <w:trHeight w:val="185"/>
          <w:jc w:val="center"/>
        </w:trPr>
        <w:tc>
          <w:tcPr>
            <w:tcW w:w="851" w:type="dxa"/>
            <w:tcBorders>
              <w:bottom w:val="single" w:sz="12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A0085D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Quantity</w:t>
            </w:r>
            <w:proofErr w:type="spellEnd"/>
          </w:p>
        </w:tc>
        <w:tc>
          <w:tcPr>
            <w:tcW w:w="850" w:type="dxa"/>
            <w:tcBorders>
              <w:bottom w:val="single" w:sz="12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6DB24D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5DF7A2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F1DC84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A5858E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D0144A4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20" w:type="dxa"/>
            <w:tcBorders>
              <w:bottom w:val="single" w:sz="12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4B3404A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96" w:type="dxa"/>
            <w:tcBorders>
              <w:bottom w:val="single" w:sz="12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B62243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707" w:type="dxa"/>
            <w:tcBorders>
              <w:bottom w:val="single" w:sz="12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4D33D6" w14:textId="77777777" w:rsidR="00227D23" w:rsidRPr="00227D23" w:rsidRDefault="00227D23" w:rsidP="00227D23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7D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</w:tbl>
    <w:p w14:paraId="3F956938" w14:textId="77777777" w:rsidR="00227D23" w:rsidRP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Данные были собраны в зимний сезон, что позволило снимать деревья без листьев, делая крону более информативной [2]. Однако маркировка является довольно трудоемким процессом, поскольку часто не хватало экспертных знаний, чтобы однозначно определить тип дерева [2]. В виде облаков точек очень трудно определить, к какому виду относится то или иное дерево.</w:t>
      </w:r>
    </w:p>
    <w:p w14:paraId="24949DAC" w14:textId="6E36C03D" w:rsid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более полной картины необходимо иметь изображение самого захваченного дерева. Поэтому было решено провести маркировку отдельно друг от друга тремя участниками, а затем сформировать окончательную выборку из тех деревьев, где вид однозначно идентифицирован. Поскольку невозможно было точно классифицировать вручную все изображения деревьев, в итоговую выборку было включено только 253 дерева (рис. 2).</w:t>
      </w:r>
    </w:p>
    <w:p w14:paraId="6D9FB388" w14:textId="77777777" w:rsidR="00227D23" w:rsidRPr="00D75616" w:rsidRDefault="00227D23" w:rsidP="00227D23">
      <w:pPr>
        <w:spacing w:line="240" w:lineRule="auto"/>
        <w:jc w:val="center"/>
        <w:rPr>
          <w:color w:val="000000"/>
          <w:sz w:val="24"/>
          <w:szCs w:val="24"/>
          <w:lang w:eastAsia="ru-RU"/>
        </w:rPr>
      </w:pPr>
      <w:r w:rsidRPr="00D75616">
        <w:rPr>
          <w:color w:val="000000"/>
          <w:bdr w:val="none" w:sz="0" w:space="0" w:color="auto" w:frame="1"/>
          <w:lang w:eastAsia="ru-RU"/>
        </w:rPr>
        <w:fldChar w:fldCharType="begin"/>
      </w:r>
      <w:r w:rsidRPr="00D75616">
        <w:rPr>
          <w:color w:val="000000"/>
          <w:bdr w:val="none" w:sz="0" w:space="0" w:color="auto" w:frame="1"/>
          <w:lang w:eastAsia="ru-RU"/>
        </w:rPr>
        <w:instrText xml:space="preserve"> INCLUDEPICTURE "https://lh5.googleusercontent.com/ACwAyj6jjqvzqH-yP17yXnarx4aGKbWKK_tmSiDkpHsbk0FRs6YNnZC_w6yHFsjC8JenAiYp3WPam4SoYGw0zR4iajfunBTNL2mh29303TVozPusWCR5TGBeGWfkWpfUZ8oWtsIr" \* MERGEFORMATINET </w:instrText>
      </w:r>
      <w:r w:rsidRPr="00D75616">
        <w:rPr>
          <w:color w:val="000000"/>
          <w:bdr w:val="none" w:sz="0" w:space="0" w:color="auto" w:frame="1"/>
          <w:lang w:eastAsia="ru-RU"/>
        </w:rPr>
        <w:fldChar w:fldCharType="separate"/>
      </w:r>
      <w:r w:rsidRPr="00D75616"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2B76C22" wp14:editId="71BC146A">
            <wp:extent cx="2413000" cy="1702810"/>
            <wp:effectExtent l="0" t="0" r="0" b="0"/>
            <wp:docPr id="4" name="Рисунок 4" descr="Изображение выглядит как небо, внешний, хвойное дерево, дере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небо, внешний, хвойное дерево, дере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12" cy="17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616">
        <w:rPr>
          <w:color w:val="000000"/>
          <w:bdr w:val="none" w:sz="0" w:space="0" w:color="auto" w:frame="1"/>
          <w:lang w:eastAsia="ru-RU"/>
        </w:rPr>
        <w:fldChar w:fldCharType="end"/>
      </w:r>
    </w:p>
    <w:p w14:paraId="4579D2FB" w14:textId="618FEBA3" w:rsidR="00227D23" w:rsidRDefault="00227D23" w:rsidP="00227D23">
      <w:pPr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Рис. 2. Примеры деревьев слева направо: береза, ель, тополь</w:t>
      </w:r>
    </w:p>
    <w:p w14:paraId="66072973" w14:textId="315D8C02" w:rsidR="00227D23" w:rsidRP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Эксперимент и результаты</w:t>
      </w:r>
    </w:p>
    <w:p w14:paraId="3BCE1C56" w14:textId="77777777" w:rsidR="00227D23" w:rsidRP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Данные были преобразованы в формат сетки и далее в формат 2048 точек для модели. Набор данных был разделен на обучающие и тестовые выборки в соотношении 80% к 20%. Чтобы улучшить качество обучения, примеры были перемешаны и перемешаны по нормальному распределению.</w:t>
      </w:r>
    </w:p>
    <w:p w14:paraId="694FB723" w14:textId="58F41964" w:rsid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 основу была взята реализация модели точечной сети с сайта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keras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[13], которая показала точность 73% в наборе данных ModelNet10. Обучение проводится в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Google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Colab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использованием графического процессора. Оптимизатор был изменен на ЦУР со скоростью обучения 0,001 вместо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Adam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В процессе обучения было выполнено 50 эпох, и 32% точности классификации было достигнуто по тестовым данным после 5-й эпохи (рис. 3). Точность на тестовой и обучающей выборках имеет одинаковые значения, что указывает на то, что модель не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переобучена</w:t>
      </w: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1720"/>
        <w:gridCol w:w="1720"/>
      </w:tblGrid>
      <w:tr w:rsidR="00227D23" w:rsidRPr="00E0242B" w14:paraId="4F008D8B" w14:textId="77777777" w:rsidTr="00227D23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9B822" w14:textId="77777777" w:rsidR="00227D23" w:rsidRPr="00E0242B" w:rsidRDefault="00227D23" w:rsidP="005802B8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0242B">
              <w:rPr>
                <w:color w:val="000000"/>
                <w:bdr w:val="none" w:sz="0" w:space="0" w:color="auto" w:frame="1"/>
                <w:lang w:eastAsia="ru-RU"/>
              </w:rPr>
              <w:fldChar w:fldCharType="begin"/>
            </w:r>
            <w:r w:rsidRPr="00E0242B">
              <w:rPr>
                <w:color w:val="000000"/>
                <w:bdr w:val="none" w:sz="0" w:space="0" w:color="auto" w:frame="1"/>
                <w:lang w:eastAsia="ru-RU"/>
              </w:rPr>
              <w:instrText xml:space="preserve"> INCLUDEPICTURE "https://lh4.googleusercontent.com/SxvZ-fottxFJNRTR7OgxWQPPVEfwWE3FcIw-JT_JiRrotTbQVPx1Sfh4hNsSIHdp3J2_TGk_87uEfaw7HUk1pf_HAcrvvCnD-GIDPfew2BpDtp2e-UOSBdVEYFKzZu-E_6-NzJca" \* MERGEFORMATINET </w:instrText>
            </w:r>
            <w:r w:rsidRPr="00E0242B">
              <w:rPr>
                <w:color w:val="000000"/>
                <w:bdr w:val="none" w:sz="0" w:space="0" w:color="auto" w:frame="1"/>
                <w:lang w:eastAsia="ru-RU"/>
              </w:rPr>
              <w:fldChar w:fldCharType="separate"/>
            </w:r>
            <w:r w:rsidRPr="00E0242B">
              <w:rPr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6342DC18" wp14:editId="17027351">
                  <wp:extent cx="2159159" cy="1701281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47" cy="1751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242B">
              <w:rPr>
                <w:color w:val="000000"/>
                <w:bdr w:val="none" w:sz="0" w:space="0" w:color="auto" w:frame="1"/>
                <w:lang w:eastAsia="ru-RU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C8FE" w14:textId="77777777" w:rsidR="00227D23" w:rsidRPr="00E0242B" w:rsidRDefault="00227D23" w:rsidP="005802B8">
            <w:pPr>
              <w:spacing w:line="240" w:lineRule="auto"/>
              <w:jc w:val="center"/>
              <w:rPr>
                <w:sz w:val="24"/>
                <w:szCs w:val="24"/>
                <w:lang w:eastAsia="ru-RU"/>
              </w:rPr>
            </w:pPr>
            <w:r w:rsidRPr="00E0242B">
              <w:rPr>
                <w:color w:val="000000"/>
                <w:bdr w:val="none" w:sz="0" w:space="0" w:color="auto" w:frame="1"/>
                <w:lang w:eastAsia="ru-RU"/>
              </w:rPr>
              <w:fldChar w:fldCharType="begin"/>
            </w:r>
            <w:r w:rsidRPr="00E0242B">
              <w:rPr>
                <w:color w:val="000000"/>
                <w:bdr w:val="none" w:sz="0" w:space="0" w:color="auto" w:frame="1"/>
                <w:lang w:eastAsia="ru-RU"/>
              </w:rPr>
              <w:instrText xml:space="preserve"> INCLUDEPICTURE "https://lh3.googleusercontent.com/-KXJZ0dF-HOtxTCAPG4qTYG_HcXroTLOEu5KDagfKCB_EDQZW7QQe6Xn6gXykXj65Mf0zhWE10iT-_4yLHaKcTw-zS6XvRi_uP8uF_H4PhAKeHGOWiTn-mwwccdOzKp7yaMJ7arN" \* MERGEFORMATINET </w:instrText>
            </w:r>
            <w:r w:rsidRPr="00E0242B">
              <w:rPr>
                <w:color w:val="000000"/>
                <w:bdr w:val="none" w:sz="0" w:space="0" w:color="auto" w:frame="1"/>
                <w:lang w:eastAsia="ru-RU"/>
              </w:rPr>
              <w:fldChar w:fldCharType="separate"/>
            </w:r>
            <w:r w:rsidRPr="00E0242B">
              <w:rPr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540EA1CC" wp14:editId="5061F1DD">
                  <wp:extent cx="2057400" cy="1445565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884" cy="1504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0242B">
              <w:rPr>
                <w:color w:val="000000"/>
                <w:bdr w:val="none" w:sz="0" w:space="0" w:color="auto" w:frame="1"/>
                <w:lang w:eastAsia="ru-RU"/>
              </w:rPr>
              <w:fldChar w:fldCharType="end"/>
            </w:r>
          </w:p>
        </w:tc>
      </w:tr>
      <w:tr w:rsidR="00227D23" w:rsidRPr="00227D23" w14:paraId="738C8A5B" w14:textId="77777777" w:rsidTr="005802B8">
        <w:tblPrEx>
          <w:jc w:val="left"/>
        </w:tblPrEx>
        <w:trPr>
          <w:gridAfter w:val="1"/>
          <w:trHeight w:val="400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62BD6" w14:textId="77777777" w:rsidR="00227D23" w:rsidRPr="00E0242B" w:rsidRDefault="00227D23" w:rsidP="005802B8">
            <w:pPr>
              <w:pStyle w:val="figurecaption"/>
              <w:rPr>
                <w:sz w:val="24"/>
                <w:szCs w:val="24"/>
                <w:lang w:eastAsia="ru-RU"/>
              </w:rPr>
            </w:pPr>
            <w:r>
              <w:rPr>
                <w:b/>
              </w:rPr>
              <w:t>Fig</w:t>
            </w:r>
            <w:r w:rsidRPr="00E23C47">
              <w:rPr>
                <w:b/>
              </w:rPr>
              <w:t xml:space="preserve">. </w:t>
            </w:r>
            <w:r>
              <w:rPr>
                <w:b/>
              </w:rPr>
              <w:fldChar w:fldCharType="begin"/>
            </w:r>
            <w:r w:rsidRPr="00E23C47">
              <w:rPr>
                <w:b/>
              </w:rPr>
              <w:instrText xml:space="preserve"> </w:instrText>
            </w:r>
            <w:r>
              <w:rPr>
                <w:b/>
              </w:rPr>
              <w:instrText>SEQ</w:instrText>
            </w:r>
            <w:r w:rsidRPr="00E23C47">
              <w:rPr>
                <w:b/>
              </w:rPr>
              <w:instrText xml:space="preserve"> "</w:instrText>
            </w:r>
            <w:r>
              <w:rPr>
                <w:b/>
              </w:rPr>
              <w:instrText>Figure</w:instrText>
            </w:r>
            <w:r w:rsidRPr="00E23C47">
              <w:rPr>
                <w:b/>
              </w:rPr>
              <w:instrText xml:space="preserve">" \* </w:instrText>
            </w:r>
            <w:r>
              <w:rPr>
                <w:b/>
              </w:rPr>
              <w:instrText>MERGEFORMAT</w:instrText>
            </w:r>
            <w:r w:rsidRPr="00E23C47">
              <w:rPr>
                <w:b/>
              </w:rPr>
              <w:instrText xml:space="preserve">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 w:rsidRPr="00E23C47">
              <w:rPr>
                <w:b/>
              </w:rPr>
              <w:t>.</w:t>
            </w:r>
            <w:r w:rsidRPr="00E23C47">
              <w:t xml:space="preserve"> </w:t>
            </w:r>
            <w:r w:rsidRPr="00E0242B">
              <w:t>Confusion</w:t>
            </w:r>
            <w:r w:rsidRPr="00E0242B">
              <w:rPr>
                <w:lang w:eastAsia="ru-RU"/>
              </w:rPr>
              <w:t xml:space="preserve"> matrix and model accuracy by epochs</w:t>
            </w:r>
          </w:p>
        </w:tc>
      </w:tr>
    </w:tbl>
    <w:p w14:paraId="48967A01" w14:textId="77777777" w:rsidR="00227D23" w:rsidRP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Точность оказалась ниже 77,5% [2] и 86% [4]. Это связано с тем, что количество копий в наборе данных меньше, чем в этих работах. В работе [2] также было 10 классов, но количество копий в каждом было 5000, то есть на два порядка больше, чем в нашем исследовании. В исследовании [4] количество примеров в каждом классе варьировалось от 300 до 400. Это на порядок больше, но авторы изучали только 4 класса. Качество разметки набора данных также влияет на классификацию.</w:t>
      </w:r>
    </w:p>
    <w:p w14:paraId="277F0398" w14:textId="3B87A571" w:rsid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результирующей матрице ошибок (рис. 3) видно, что результирующая модель лучше всего распознает класс </w:t>
      </w: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Betula</w:t>
      </w: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из тестового набора данных. Матрица путаницы показывает, что большинство ошибок равномерно распределены в матрице между классами. Но существует сильная корреляция между классами </w:t>
      </w: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Betula</w:t>
      </w: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Picea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модель ошибочно распознает ель как березу. Однако трудно сделать окончательный вывод из-за дисбаланса классов: у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Пинуса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66, в то время как у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Тилии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всего 6 примеров.</w:t>
      </w:r>
    </w:p>
    <w:p w14:paraId="3DBABD5A" w14:textId="244EC430" w:rsidR="00227D23" w:rsidRP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Заключение</w:t>
      </w:r>
    </w:p>
    <w:p w14:paraId="5DE2B432" w14:textId="7CC92413" w:rsid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Результаты, полученные в ходе исследования, показали хорошие возможности модели точечной сети для классификации древесных пород даже на небольшом объеме данных. В то же время были выявлены проблемы с ручной маркировкой облаков точек деревьев. Объем данных, собранных для обучения и тестирования, также был недостаточным. В будущих исследованиях планируется значительно увеличить количество примеров для каждого класса. Для повышения качества разметки планируется использовать комбинированные данные с камер и </w:t>
      </w:r>
      <w:proofErr w:type="spellStart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лидаров</w:t>
      </w:r>
      <w:proofErr w:type="spellEnd"/>
      <w:r w:rsidRPr="00227D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4B79E769" w14:textId="6F4F76E8" w:rsid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27D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Список использованных источников</w:t>
      </w:r>
    </w:p>
    <w:p w14:paraId="2742185A" w14:textId="77777777" w:rsidR="00227D23" w:rsidRPr="005464C1" w:rsidRDefault="00227D23" w:rsidP="00227D23">
      <w:pPr>
        <w:pStyle w:val="referenceitem"/>
      </w:pPr>
      <w:r>
        <w:t>UNFCCC</w:t>
      </w:r>
      <w:r w:rsidRPr="005464C1">
        <w:t xml:space="preserve"> website</w:t>
      </w:r>
      <w:r>
        <w:t>,</w:t>
      </w:r>
      <w:r w:rsidRPr="005464C1">
        <w:t xml:space="preserve"> Paris Agreement (2015)</w:t>
      </w:r>
      <w:r>
        <w:t xml:space="preserve">, </w:t>
      </w:r>
      <w:r w:rsidRPr="005464C1">
        <w:t>https://unfccc.int/sites/default/files/english_paris_agreement.pdf</w:t>
      </w:r>
      <w:r>
        <w:t>, last accessed 2021/05/18.</w:t>
      </w:r>
    </w:p>
    <w:p w14:paraId="2DACF8E2" w14:textId="77777777" w:rsidR="00227D23" w:rsidRDefault="00227D23" w:rsidP="00227D23">
      <w:pPr>
        <w:pStyle w:val="referenceitem"/>
      </w:pPr>
      <w:r>
        <w:t>Li J., Hu B., Noland T.L.: Classification of tree species based on structural features derived from high density LiDAR data. Agricultural and Forest Meteorology 171–172, 104–114 (2013).</w:t>
      </w:r>
    </w:p>
    <w:p w14:paraId="5FD4B4D1" w14:textId="77777777" w:rsidR="00227D23" w:rsidRPr="009B6C9F" w:rsidRDefault="00227D23" w:rsidP="00227D23">
      <w:pPr>
        <w:pStyle w:val="referenceitem"/>
      </w:pPr>
      <w:proofErr w:type="spellStart"/>
      <w:r>
        <w:lastRenderedPageBreak/>
        <w:t>Chumachenko</w:t>
      </w:r>
      <w:proofErr w:type="spellEnd"/>
      <w:r>
        <w:t xml:space="preserve"> S.I., </w:t>
      </w:r>
      <w:proofErr w:type="spellStart"/>
      <w:r>
        <w:t>Korotkov</w:t>
      </w:r>
      <w:proofErr w:type="spellEnd"/>
      <w:r>
        <w:t xml:space="preserve"> V.N., </w:t>
      </w:r>
      <w:proofErr w:type="spellStart"/>
      <w:r>
        <w:t>Palenova</w:t>
      </w:r>
      <w:proofErr w:type="spellEnd"/>
      <w:r>
        <w:t xml:space="preserve"> M.M., </w:t>
      </w:r>
      <w:proofErr w:type="spellStart"/>
      <w:r>
        <w:t>Politov</w:t>
      </w:r>
      <w:proofErr w:type="spellEnd"/>
      <w:r>
        <w:t xml:space="preserve"> D.V.: Simulation modelling of long-term stand dynamics at different scenarios of forest management for coniferous - broad-leaved forests. Ecological Modelling 170(2), 345-361 (2003).</w:t>
      </w:r>
    </w:p>
    <w:p w14:paraId="7E299109" w14:textId="77777777" w:rsidR="00227D23" w:rsidRDefault="00227D23" w:rsidP="00227D23">
      <w:pPr>
        <w:pStyle w:val="referenceitem"/>
      </w:pPr>
      <w:r>
        <w:t>Guan H., Ji Z., Yu Y., Li J.</w:t>
      </w:r>
      <w:r w:rsidRPr="004C2783">
        <w:t>:</w:t>
      </w:r>
      <w:r>
        <w:t xml:space="preserve"> Deep learning-based tree classification using mobile LiDAR data. Remote Sensing Letters 6(11), 864-873 (2015).</w:t>
      </w:r>
    </w:p>
    <w:p w14:paraId="1BAE01AE" w14:textId="77777777" w:rsidR="00227D23" w:rsidRDefault="00227D23" w:rsidP="00227D23">
      <w:pPr>
        <w:pStyle w:val="referenceitem"/>
      </w:pPr>
      <w:proofErr w:type="spellStart"/>
      <w:r>
        <w:t>Fassnacht</w:t>
      </w:r>
      <w:proofErr w:type="spellEnd"/>
      <w:r w:rsidRPr="005464C1">
        <w:t xml:space="preserve"> </w:t>
      </w:r>
      <w:r>
        <w:t xml:space="preserve">F.E., </w:t>
      </w:r>
      <w:proofErr w:type="spellStart"/>
      <w:r>
        <w:t>Latifi</w:t>
      </w:r>
      <w:proofErr w:type="spellEnd"/>
      <w:r w:rsidRPr="005464C1">
        <w:t xml:space="preserve"> </w:t>
      </w:r>
      <w:r>
        <w:t xml:space="preserve">H., </w:t>
      </w:r>
      <w:proofErr w:type="spellStart"/>
      <w:r>
        <w:t>Sterenczak</w:t>
      </w:r>
      <w:proofErr w:type="spellEnd"/>
      <w:r w:rsidRPr="005464C1">
        <w:t xml:space="preserve"> </w:t>
      </w:r>
      <w:r>
        <w:t xml:space="preserve">K., </w:t>
      </w:r>
      <w:proofErr w:type="spellStart"/>
      <w:r>
        <w:t>Modzelewska</w:t>
      </w:r>
      <w:proofErr w:type="spellEnd"/>
      <w:r w:rsidRPr="005464C1">
        <w:t xml:space="preserve"> </w:t>
      </w:r>
      <w:r>
        <w:t xml:space="preserve">A., </w:t>
      </w:r>
      <w:proofErr w:type="spellStart"/>
      <w:r>
        <w:t>Lefsky</w:t>
      </w:r>
      <w:proofErr w:type="spellEnd"/>
      <w:r>
        <w:t xml:space="preserve"> M., </w:t>
      </w:r>
      <w:proofErr w:type="spellStart"/>
      <w:r>
        <w:t>Waser</w:t>
      </w:r>
      <w:proofErr w:type="spellEnd"/>
      <w:r>
        <w:t xml:space="preserve"> L.T., Straub</w:t>
      </w:r>
      <w:r w:rsidRPr="005464C1">
        <w:t xml:space="preserve"> </w:t>
      </w:r>
      <w:r>
        <w:t>C., Ghosh</w:t>
      </w:r>
      <w:r w:rsidRPr="005464C1">
        <w:t xml:space="preserve"> </w:t>
      </w:r>
      <w:r>
        <w:t>A.: Review of studies on tree species classification from remotely sensed data. Remote Sensing of Environment 186, 65-87 (2016).</w:t>
      </w:r>
    </w:p>
    <w:p w14:paraId="7D8329FA" w14:textId="77777777" w:rsidR="00227D23" w:rsidRPr="009B6C9F" w:rsidRDefault="00227D23" w:rsidP="00227D23">
      <w:pPr>
        <w:pStyle w:val="referenceitem"/>
      </w:pPr>
      <w:proofErr w:type="spellStart"/>
      <w:r>
        <w:t>Eroshenkova</w:t>
      </w:r>
      <w:proofErr w:type="spellEnd"/>
      <w:r>
        <w:t xml:space="preserve"> D. A., Terekhov V.I., </w:t>
      </w:r>
      <w:proofErr w:type="spellStart"/>
      <w:r>
        <w:t>Khusnetdinov</w:t>
      </w:r>
      <w:proofErr w:type="spellEnd"/>
      <w:r>
        <w:t xml:space="preserve"> D.R., </w:t>
      </w:r>
      <w:proofErr w:type="spellStart"/>
      <w:r>
        <w:t>Chumachenko</w:t>
      </w:r>
      <w:proofErr w:type="spellEnd"/>
      <w:r>
        <w:t xml:space="preserve"> S.I.</w:t>
      </w:r>
      <w:r w:rsidRPr="005464C1">
        <w:t>:</w:t>
      </w:r>
      <w:r>
        <w:t xml:space="preserve"> Automated determination of forest-vegetation characteristics with the use of a neural network of deep learning</w:t>
      </w:r>
      <w:r w:rsidRPr="005464C1">
        <w:t xml:space="preserve">. </w:t>
      </w:r>
      <w:r>
        <w:t xml:space="preserve">In: International Conference on </w:t>
      </w:r>
      <w:proofErr w:type="spellStart"/>
      <w:r>
        <w:t>Neuroinformatics</w:t>
      </w:r>
      <w:proofErr w:type="spellEnd"/>
      <w:r>
        <w:t>, pp. 295-302. Springer</w:t>
      </w:r>
      <w:r w:rsidRPr="005464C1">
        <w:t xml:space="preserve"> (</w:t>
      </w:r>
      <w:r>
        <w:t>2019</w:t>
      </w:r>
      <w:r w:rsidRPr="005464C1">
        <w:t>)</w:t>
      </w:r>
      <w:r>
        <w:t>.</w:t>
      </w:r>
    </w:p>
    <w:p w14:paraId="2BEE5DBF" w14:textId="77777777" w:rsidR="00227D23" w:rsidRPr="009B6C9F" w:rsidRDefault="00227D23" w:rsidP="00227D23">
      <w:pPr>
        <w:pStyle w:val="referenceitem"/>
      </w:pPr>
      <w:r>
        <w:t>Hudak A.T., Evans J.S., Smith A.: LiDAR utility for natural resource managers. Remote Sensing 1(4), 934–951 (2009).</w:t>
      </w:r>
    </w:p>
    <w:p w14:paraId="728F4106" w14:textId="77777777" w:rsidR="00227D23" w:rsidRDefault="00227D23" w:rsidP="00227D23">
      <w:pPr>
        <w:pStyle w:val="referenceitem"/>
      </w:pPr>
      <w:proofErr w:type="spellStart"/>
      <w:r w:rsidRPr="009B6C9F">
        <w:t>Tchapmi</w:t>
      </w:r>
      <w:proofErr w:type="spellEnd"/>
      <w:r w:rsidRPr="009B6C9F">
        <w:t xml:space="preserve"> L</w:t>
      </w:r>
      <w:r>
        <w:t>.</w:t>
      </w:r>
      <w:r w:rsidRPr="009B6C9F">
        <w:t>P., Choy C</w:t>
      </w:r>
      <w:r>
        <w:t>.</w:t>
      </w:r>
      <w:r w:rsidRPr="009B6C9F">
        <w:t xml:space="preserve">B., </w:t>
      </w:r>
      <w:proofErr w:type="spellStart"/>
      <w:r w:rsidRPr="009B6C9F">
        <w:t>Armeni</w:t>
      </w:r>
      <w:proofErr w:type="spellEnd"/>
      <w:r w:rsidRPr="009B6C9F">
        <w:t xml:space="preserve"> I</w:t>
      </w:r>
      <w:r>
        <w:t>.</w:t>
      </w:r>
      <w:r w:rsidRPr="009B6C9F">
        <w:t xml:space="preserve">, </w:t>
      </w:r>
      <w:proofErr w:type="spellStart"/>
      <w:r w:rsidRPr="009B6C9F">
        <w:t>Gwak</w:t>
      </w:r>
      <w:proofErr w:type="spellEnd"/>
      <w:r w:rsidRPr="009B6C9F">
        <w:t xml:space="preserve"> J</w:t>
      </w:r>
      <w:r>
        <w:t>.</w:t>
      </w:r>
      <w:r w:rsidRPr="009B6C9F">
        <w:t>Y</w:t>
      </w:r>
      <w:r>
        <w:t>.</w:t>
      </w:r>
      <w:r w:rsidRPr="009B6C9F">
        <w:t>, Savarese</w:t>
      </w:r>
      <w:r w:rsidRPr="005464C1">
        <w:t xml:space="preserve"> </w:t>
      </w:r>
      <w:r w:rsidRPr="009B6C9F">
        <w:t>S</w:t>
      </w:r>
      <w:r>
        <w:t xml:space="preserve">.: </w:t>
      </w:r>
      <w:proofErr w:type="spellStart"/>
      <w:r w:rsidRPr="009B6C9F">
        <w:t>SEGCloud</w:t>
      </w:r>
      <w:proofErr w:type="spellEnd"/>
      <w:r w:rsidRPr="009B6C9F">
        <w:t>: Semantic Segmentation of 3D Point Clouds</w:t>
      </w:r>
      <w:r>
        <w:t xml:space="preserve"> (2017),</w:t>
      </w:r>
      <w:r w:rsidRPr="009B6C9F">
        <w:t xml:space="preserve"> </w:t>
      </w:r>
      <w:r w:rsidRPr="005464C1">
        <w:t>https://arxiv.org/</w:t>
      </w:r>
      <w:r>
        <w:t>pdf</w:t>
      </w:r>
      <w:r w:rsidRPr="005464C1">
        <w:t>/1710.07563</w:t>
      </w:r>
      <w:r>
        <w:t>.pdf, last accessed 2021/05/18.</w:t>
      </w:r>
    </w:p>
    <w:p w14:paraId="7CBE7ECF" w14:textId="77777777" w:rsidR="00227D23" w:rsidRDefault="00227D23" w:rsidP="00227D23">
      <w:pPr>
        <w:pStyle w:val="referenceitem"/>
      </w:pPr>
      <w:r w:rsidRPr="005464C1">
        <w:t>Qi C</w:t>
      </w:r>
      <w:r>
        <w:t>.</w:t>
      </w:r>
      <w:r w:rsidRPr="005464C1">
        <w:t>R.,</w:t>
      </w:r>
      <w:r>
        <w:t xml:space="preserve"> </w:t>
      </w:r>
      <w:proofErr w:type="spellStart"/>
      <w:r w:rsidRPr="005464C1">
        <w:t>Su</w:t>
      </w:r>
      <w:proofErr w:type="spellEnd"/>
      <w:r w:rsidRPr="005464C1">
        <w:t xml:space="preserve"> H</w:t>
      </w:r>
      <w:r>
        <w:t>.</w:t>
      </w:r>
      <w:r w:rsidRPr="005464C1">
        <w:t>,</w:t>
      </w:r>
      <w:r>
        <w:t xml:space="preserve"> </w:t>
      </w:r>
      <w:r w:rsidRPr="005464C1">
        <w:t>Mo K</w:t>
      </w:r>
      <w:r>
        <w:t xml:space="preserve">., </w:t>
      </w:r>
      <w:proofErr w:type="spellStart"/>
      <w:r w:rsidRPr="005464C1">
        <w:t>Guibas</w:t>
      </w:r>
      <w:proofErr w:type="spellEnd"/>
      <w:r w:rsidRPr="005464C1">
        <w:t xml:space="preserve"> L</w:t>
      </w:r>
      <w:r>
        <w:t>.</w:t>
      </w:r>
      <w:r w:rsidRPr="005464C1">
        <w:t>J.</w:t>
      </w:r>
      <w:r>
        <w:t xml:space="preserve">: </w:t>
      </w:r>
      <w:proofErr w:type="spellStart"/>
      <w:r w:rsidRPr="005464C1">
        <w:t>PointNet</w:t>
      </w:r>
      <w:proofErr w:type="spellEnd"/>
      <w:r w:rsidRPr="005464C1">
        <w:t>: Deep Learning on Point Sets for 3D Classification and Segmentation</w:t>
      </w:r>
      <w:r>
        <w:t xml:space="preserve"> (2017), </w:t>
      </w:r>
      <w:r w:rsidRPr="00C6764E">
        <w:t>https://arxiv.org/pdf/1612.00593.pdf</w:t>
      </w:r>
      <w:r>
        <w:t>, last accessed 2021/05/18.</w:t>
      </w:r>
    </w:p>
    <w:p w14:paraId="3313C050" w14:textId="77777777" w:rsidR="00227D23" w:rsidRPr="009B6C9F" w:rsidRDefault="00227D23" w:rsidP="00227D23">
      <w:pPr>
        <w:pStyle w:val="referenceitem"/>
      </w:pPr>
      <w:r w:rsidRPr="009B6C9F">
        <w:t>Fei J</w:t>
      </w:r>
      <w:r>
        <w:t>.</w:t>
      </w:r>
      <w:r w:rsidRPr="009B6C9F">
        <w:t>, Peng K</w:t>
      </w:r>
      <w:r>
        <w:t>.</w:t>
      </w:r>
      <w:r w:rsidRPr="009B6C9F">
        <w:t>, Heidenreich P</w:t>
      </w:r>
      <w:r>
        <w:t>.</w:t>
      </w:r>
      <w:r w:rsidRPr="009B6C9F">
        <w:t xml:space="preserve">, </w:t>
      </w:r>
      <w:proofErr w:type="spellStart"/>
      <w:r w:rsidRPr="009B6C9F">
        <w:t>Bieder</w:t>
      </w:r>
      <w:proofErr w:type="spellEnd"/>
      <w:r w:rsidRPr="009B6C9F">
        <w:t xml:space="preserve"> F</w:t>
      </w:r>
      <w:r>
        <w:t>.</w:t>
      </w:r>
      <w:r w:rsidRPr="009B6C9F">
        <w:t>, Stiller C</w:t>
      </w:r>
      <w:r>
        <w:t xml:space="preserve">.: </w:t>
      </w:r>
      <w:proofErr w:type="spellStart"/>
      <w:r>
        <w:t>PillarSegNet</w:t>
      </w:r>
      <w:proofErr w:type="spellEnd"/>
      <w:r>
        <w:t>: Pillar-based Semantic Grid Map Estimation using Sparse LiDAR Data (2021), https://arxiv.org/pdf/2105.04169.pdf, last accessed 2021/05/18.</w:t>
      </w:r>
    </w:p>
    <w:p w14:paraId="17C5934F" w14:textId="77777777" w:rsidR="00227D23" w:rsidRDefault="00227D23" w:rsidP="00227D23">
      <w:pPr>
        <w:pStyle w:val="referenceitem"/>
      </w:pPr>
      <w:r w:rsidRPr="009B6C9F">
        <w:t>Qi C</w:t>
      </w:r>
      <w:r>
        <w:t>.</w:t>
      </w:r>
      <w:r w:rsidRPr="009B6C9F">
        <w:t>R.</w:t>
      </w:r>
      <w:r>
        <w:t xml:space="preserve">, </w:t>
      </w:r>
      <w:r w:rsidRPr="009B6C9F">
        <w:t>Yi L</w:t>
      </w:r>
      <w:r>
        <w:t xml:space="preserve">., </w:t>
      </w:r>
      <w:proofErr w:type="spellStart"/>
      <w:r w:rsidRPr="009B6C9F">
        <w:t>Su</w:t>
      </w:r>
      <w:proofErr w:type="spellEnd"/>
      <w:r w:rsidRPr="009B6C9F">
        <w:t xml:space="preserve"> H</w:t>
      </w:r>
      <w:r>
        <w:t xml:space="preserve">., </w:t>
      </w:r>
      <w:proofErr w:type="spellStart"/>
      <w:r w:rsidRPr="009B6C9F">
        <w:t>Guibas</w:t>
      </w:r>
      <w:proofErr w:type="spellEnd"/>
      <w:r w:rsidRPr="009B6C9F">
        <w:t xml:space="preserve"> L</w:t>
      </w:r>
      <w:r>
        <w:t>.</w:t>
      </w:r>
      <w:r w:rsidRPr="009B6C9F">
        <w:t>J.</w:t>
      </w:r>
      <w:r>
        <w:t xml:space="preserve">: </w:t>
      </w:r>
      <w:proofErr w:type="spellStart"/>
      <w:r>
        <w:t>PointNet</w:t>
      </w:r>
      <w:proofErr w:type="spellEnd"/>
      <w:r>
        <w:t>++: Deep Hierarchical Feature Learning on Point Sets in a Metric Space (2017), https://arxiv.org/pdf/1706.02413v1.pdf, last accessed 2021/05/18.</w:t>
      </w:r>
    </w:p>
    <w:p w14:paraId="11B0F3CD" w14:textId="77777777" w:rsidR="00227D23" w:rsidRPr="009B6C9F" w:rsidRDefault="00227D23" w:rsidP="00227D23">
      <w:pPr>
        <w:pStyle w:val="referenceitem"/>
      </w:pPr>
      <w:r>
        <w:t>Gupta A., Byrne J., Moloney D., Watson S., Yin H.: Tree Annotations in LiDAR Data Using Point Densities and Convolutional Neural Networks (2020), https://arxiv.org/pdf/2006.05560.pdf, last accessed 2021/05/18.</w:t>
      </w:r>
    </w:p>
    <w:p w14:paraId="4C85B87E" w14:textId="77777777" w:rsidR="00227D23" w:rsidRPr="009B6C9F" w:rsidRDefault="00227D23" w:rsidP="00227D23">
      <w:pPr>
        <w:pStyle w:val="referenceitem"/>
      </w:pPr>
      <w:proofErr w:type="spellStart"/>
      <w:r>
        <w:t>Keras</w:t>
      </w:r>
      <w:proofErr w:type="spellEnd"/>
      <w:r>
        <w:t xml:space="preserve"> website, https</w:t>
      </w:r>
      <w:r w:rsidRPr="009B6C9F">
        <w:t>://</w:t>
      </w:r>
      <w:r>
        <w:t>keras</w:t>
      </w:r>
      <w:r w:rsidRPr="009B6C9F">
        <w:t>.</w:t>
      </w:r>
      <w:r>
        <w:t>io</w:t>
      </w:r>
      <w:r w:rsidRPr="009B6C9F">
        <w:t>/</w:t>
      </w:r>
      <w:r>
        <w:t>examples</w:t>
      </w:r>
      <w:r w:rsidRPr="009B6C9F">
        <w:t>/</w:t>
      </w:r>
      <w:r>
        <w:t>vision</w:t>
      </w:r>
      <w:r w:rsidRPr="009B6C9F">
        <w:t>/</w:t>
      </w:r>
      <w:r>
        <w:t>pointnet, last accessed 2021/05/18.</w:t>
      </w:r>
    </w:p>
    <w:p w14:paraId="56918257" w14:textId="77777777" w:rsidR="00227D23" w:rsidRPr="00227D23" w:rsidRDefault="00227D23" w:rsidP="00227D23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</w:pPr>
    </w:p>
    <w:sectPr w:rsidR="00227D23" w:rsidRPr="0022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5084C"/>
    <w:multiLevelType w:val="multilevel"/>
    <w:tmpl w:val="EF52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F3B75"/>
    <w:multiLevelType w:val="multilevel"/>
    <w:tmpl w:val="70BA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09"/>
    <w:rsid w:val="00031FDB"/>
    <w:rsid w:val="00227D23"/>
    <w:rsid w:val="00231637"/>
    <w:rsid w:val="00A87FC4"/>
    <w:rsid w:val="00B06D4E"/>
    <w:rsid w:val="00B97C88"/>
    <w:rsid w:val="00C7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A6631"/>
  <w15:chartTrackingRefBased/>
  <w15:docId w15:val="{0E1BFBB8-ABAA-9A43-AA82-C5620BCB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609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97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7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5609"/>
    <w:rPr>
      <w:b/>
      <w:bCs/>
    </w:rPr>
  </w:style>
  <w:style w:type="character" w:customStyle="1" w:styleId="apple-converted-space">
    <w:name w:val="apple-converted-space"/>
    <w:basedOn w:val="a0"/>
    <w:rsid w:val="00C75609"/>
  </w:style>
  <w:style w:type="character" w:customStyle="1" w:styleId="30">
    <w:name w:val="Заголовок 3 Знак"/>
    <w:basedOn w:val="a0"/>
    <w:link w:val="3"/>
    <w:uiPriority w:val="9"/>
    <w:rsid w:val="00C7560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7560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7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quation">
    <w:name w:val="equation"/>
    <w:basedOn w:val="a"/>
    <w:next w:val="a"/>
    <w:rsid w:val="00031FDB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igurecaption">
    <w:name w:val="figurecaption"/>
    <w:basedOn w:val="a"/>
    <w:next w:val="a"/>
    <w:rsid w:val="00227D23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item">
    <w:name w:val="referenceitem"/>
    <w:basedOn w:val="a"/>
    <w:rsid w:val="00227D23"/>
    <w:pPr>
      <w:numPr>
        <w:numId w:val="3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227D2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Нурлыева</dc:creator>
  <cp:keywords/>
  <dc:description/>
  <cp:lastModifiedBy>Дана Нурлыева</cp:lastModifiedBy>
  <cp:revision>2</cp:revision>
  <dcterms:created xsi:type="dcterms:W3CDTF">2021-05-23T17:50:00Z</dcterms:created>
  <dcterms:modified xsi:type="dcterms:W3CDTF">2021-05-23T17:50:00Z</dcterms:modified>
</cp:coreProperties>
</file>