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keepNext w:val="0"/>
        <w:spacing w:after="60" w:line="360" w:lineRule="atLeast"/>
        <w:ind w:left="0" w:right="0" w:firstLine="0"/>
        <w:jc w:val="center"/>
      </w:pPr>
      <w:r>
        <w:rPr>
          <w:rFonts w:ascii="arial" w:eastAsia="arial" w:hAnsi="arial" w:cs="arial"/>
          <w:b/>
          <w:i w:val="0"/>
          <w:strike w:val="0"/>
          <w:noProof w:val="0"/>
          <w:color w:val="000000"/>
          <w:position w:val="0"/>
          <w:sz w:val="30"/>
          <w:u w:val="none"/>
          <w:vertAlign w:val="baseline"/>
        </w:rPr>
        <w:t xml:space="preserve">Political </w:t>
      </w:r>
      <w:r>
        <w:rPr>
          <w:rFonts w:ascii="arial" w:eastAsia="arial" w:hAnsi="arial" w:cs="arial"/>
          <w:b/>
          <w:i w:val="0"/>
          <w:strike w:val="0"/>
          <w:noProof w:val="0"/>
          <w:color w:val="000000"/>
          <w:position w:val="0"/>
          <w:sz w:val="30"/>
          <w:u w:val="none"/>
          <w:vertAlign w:val="baseline"/>
        </w:rPr>
        <w:t>balance</w:t>
      </w:r>
      <w:r>
        <w:rPr>
          <w:rFonts w:ascii="arial" w:eastAsia="arial" w:hAnsi="arial" w:cs="arial"/>
          <w:b/>
          <w:i w:val="0"/>
          <w:strike w:val="0"/>
          <w:noProof w:val="0"/>
          <w:color w:val="000000"/>
          <w:position w:val="0"/>
          <w:sz w:val="30"/>
          <w:u w:val="none"/>
          <w:vertAlign w:val="baseline"/>
        </w:rPr>
        <w:t xml:space="preserve"> of local authority executives and committees</w:t>
      </w:r>
    </w:p>
    <w:p>
      <w:r>
        <w:br/>
      </w:r>
    </w:p>
    <w:p>
      <w:pPr>
        <w:keepNext w:val="0"/>
        <w:spacing w:before="120" w:after="60" w:line="360" w:lineRule="atLeast"/>
        <w:ind w:left="0" w:right="0" w:firstLine="0"/>
        <w:jc w:val="left"/>
      </w:pPr>
      <w:r>
        <w:rPr>
          <w:rFonts w:ascii="arial" w:eastAsia="arial" w:hAnsi="arial" w:cs="arial"/>
          <w:b/>
          <w:i w:val="0"/>
          <w:strike w:val="0"/>
          <w:noProof w:val="0"/>
          <w:color w:val="000000"/>
          <w:position w:val="0"/>
          <w:sz w:val="30"/>
          <w:u w:val="none"/>
          <w:vertAlign w:val="baseline"/>
        </w:rPr>
        <w:t xml:space="preserve">Political </w:t>
      </w:r>
      <w:r>
        <w:rPr>
          <w:rFonts w:ascii="arial" w:eastAsia="arial" w:hAnsi="arial" w:cs="arial"/>
          <w:b/>
          <w:i w:val="0"/>
          <w:strike w:val="0"/>
          <w:noProof w:val="0"/>
          <w:color w:val="000000"/>
          <w:position w:val="0"/>
          <w:sz w:val="30"/>
          <w:u w:val="none"/>
          <w:vertAlign w:val="baseline"/>
        </w:rPr>
        <w:t>balance</w:t>
      </w:r>
      <w:r>
        <w:rPr>
          <w:rFonts w:ascii="arial" w:eastAsia="arial" w:hAnsi="arial" w:cs="arial"/>
          <w:b/>
          <w:i w:val="0"/>
          <w:strike w:val="0"/>
          <w:noProof w:val="0"/>
          <w:color w:val="000000"/>
          <w:position w:val="0"/>
          <w:sz w:val="30"/>
          <w:u w:val="none"/>
          <w:vertAlign w:val="baseline"/>
        </w:rPr>
        <w:t xml:space="preserve"> of local authority executives and committees</w:t>
      </w:r>
    </w:p>
    <w:p>
      <w:r>
        <w:br/>
      </w:r>
    </w:p>
    <w:p>
      <w:pPr>
        <w:keepNext w:val="0"/>
        <w:spacing w:before="120" w:after="120" w:line="280" w:lineRule="atLeast"/>
        <w:ind w:left="0" w:right="0" w:firstLine="0"/>
        <w:jc w:val="left"/>
      </w:pPr>
      <w:r>
        <w:rPr>
          <w:rFonts w:ascii="arial" w:eastAsia="arial" w:hAnsi="arial" w:cs="arial"/>
          <w:b/>
          <w:i w:val="0"/>
          <w:strike w:val="0"/>
          <w:noProof w:val="0"/>
          <w:color w:val="000000"/>
          <w:position w:val="0"/>
          <w:sz w:val="22"/>
          <w:u w:val="none"/>
          <w:vertAlign w:val="baseline"/>
        </w:rPr>
        <w:t xml:space="preserve">Encyclopaedia of Forms and Precedents </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LOCAL GOVERNMENT AND RATING vol 26(2)A</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PART 1: LOCAL GOVERNMENT</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Commentary</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D: THE CONSTITUTION AND INTERNAL AFFAIRS OF LOCAL AUTHORITIES</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3: COMPOSITION OF LOCAL AUTHORITY EXECUTIVES, COMMITTEES, SUB-COMMITTEES AND JOINT COMMITTEES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note</w:t>
      </w:r>
    </w:p>
    <w:p>
      <w:pPr>
        <w:keepNext w:val="0"/>
        <w:spacing w:before="0" w:after="0" w:line="260" w:lineRule="atLeast"/>
        <w:ind w:left="0" w:right="0" w:firstLine="0"/>
        <w:jc w:val="right"/>
      </w:pPr>
      <w:r>
        <w:br/>
      </w:r>
      <w:r>
        <w:rPr>
          <w:rFonts w:ascii="arial" w:eastAsia="arial" w:hAnsi="arial" w:cs="arial"/>
          <w:b w:val="0"/>
          <w:i w:val="0"/>
          <w:strike w:val="0"/>
          <w:noProof w:val="0"/>
          <w:color w:val="000000"/>
          <w:position w:val="0"/>
          <w:sz w:val="20"/>
          <w:u w:val="none"/>
          <w:vertAlign w:val="baseline"/>
        </w:rPr>
        <w:t>[219]</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When a local authority operates executive arrangements, the executive of the local authority need not be politically balanced</w:t>
      </w:r>
      <w:bookmarkStart w:id="0" w:name="Backward_fnref_d16726e43"/>
      <w:hyperlink w:anchor="Forward_fnref_d16726e43" w:history="1">
        <w:r>
          <w:rPr>
            <w:rFonts w:ascii="arial" w:eastAsia="arial" w:hAnsi="arial" w:cs="arial"/>
            <w:b/>
            <w:i w:val="0"/>
            <w:strike w:val="0"/>
            <w:noProof w:val="0"/>
            <w:color w:val="BE161D"/>
            <w:position w:val="0"/>
            <w:sz w:val="20"/>
            <w:u w:val="none"/>
            <w:shd w:val="clear" w:color="auto" w:fill="FFFFFF"/>
            <w:vertAlign w:val="superscript"/>
          </w:rPr>
          <w:t>1</w:t>
        </w:r>
      </w:hyperlink>
      <w:bookmarkEnd w:id="0"/>
      <w:r>
        <w:rPr>
          <w:rFonts w:ascii="arial" w:eastAsia="arial" w:hAnsi="arial" w:cs="arial"/>
          <w:b w:val="0"/>
          <w:i w:val="0"/>
          <w:strike w:val="0"/>
          <w:noProof w:val="0"/>
          <w:color w:val="000000"/>
          <w:position w:val="0"/>
          <w:sz w:val="20"/>
          <w:u w:val="none"/>
          <w:vertAlign w:val="baseline"/>
        </w:rPr>
        <w:t>. However, all overview and scrutiny committees</w:t>
      </w:r>
      <w:bookmarkStart w:id="1" w:name="Backward_fnref_d16726e46"/>
      <w:hyperlink w:anchor="Forward_fnref_d16726e46" w:history="1">
        <w:r>
          <w:rPr>
            <w:rFonts w:ascii="arial" w:eastAsia="arial" w:hAnsi="arial" w:cs="arial"/>
            <w:b/>
            <w:i w:val="0"/>
            <w:strike w:val="0"/>
            <w:noProof w:val="0"/>
            <w:color w:val="BE161D"/>
            <w:position w:val="0"/>
            <w:sz w:val="20"/>
            <w:u w:val="none"/>
            <w:shd w:val="clear" w:color="auto" w:fill="FFFFFF"/>
            <w:vertAlign w:val="superscript"/>
          </w:rPr>
          <w:t>2</w:t>
        </w:r>
      </w:hyperlink>
      <w:bookmarkEnd w:id="1"/>
      <w:r>
        <w:rPr>
          <w:rFonts w:ascii="arial" w:eastAsia="arial" w:hAnsi="arial" w:cs="arial"/>
          <w:b w:val="0"/>
          <w:i w:val="0"/>
          <w:strike w:val="0"/>
          <w:noProof w:val="0"/>
          <w:color w:val="000000"/>
          <w:position w:val="0"/>
          <w:sz w:val="20"/>
          <w:u w:val="none"/>
          <w:vertAlign w:val="baseline"/>
        </w:rPr>
        <w:t>, ordinary committees, sub-committees and joint committees</w:t>
      </w:r>
      <w:bookmarkStart w:id="2" w:name="Backward_fnref_d16726e49"/>
      <w:hyperlink w:anchor="Forward_fnref_d16726e49" w:history="1">
        <w:r>
          <w:rPr>
            <w:rFonts w:ascii="arial" w:eastAsia="arial" w:hAnsi="arial" w:cs="arial"/>
            <w:b/>
            <w:i w:val="0"/>
            <w:strike w:val="0"/>
            <w:noProof w:val="0"/>
            <w:color w:val="BE161D"/>
            <w:position w:val="0"/>
            <w:sz w:val="20"/>
            <w:u w:val="none"/>
            <w:shd w:val="clear" w:color="auto" w:fill="FFFFFF"/>
            <w:vertAlign w:val="superscript"/>
          </w:rPr>
          <w:t>3</w:t>
        </w:r>
      </w:hyperlink>
      <w:bookmarkEnd w:id="2"/>
      <w:r>
        <w:rPr>
          <w:rFonts w:ascii="arial" w:eastAsia="arial" w:hAnsi="arial" w:cs="arial"/>
          <w:b w:val="0"/>
          <w:i w:val="0"/>
          <w:strike w:val="0"/>
          <w:noProof w:val="0"/>
          <w:color w:val="000000"/>
          <w:position w:val="0"/>
          <w:sz w:val="20"/>
          <w:u w:val="none"/>
          <w:vertAlign w:val="baseline"/>
        </w:rPr>
        <w:t xml:space="preserve"> established by a relevant authority</w:t>
      </w:r>
      <w:bookmarkStart w:id="3" w:name="Backward_fnref_d16726e52"/>
      <w:hyperlink w:anchor="Forward_fnref_d16726e52" w:history="1">
        <w:r>
          <w:rPr>
            <w:rFonts w:ascii="arial" w:eastAsia="arial" w:hAnsi="arial" w:cs="arial"/>
            <w:b/>
            <w:i w:val="0"/>
            <w:strike w:val="0"/>
            <w:noProof w:val="0"/>
            <w:color w:val="BE161D"/>
            <w:position w:val="0"/>
            <w:sz w:val="20"/>
            <w:u w:val="none"/>
            <w:shd w:val="clear" w:color="auto" w:fill="FFFFFF"/>
            <w:vertAlign w:val="superscript"/>
          </w:rPr>
          <w:t>4</w:t>
        </w:r>
      </w:hyperlink>
      <w:bookmarkEnd w:id="3"/>
      <w:r>
        <w:rPr>
          <w:rFonts w:ascii="arial" w:eastAsia="arial" w:hAnsi="arial" w:cs="arial"/>
          <w:b w:val="0"/>
          <w:i w:val="0"/>
          <w:strike w:val="0"/>
          <w:noProof w:val="0"/>
          <w:color w:val="000000"/>
          <w:position w:val="0"/>
          <w:sz w:val="20"/>
          <w:u w:val="none"/>
          <w:vertAlign w:val="baseline"/>
        </w:rPr>
        <w:t xml:space="preserve"> must be politically balanced to reflect the overall political composition of the local authority</w:t>
      </w:r>
      <w:bookmarkStart w:id="4" w:name="Backward_fnref_d16726e55"/>
      <w:hyperlink w:anchor="Forward_fnref_d16726e55" w:history="1">
        <w:r>
          <w:rPr>
            <w:rFonts w:ascii="arial" w:eastAsia="arial" w:hAnsi="arial" w:cs="arial"/>
            <w:b/>
            <w:i w:val="0"/>
            <w:strike w:val="0"/>
            <w:noProof w:val="0"/>
            <w:color w:val="BE161D"/>
            <w:position w:val="0"/>
            <w:sz w:val="20"/>
            <w:u w:val="none"/>
            <w:shd w:val="clear" w:color="auto" w:fill="FFFFFF"/>
            <w:vertAlign w:val="superscript"/>
          </w:rPr>
          <w:t>5</w:t>
        </w:r>
      </w:hyperlink>
      <w:bookmarkEnd w:id="4"/>
      <w:r>
        <w:rPr>
          <w:rFonts w:ascii="arial" w:eastAsia="arial" w:hAnsi="arial" w:cs="arial"/>
          <w:b w:val="0"/>
          <w:i w:val="0"/>
          <w:strike w:val="0"/>
          <w:noProof w:val="0"/>
          <w:color w:val="000000"/>
          <w:position w:val="0"/>
          <w:sz w:val="20"/>
          <w:u w:val="none"/>
          <w:vertAlign w:val="baseline"/>
        </w:rPr>
        <w:t xml:space="preserve">. Political </w:t>
      </w:r>
      <w:r>
        <w:rPr>
          <w:rFonts w:ascii="arial" w:eastAsia="arial" w:hAnsi="arial" w:cs="arial"/>
          <w:b w:val="0"/>
          <w:i w:val="0"/>
          <w:strike w:val="0"/>
          <w:noProof w:val="0"/>
          <w:color w:val="000000"/>
          <w:position w:val="0"/>
          <w:sz w:val="20"/>
          <w:u w:val="none"/>
          <w:vertAlign w:val="baseline"/>
        </w:rPr>
        <w:t>balance</w:t>
      </w:r>
      <w:r>
        <w:rPr>
          <w:rFonts w:ascii="arial" w:eastAsia="arial" w:hAnsi="arial" w:cs="arial"/>
          <w:b w:val="0"/>
          <w:i w:val="0"/>
          <w:strike w:val="0"/>
          <w:noProof w:val="0"/>
          <w:color w:val="000000"/>
          <w:position w:val="0"/>
          <w:sz w:val="20"/>
          <w:u w:val="none"/>
          <w:vertAlign w:val="baseline"/>
        </w:rPr>
        <w:t xml:space="preserve"> rules can be disapplied to area committees that conform to statutory criteria</w:t>
      </w:r>
      <w:bookmarkStart w:id="5" w:name="Backward_fnref_d16726e59"/>
      <w:hyperlink w:anchor="Forward_fnref_d16726e59" w:history="1">
        <w:r>
          <w:rPr>
            <w:rFonts w:ascii="arial" w:eastAsia="arial" w:hAnsi="arial" w:cs="arial"/>
            <w:b/>
            <w:i w:val="0"/>
            <w:strike w:val="0"/>
            <w:noProof w:val="0"/>
            <w:color w:val="BE161D"/>
            <w:position w:val="0"/>
            <w:sz w:val="20"/>
            <w:u w:val="none"/>
            <w:shd w:val="clear" w:color="auto" w:fill="FFFFFF"/>
            <w:vertAlign w:val="superscript"/>
          </w:rPr>
          <w:t>6</w:t>
        </w:r>
      </w:hyperlink>
      <w:bookmarkEnd w:id="5"/>
      <w:r>
        <w:rPr>
          <w:rFonts w:ascii="arial" w:eastAsia="arial" w:hAnsi="arial" w:cs="arial"/>
          <w:b w:val="0"/>
          <w:i w:val="0"/>
          <w:strike w:val="0"/>
          <w:noProof w:val="0"/>
          <w:color w:val="000000"/>
          <w:position w:val="0"/>
          <w:sz w:val="20"/>
          <w:u w:val="none"/>
          <w:vertAlign w:val="baseline"/>
        </w:rPr>
        <w:t>.</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 xml:space="preserve">When the duty to accord political </w:t>
      </w:r>
      <w:r>
        <w:rPr>
          <w:rFonts w:ascii="arial" w:eastAsia="arial" w:hAnsi="arial" w:cs="arial"/>
          <w:b w:val="0"/>
          <w:i w:val="0"/>
          <w:strike w:val="0"/>
          <w:noProof w:val="0"/>
          <w:color w:val="000000"/>
          <w:position w:val="0"/>
          <w:sz w:val="20"/>
          <w:u w:val="none"/>
          <w:vertAlign w:val="baseline"/>
        </w:rPr>
        <w:t>balance</w:t>
      </w:r>
      <w:r>
        <w:rPr>
          <w:rFonts w:ascii="arial" w:eastAsia="arial" w:hAnsi="arial" w:cs="arial"/>
          <w:b w:val="0"/>
          <w:i w:val="0"/>
          <w:strike w:val="0"/>
          <w:noProof w:val="0"/>
          <w:color w:val="000000"/>
          <w:position w:val="0"/>
          <w:sz w:val="20"/>
          <w:u w:val="none"/>
          <w:vertAlign w:val="baseline"/>
        </w:rPr>
        <w:t xml:space="preserve"> arises, every relevant authority has a duty to review the representation of different political groups</w:t>
      </w:r>
      <w:bookmarkStart w:id="6" w:name="Backward_fnref_d16726e64"/>
      <w:hyperlink w:anchor="Forward_fnref_d16726e64" w:history="1">
        <w:r>
          <w:rPr>
            <w:rFonts w:ascii="arial" w:eastAsia="arial" w:hAnsi="arial" w:cs="arial"/>
            <w:b/>
            <w:i w:val="0"/>
            <w:strike w:val="0"/>
            <w:noProof w:val="0"/>
            <w:color w:val="BE161D"/>
            <w:position w:val="0"/>
            <w:sz w:val="20"/>
            <w:u w:val="none"/>
            <w:shd w:val="clear" w:color="auto" w:fill="FFFFFF"/>
            <w:vertAlign w:val="superscript"/>
          </w:rPr>
          <w:t>7</w:t>
        </w:r>
      </w:hyperlink>
      <w:bookmarkEnd w:id="6"/>
      <w:r>
        <w:rPr>
          <w:rFonts w:ascii="arial" w:eastAsia="arial" w:hAnsi="arial" w:cs="arial"/>
          <w:b w:val="0"/>
          <w:i w:val="0"/>
          <w:strike w:val="0"/>
          <w:noProof w:val="0"/>
          <w:color w:val="000000"/>
          <w:position w:val="0"/>
          <w:sz w:val="20"/>
          <w:u w:val="none"/>
          <w:vertAlign w:val="baseline"/>
        </w:rPr>
        <w:t xml:space="preserve"> on its executive or its committees, and committees have a similar duty of review</w:t>
      </w:r>
      <w:bookmarkStart w:id="7" w:name="Backward_fnref_d16726e67"/>
      <w:hyperlink w:anchor="Forward_fnref_d16726e67" w:history="1">
        <w:r>
          <w:rPr>
            <w:rFonts w:ascii="arial" w:eastAsia="arial" w:hAnsi="arial" w:cs="arial"/>
            <w:b/>
            <w:i w:val="0"/>
            <w:strike w:val="0"/>
            <w:noProof w:val="0"/>
            <w:color w:val="BE161D"/>
            <w:position w:val="0"/>
            <w:sz w:val="20"/>
            <w:u w:val="none"/>
            <w:shd w:val="clear" w:color="auto" w:fill="FFFFFF"/>
            <w:vertAlign w:val="superscript"/>
          </w:rPr>
          <w:t>8</w:t>
        </w:r>
      </w:hyperlink>
      <w:bookmarkEnd w:id="7"/>
      <w:r>
        <w:rPr>
          <w:rFonts w:ascii="arial" w:eastAsia="arial" w:hAnsi="arial" w:cs="arial"/>
          <w:b w:val="0"/>
          <w:i w:val="0"/>
          <w:strike w:val="0"/>
          <w:noProof w:val="0"/>
          <w:color w:val="000000"/>
          <w:position w:val="0"/>
          <w:sz w:val="20"/>
          <w:u w:val="none"/>
          <w:vertAlign w:val="baseline"/>
        </w:rPr>
        <w:t>. Once a review has been carried out, the relevant authorities and their committees have a duty to allocate seats</w:t>
      </w:r>
      <w:bookmarkStart w:id="8" w:name="Backward_fnref_d16726e70"/>
      <w:hyperlink w:anchor="Forward_fnref_d16726e70" w:history="1">
        <w:r>
          <w:rPr>
            <w:rFonts w:ascii="arial" w:eastAsia="arial" w:hAnsi="arial" w:cs="arial"/>
            <w:b/>
            <w:i w:val="0"/>
            <w:strike w:val="0"/>
            <w:noProof w:val="0"/>
            <w:color w:val="BE161D"/>
            <w:position w:val="0"/>
            <w:sz w:val="20"/>
            <w:u w:val="none"/>
            <w:shd w:val="clear" w:color="auto" w:fill="FFFFFF"/>
            <w:vertAlign w:val="superscript"/>
          </w:rPr>
          <w:t>9</w:t>
        </w:r>
      </w:hyperlink>
      <w:bookmarkEnd w:id="8"/>
      <w:r>
        <w:rPr>
          <w:rFonts w:ascii="arial" w:eastAsia="arial" w:hAnsi="arial" w:cs="arial"/>
          <w:b w:val="0"/>
          <w:i w:val="0"/>
          <w:strike w:val="0"/>
          <w:noProof w:val="0"/>
          <w:color w:val="000000"/>
          <w:position w:val="0"/>
          <w:sz w:val="20"/>
          <w:u w:val="none"/>
          <w:vertAlign w:val="baseline"/>
        </w:rPr>
        <w:t xml:space="preserve"> proportionately</w:t>
      </w:r>
      <w:bookmarkStart w:id="9" w:name="Backward_fnref_d16726e73"/>
      <w:hyperlink w:anchor="Forward_fnref_d16726e73" w:history="1">
        <w:r>
          <w:rPr>
            <w:rFonts w:ascii="arial" w:eastAsia="arial" w:hAnsi="arial" w:cs="arial"/>
            <w:b/>
            <w:i w:val="0"/>
            <w:strike w:val="0"/>
            <w:noProof w:val="0"/>
            <w:color w:val="BE161D"/>
            <w:position w:val="0"/>
            <w:sz w:val="20"/>
            <w:u w:val="none"/>
            <w:shd w:val="clear" w:color="auto" w:fill="FFFFFF"/>
            <w:vertAlign w:val="superscript"/>
          </w:rPr>
          <w:t>10</w:t>
        </w:r>
      </w:hyperlink>
      <w:bookmarkEnd w:id="9"/>
      <w:r>
        <w:rPr>
          <w:rFonts w:ascii="arial" w:eastAsia="arial" w:hAnsi="arial" w:cs="arial"/>
          <w:b w:val="0"/>
          <w:i w:val="0"/>
          <w:strike w:val="0"/>
          <w:noProof w:val="0"/>
          <w:color w:val="000000"/>
          <w:position w:val="0"/>
          <w:sz w:val="20"/>
          <w:u w:val="none"/>
          <w:vertAlign w:val="baseline"/>
        </w:rPr>
        <w:t xml:space="preserve"> between political groups, so far as is reasonably practicable</w:t>
      </w:r>
      <w:bookmarkStart w:id="10" w:name="Backward_fnref_d16726e76"/>
      <w:hyperlink w:anchor="Forward_fnref_d16726e76" w:history="1">
        <w:r>
          <w:rPr>
            <w:rFonts w:ascii="arial" w:eastAsia="arial" w:hAnsi="arial" w:cs="arial"/>
            <w:b/>
            <w:i w:val="0"/>
            <w:strike w:val="0"/>
            <w:noProof w:val="0"/>
            <w:color w:val="BE161D"/>
            <w:position w:val="0"/>
            <w:sz w:val="20"/>
            <w:u w:val="none"/>
            <w:shd w:val="clear" w:color="auto" w:fill="FFFFFF"/>
            <w:vertAlign w:val="superscript"/>
          </w:rPr>
          <w:t>11</w:t>
        </w:r>
      </w:hyperlink>
      <w:bookmarkEnd w:id="10"/>
      <w:r>
        <w:rPr>
          <w:rFonts w:ascii="arial" w:eastAsia="arial" w:hAnsi="arial" w:cs="arial"/>
          <w:b w:val="0"/>
          <w:i w:val="0"/>
          <w:strike w:val="0"/>
          <w:noProof w:val="0"/>
          <w:color w:val="000000"/>
          <w:position w:val="0"/>
          <w:sz w:val="20"/>
          <w:u w:val="none"/>
          <w:vertAlign w:val="baseline"/>
        </w:rPr>
        <w:t>. A relevant authority and its committees must act in accordance with the wishes of each political group as to executive or committee appointments and their termination</w:t>
      </w:r>
      <w:bookmarkStart w:id="11" w:name="Backward_fnref_d16726e80"/>
      <w:hyperlink w:anchor="Forward_fnref_d16726e80" w:history="1">
        <w:r>
          <w:rPr>
            <w:rFonts w:ascii="arial" w:eastAsia="arial" w:hAnsi="arial" w:cs="arial"/>
            <w:b/>
            <w:i w:val="0"/>
            <w:strike w:val="0"/>
            <w:noProof w:val="0"/>
            <w:color w:val="BE161D"/>
            <w:position w:val="0"/>
            <w:sz w:val="20"/>
            <w:u w:val="none"/>
            <w:shd w:val="clear" w:color="auto" w:fill="FFFFFF"/>
            <w:vertAlign w:val="superscript"/>
          </w:rPr>
          <w:t>12</w:t>
        </w:r>
      </w:hyperlink>
      <w:bookmarkEnd w:id="11"/>
      <w:r>
        <w:rPr>
          <w:rFonts w:ascii="arial" w:eastAsia="arial" w:hAnsi="arial" w:cs="arial"/>
          <w:b w:val="0"/>
          <w:i w:val="0"/>
          <w:strike w:val="0"/>
          <w:noProof w:val="0"/>
          <w:color w:val="000000"/>
          <w:position w:val="0"/>
          <w:sz w:val="20"/>
          <w:u w:val="none"/>
          <w:vertAlign w:val="baseline"/>
        </w:rPr>
        <w:t>.</w:t>
      </w:r>
    </w:p>
    <w:p>
      <w:pPr>
        <w:keepNext w:val="0"/>
        <w:spacing w:before="0" w:after="0" w:line="260" w:lineRule="atLeast"/>
        <w:ind w:left="0" w:right="0" w:firstLine="0"/>
        <w:jc w:val="both"/>
      </w:pPr>
      <w:r>
        <w:br/>
      </w:r>
      <w:r>
        <w:rPr>
          <w:rFonts w:ascii="arial" w:eastAsia="arial" w:hAnsi="arial" w:cs="arial"/>
          <w:b w:val="0"/>
          <w:i w:val="0"/>
          <w:strike w:val="0"/>
          <w:noProof w:val="0"/>
          <w:color w:val="000000"/>
          <w:position w:val="0"/>
          <w:sz w:val="20"/>
          <w:u w:val="none"/>
          <w:vertAlign w:val="baseline"/>
        </w:rPr>
        <w:t>The rules do not apply to parish and community councils and meetings, which are therefore permitted to appoint committees made up of members of only one political party</w:t>
      </w:r>
      <w:bookmarkStart w:id="12" w:name="Backward_fnref_d16726e85"/>
      <w:hyperlink w:anchor="Forward_fnref_d16726e85" w:history="1">
        <w:r>
          <w:rPr>
            <w:rFonts w:ascii="arial" w:eastAsia="arial" w:hAnsi="arial" w:cs="arial"/>
            <w:b/>
            <w:i w:val="0"/>
            <w:strike w:val="0"/>
            <w:noProof w:val="0"/>
            <w:color w:val="BE161D"/>
            <w:position w:val="0"/>
            <w:sz w:val="20"/>
            <w:u w:val="none"/>
            <w:shd w:val="clear" w:color="auto" w:fill="FFFFFF"/>
            <w:vertAlign w:val="superscript"/>
          </w:rPr>
          <w:t>13</w:t>
        </w:r>
      </w:hyperlink>
      <w:bookmarkEnd w:id="12"/>
      <w:r>
        <w:rPr>
          <w:rFonts w:ascii="arial" w:eastAsia="arial" w:hAnsi="arial" w:cs="arial"/>
          <w:b w:val="0"/>
          <w:i w:val="0"/>
          <w:strike w:val="0"/>
          <w:noProof w:val="0"/>
          <w:color w:val="000000"/>
          <w:position w:val="0"/>
          <w:sz w:val="20"/>
          <w:u w:val="none"/>
          <w:vertAlign w:val="baseline"/>
        </w:rPr>
        <w:t>.</w:t>
      </w:r>
    </w:p>
    <w:p>
      <w:pPr>
        <w:keepNext w:val="0"/>
        <w:spacing w:before="0" w:after="0" w:line="260" w:lineRule="atLeast"/>
        <w:ind w:left="0" w:right="0" w:firstLine="0"/>
        <w:jc w:val="right"/>
      </w:pPr>
      <w:r>
        <w:br/>
      </w:r>
      <w:r>
        <w:rPr>
          <w:rFonts w:ascii="arial" w:eastAsia="arial" w:hAnsi="arial" w:cs="arial"/>
          <w:b w:val="0"/>
          <w:i w:val="0"/>
          <w:strike w:val="0"/>
          <w:noProof w:val="0"/>
          <w:color w:val="000000"/>
          <w:position w:val="0"/>
          <w:sz w:val="20"/>
          <w:u w:val="none"/>
          <w:vertAlign w:val="baseline"/>
        </w:rPr>
        <w:t>[220]</w:t>
      </w:r>
    </w:p>
    <w:p>
      <w:pPr>
        <w:spacing w:before="0"/>
      </w:pPr>
      <w:r>
        <w:br/>
      </w:r>
    </w:p>
    <w:p>
      <w:pPr>
        <w:spacing w:after="240"/>
      </w:pPr>
      <w:r>
        <w:pict>
          <v:line id="_x0000_s1025" style="position:absolute;z-index:251658240" from="0,15pt" to="180pt,15pt" strokecolor="#bcbeb0" strokeweight="0.5pt">
            <v:stroke linestyle="single"/>
          </v:line>
        </w:pict>
      </w:r>
    </w:p>
    <w:p/>
    <w:p>
      <w:pPr>
        <w:keepNext w:val="0"/>
        <w:spacing w:before="120" w:after="20" w:line="240" w:lineRule="atLeast"/>
        <w:ind w:left="720" w:right="0" w:hanging="360"/>
        <w:jc w:val="left"/>
      </w:pPr>
      <w:bookmarkStart w:id="13" w:name="Forward_fnref_d16726e43"/>
      <w:hyperlink w:anchor="Backward_fnref_d16726e43" w:history="1">
        <w:r>
          <w:rPr>
            <w:rFonts w:ascii="arial" w:eastAsia="arial" w:hAnsi="arial" w:cs="arial"/>
            <w:b/>
            <w:i w:val="0"/>
            <w:strike w:val="0"/>
            <w:color w:val="BE161D"/>
            <w:sz w:val="18"/>
            <w:u w:val="none"/>
            <w:shd w:val="clear" w:color="auto" w:fill="FFFFFF"/>
            <w:vertAlign w:val="baseline"/>
          </w:rPr>
          <w:t>1</w:t>
        </w:r>
      </w:hyperlink>
      <w:bookmarkEnd w:id="13"/>
      <w:r>
        <w:tab/>
      </w:r>
      <w:r>
        <w:rPr>
          <w:rFonts w:ascii="arial" w:eastAsia="arial" w:hAnsi="arial" w:cs="arial"/>
          <w:b w:val="0"/>
          <w:i w:val="0"/>
          <w:strike w:val="0"/>
          <w:noProof w:val="0"/>
          <w:color w:val="4A4A4A"/>
          <w:position w:val="0"/>
          <w:sz w:val="18"/>
          <w:u w:val="none"/>
          <w:vertAlign w:val="baseline"/>
        </w:rPr>
        <w:t xml:space="preserve">An executive is not a body to which </w:t>
      </w:r>
      <w:r>
        <w:rPr>
          <w:rFonts w:ascii="arial" w:eastAsia="arial" w:hAnsi="arial" w:cs="arial"/>
          <w:b w:val="0"/>
          <w:i w:val="0"/>
          <w:strike w:val="0"/>
          <w:noProof w:val="0"/>
          <w:color w:val="4A4A4A"/>
          <w:position w:val="0"/>
          <w:sz w:val="18"/>
          <w:u w:val="none"/>
          <w:vertAlign w:val="baseline"/>
        </w:rPr>
        <w:t>Local Government and Housing Act 1989</w:t>
      </w:r>
      <w:r>
        <w:rPr>
          <w:rFonts w:ascii="arial" w:eastAsia="arial" w:hAnsi="arial" w:cs="arial"/>
          <w:b w:val="0"/>
          <w:i w:val="0"/>
          <w:strike w:val="0"/>
          <w:noProof w:val="0"/>
          <w:color w:val="4A4A4A"/>
          <w:position w:val="0"/>
          <w:sz w:val="18"/>
          <w:u w:val="none"/>
          <w:vertAlign w:val="baseline"/>
        </w:rPr>
        <w:t xml:space="preserve"> s 15, Sch 1 (as amended) applies and nor is a committee of an executive: Local Government Act 2000 s 9GC as inserted by the Localism Act 2011 s 21, Sch 2 para 1. As to local authority executive arrangements see Paragraphs 25 [141]–30 [151] above.</w:t>
      </w:r>
    </w:p>
    <w:p>
      <w:pPr>
        <w:keepNext w:val="0"/>
        <w:spacing w:before="120" w:after="20" w:line="240" w:lineRule="atLeast"/>
        <w:ind w:left="720" w:right="0" w:hanging="360"/>
        <w:jc w:val="left"/>
      </w:pPr>
      <w:bookmarkStart w:id="14" w:name="Forward_fnref_d16726e46"/>
      <w:hyperlink w:anchor="Backward_fnref_d16726e46" w:history="1">
        <w:r>
          <w:rPr>
            <w:rFonts w:ascii="arial" w:eastAsia="arial" w:hAnsi="arial" w:cs="arial"/>
            <w:b/>
            <w:i w:val="0"/>
            <w:strike w:val="0"/>
            <w:color w:val="BE161D"/>
            <w:sz w:val="18"/>
            <w:u w:val="none"/>
            <w:shd w:val="clear" w:color="auto" w:fill="FFFFFF"/>
            <w:vertAlign w:val="baseline"/>
          </w:rPr>
          <w:t>2</w:t>
        </w:r>
      </w:hyperlink>
      <w:bookmarkEnd w:id="14"/>
      <w:r>
        <w:tab/>
      </w:r>
      <w:r>
        <w:rPr>
          <w:rFonts w:ascii="arial" w:eastAsia="arial" w:hAnsi="arial" w:cs="arial"/>
          <w:b w:val="0"/>
          <w:i w:val="0"/>
          <w:strike w:val="0"/>
          <w:noProof w:val="0"/>
          <w:color w:val="4A4A4A"/>
          <w:position w:val="0"/>
          <w:sz w:val="18"/>
          <w:u w:val="none"/>
          <w:vertAlign w:val="baseline"/>
        </w:rPr>
        <w:t>Local Government Act 2000 s 21(11)(b). As to overview and scrutiny committees see Paragraph 29 [149] above.</w:t>
      </w:r>
    </w:p>
    <w:p>
      <w:pPr>
        <w:keepNext w:val="0"/>
        <w:spacing w:before="120" w:after="20" w:line="240" w:lineRule="atLeast"/>
        <w:ind w:left="720" w:right="0" w:hanging="360"/>
        <w:jc w:val="left"/>
      </w:pPr>
      <w:bookmarkStart w:id="15" w:name="Forward_fnref_d16726e49"/>
      <w:hyperlink w:anchor="Backward_fnref_d16726e49" w:history="1">
        <w:r>
          <w:rPr>
            <w:rFonts w:ascii="arial" w:eastAsia="arial" w:hAnsi="arial" w:cs="arial"/>
            <w:b/>
            <w:i w:val="0"/>
            <w:strike w:val="0"/>
            <w:color w:val="BE161D"/>
            <w:sz w:val="18"/>
            <w:u w:val="none"/>
            <w:shd w:val="clear" w:color="auto" w:fill="FFFFFF"/>
            <w:vertAlign w:val="baseline"/>
          </w:rPr>
          <w:t>3</w:t>
        </w:r>
      </w:hyperlink>
      <w:bookmarkEnd w:id="15"/>
      <w:r>
        <w:tab/>
      </w:r>
      <w:r>
        <w:rPr>
          <w:rFonts w:ascii="arial" w:eastAsia="arial" w:hAnsi="arial" w:cs="arial"/>
          <w:b w:val="0"/>
          <w:i w:val="0"/>
          <w:strike w:val="0"/>
          <w:noProof w:val="0"/>
          <w:color w:val="4A4A4A"/>
          <w:position w:val="0"/>
          <w:sz w:val="18"/>
          <w:u w:val="none"/>
          <w:vertAlign w:val="baseline"/>
        </w:rPr>
        <w:t>Local Government and Housing Act 1989</w:t>
      </w:r>
      <w:r>
        <w:rPr>
          <w:rFonts w:ascii="arial" w:eastAsia="arial" w:hAnsi="arial" w:cs="arial"/>
          <w:b w:val="0"/>
          <w:i w:val="0"/>
          <w:strike w:val="0"/>
          <w:noProof w:val="0"/>
          <w:color w:val="4A4A4A"/>
          <w:position w:val="0"/>
          <w:sz w:val="18"/>
          <w:u w:val="none"/>
          <w:vertAlign w:val="baseline"/>
        </w:rPr>
        <w:t xml:space="preserve"> s 15, Sch 1 (as amended). As to the possibility of opting out of the provisions of the </w:t>
      </w:r>
      <w:r>
        <w:rPr>
          <w:rFonts w:ascii="arial" w:eastAsia="arial" w:hAnsi="arial" w:cs="arial"/>
          <w:b w:val="0"/>
          <w:i w:val="0"/>
          <w:strike w:val="0"/>
          <w:noProof w:val="0"/>
          <w:color w:val="4A4A4A"/>
          <w:position w:val="0"/>
          <w:sz w:val="18"/>
          <w:u w:val="none"/>
          <w:vertAlign w:val="baseline"/>
        </w:rPr>
        <w:t>Local Government and Housing Act 1989</w:t>
      </w:r>
      <w:r>
        <w:rPr>
          <w:rFonts w:ascii="arial" w:eastAsia="arial" w:hAnsi="arial" w:cs="arial"/>
          <w:b w:val="0"/>
          <w:i w:val="0"/>
          <w:strike w:val="0"/>
          <w:noProof w:val="0"/>
          <w:color w:val="4A4A4A"/>
          <w:position w:val="0"/>
          <w:sz w:val="18"/>
          <w:u w:val="none"/>
          <w:vertAlign w:val="baseline"/>
        </w:rPr>
        <w:t xml:space="preserve"> s 15, subject to certain conditions, see the </w:t>
      </w:r>
      <w:r>
        <w:rPr>
          <w:rFonts w:ascii="arial" w:eastAsia="arial" w:hAnsi="arial" w:cs="arial"/>
          <w:b w:val="0"/>
          <w:i w:val="0"/>
          <w:strike w:val="0"/>
          <w:noProof w:val="0"/>
          <w:color w:val="4A4A4A"/>
          <w:position w:val="0"/>
          <w:sz w:val="18"/>
          <w:u w:val="none"/>
          <w:vertAlign w:val="baseline"/>
        </w:rPr>
        <w:t>Local Government and Housing Act 1989</w:t>
      </w:r>
      <w:r>
        <w:rPr>
          <w:rFonts w:ascii="arial" w:eastAsia="arial" w:hAnsi="arial" w:cs="arial"/>
          <w:b w:val="0"/>
          <w:i w:val="0"/>
          <w:strike w:val="0"/>
          <w:noProof w:val="0"/>
          <w:color w:val="4A4A4A"/>
          <w:position w:val="0"/>
          <w:sz w:val="18"/>
          <w:u w:val="none"/>
          <w:vertAlign w:val="baseline"/>
        </w:rPr>
        <w:t xml:space="preserve"> s 17. As to the committees of local authorities see Paragraph 31 [153] above. As to joint committees see Paragraph 32 note 5 [156] above.</w:t>
      </w:r>
    </w:p>
    <w:p>
      <w:pPr>
        <w:keepNext w:val="0"/>
        <w:spacing w:before="120" w:after="20" w:line="240" w:lineRule="atLeast"/>
        <w:ind w:left="720" w:right="0" w:hanging="360"/>
        <w:jc w:val="left"/>
      </w:pPr>
      <w:bookmarkStart w:id="16" w:name="Forward_fnref_d16726e52"/>
      <w:hyperlink w:anchor="Backward_fnref_d16726e52" w:history="1">
        <w:r>
          <w:rPr>
            <w:rFonts w:ascii="arial" w:eastAsia="arial" w:hAnsi="arial" w:cs="arial"/>
            <w:b/>
            <w:i w:val="0"/>
            <w:strike w:val="0"/>
            <w:color w:val="BE161D"/>
            <w:sz w:val="18"/>
            <w:u w:val="none"/>
            <w:shd w:val="clear" w:color="auto" w:fill="FFFFFF"/>
            <w:vertAlign w:val="baseline"/>
          </w:rPr>
          <w:t>4</w:t>
        </w:r>
      </w:hyperlink>
      <w:bookmarkEnd w:id="16"/>
      <w:r>
        <w:tab/>
      </w:r>
      <w:r>
        <w:rPr>
          <w:rFonts w:ascii="arial" w:eastAsia="arial" w:hAnsi="arial" w:cs="arial"/>
          <w:b w:val="0"/>
          <w:i w:val="0"/>
          <w:strike w:val="0"/>
          <w:noProof w:val="0"/>
          <w:color w:val="4A4A4A"/>
          <w:position w:val="0"/>
          <w:sz w:val="18"/>
          <w:u w:val="none"/>
          <w:vertAlign w:val="baseline"/>
        </w:rPr>
        <w:t xml:space="preserve">For the meaning of ‘relevant authority’, see the </w:t>
      </w:r>
      <w:r>
        <w:rPr>
          <w:rFonts w:ascii="arial" w:eastAsia="arial" w:hAnsi="arial" w:cs="arial"/>
          <w:b w:val="0"/>
          <w:i w:val="0"/>
          <w:strike w:val="0"/>
          <w:noProof w:val="0"/>
          <w:color w:val="4A4A4A"/>
          <w:position w:val="0"/>
          <w:sz w:val="18"/>
          <w:u w:val="none"/>
          <w:vertAlign w:val="baseline"/>
        </w:rPr>
        <w:t>Local Government and Housing Act 1989</w:t>
      </w:r>
      <w:r>
        <w:rPr>
          <w:rFonts w:ascii="arial" w:eastAsia="arial" w:hAnsi="arial" w:cs="arial"/>
          <w:b w:val="0"/>
          <w:i w:val="0"/>
          <w:strike w:val="0"/>
          <w:noProof w:val="0"/>
          <w:color w:val="4A4A4A"/>
          <w:position w:val="0"/>
          <w:sz w:val="18"/>
          <w:u w:val="none"/>
          <w:vertAlign w:val="baseline"/>
        </w:rPr>
        <w:t xml:space="preserve"> s 21(1), Sch 1 para 4(1) as amended. It includes, among others, principal councils and joint authorities established by the Local Government Act 1985, but it does not include parish and community councils and meetings.</w:t>
      </w:r>
    </w:p>
    <w:p>
      <w:pPr>
        <w:keepNext w:val="0"/>
        <w:spacing w:before="120" w:after="20" w:line="240" w:lineRule="atLeast"/>
        <w:ind w:left="720" w:right="0" w:hanging="360"/>
        <w:jc w:val="left"/>
      </w:pPr>
      <w:bookmarkStart w:id="17" w:name="Forward_fnref_d16726e55"/>
      <w:hyperlink w:anchor="Backward_fnref_d16726e55" w:history="1">
        <w:r>
          <w:rPr>
            <w:rFonts w:ascii="arial" w:eastAsia="arial" w:hAnsi="arial" w:cs="arial"/>
            <w:b/>
            <w:i w:val="0"/>
            <w:strike w:val="0"/>
            <w:color w:val="BE161D"/>
            <w:sz w:val="18"/>
            <w:u w:val="none"/>
            <w:shd w:val="clear" w:color="auto" w:fill="FFFFFF"/>
            <w:vertAlign w:val="baseline"/>
          </w:rPr>
          <w:t>5</w:t>
        </w:r>
      </w:hyperlink>
      <w:bookmarkEnd w:id="17"/>
      <w:r>
        <w:tab/>
      </w:r>
      <w:r>
        <w:rPr>
          <w:rFonts w:ascii="arial" w:eastAsia="arial" w:hAnsi="arial" w:cs="arial"/>
          <w:b w:val="0"/>
          <w:i w:val="0"/>
          <w:strike w:val="0"/>
          <w:noProof w:val="0"/>
          <w:color w:val="4A4A4A"/>
          <w:position w:val="0"/>
          <w:sz w:val="18"/>
          <w:u w:val="none"/>
          <w:vertAlign w:val="baseline"/>
        </w:rPr>
        <w:t xml:space="preserve">The calculations for political </w:t>
      </w:r>
      <w:r>
        <w:rPr>
          <w:rFonts w:ascii="arial" w:eastAsia="arial" w:hAnsi="arial" w:cs="arial"/>
          <w:b w:val="0"/>
          <w:i w:val="0"/>
          <w:strike w:val="0"/>
          <w:noProof w:val="0"/>
          <w:color w:val="4A4A4A"/>
          <w:position w:val="0"/>
          <w:sz w:val="18"/>
          <w:u w:val="none"/>
          <w:vertAlign w:val="baseline"/>
        </w:rPr>
        <w:t>balance</w:t>
      </w:r>
      <w:r>
        <w:rPr>
          <w:rFonts w:ascii="arial" w:eastAsia="arial" w:hAnsi="arial" w:cs="arial"/>
          <w:b w:val="0"/>
          <w:i w:val="0"/>
          <w:strike w:val="0"/>
          <w:noProof w:val="0"/>
          <w:color w:val="4A4A4A"/>
          <w:position w:val="0"/>
          <w:sz w:val="18"/>
          <w:u w:val="none"/>
          <w:vertAlign w:val="baseline"/>
        </w:rPr>
        <w:t xml:space="preserve"> are different for overview and scrutiny committees and ordinary sub-committees: see the </w:t>
      </w:r>
      <w:r>
        <w:rPr>
          <w:rFonts w:ascii="arial" w:eastAsia="arial" w:hAnsi="arial" w:cs="arial"/>
          <w:b w:val="0"/>
          <w:i w:val="0"/>
          <w:strike w:val="0"/>
          <w:noProof w:val="0"/>
          <w:color w:val="4A4A4A"/>
          <w:position w:val="0"/>
          <w:sz w:val="18"/>
          <w:u w:val="none"/>
          <w:vertAlign w:val="baseline"/>
        </w:rPr>
        <w:t>Local Government and Housing Act 1989</w:t>
      </w:r>
      <w:r>
        <w:rPr>
          <w:rFonts w:ascii="arial" w:eastAsia="arial" w:hAnsi="arial" w:cs="arial"/>
          <w:b w:val="0"/>
          <w:i w:val="0"/>
          <w:strike w:val="0"/>
          <w:noProof w:val="0"/>
          <w:color w:val="4A4A4A"/>
          <w:position w:val="0"/>
          <w:sz w:val="18"/>
          <w:u w:val="none"/>
          <w:vertAlign w:val="baseline"/>
        </w:rPr>
        <w:t xml:space="preserve"> s 15(1)(a)–(c), (5)(a), (b), (d).</w:t>
      </w:r>
    </w:p>
    <w:p>
      <w:pPr>
        <w:keepNext w:val="0"/>
        <w:spacing w:before="120" w:after="20" w:line="240" w:lineRule="atLeast"/>
        <w:ind w:left="720" w:right="0" w:hanging="360"/>
        <w:jc w:val="left"/>
      </w:pPr>
      <w:bookmarkStart w:id="18" w:name="Forward_fnref_d16726e59"/>
      <w:hyperlink w:anchor="Backward_fnref_d16726e59" w:history="1">
        <w:r>
          <w:rPr>
            <w:rFonts w:ascii="arial" w:eastAsia="arial" w:hAnsi="arial" w:cs="arial"/>
            <w:b/>
            <w:i w:val="0"/>
            <w:strike w:val="0"/>
            <w:color w:val="BE161D"/>
            <w:sz w:val="18"/>
            <w:u w:val="none"/>
            <w:shd w:val="clear" w:color="auto" w:fill="FFFFFF"/>
            <w:vertAlign w:val="baseline"/>
          </w:rPr>
          <w:t>6</w:t>
        </w:r>
      </w:hyperlink>
      <w:bookmarkEnd w:id="18"/>
      <w:r>
        <w:tab/>
      </w:r>
      <w:r>
        <w:rPr>
          <w:rFonts w:ascii="arial" w:eastAsia="arial" w:hAnsi="arial" w:cs="arial"/>
          <w:b w:val="0"/>
          <w:i w:val="0"/>
          <w:strike w:val="0"/>
          <w:noProof w:val="0"/>
          <w:color w:val="4A4A4A"/>
          <w:position w:val="0"/>
          <w:sz w:val="18"/>
          <w:u w:val="none"/>
          <w:vertAlign w:val="baseline"/>
        </w:rPr>
        <w:t>Local Government and Housing Act 1989</w:t>
      </w:r>
      <w:r>
        <w:rPr>
          <w:rFonts w:ascii="arial" w:eastAsia="arial" w:hAnsi="arial" w:cs="arial"/>
          <w:b w:val="0"/>
          <w:i w:val="0"/>
          <w:strike w:val="0"/>
          <w:noProof w:val="0"/>
          <w:color w:val="4A4A4A"/>
          <w:position w:val="0"/>
          <w:sz w:val="18"/>
          <w:u w:val="none"/>
          <w:vertAlign w:val="baseline"/>
        </w:rPr>
        <w:t xml:space="preserve"> s 17 and the Local Government (Committees and Political Groups) Regulations 1990, SI 1990/1553 reg 16A as inserted by SI 1991/1398 and amended by SI 1998/1918. For further details about area committees, see Paragraph 30 [151] above.</w:t>
      </w:r>
    </w:p>
    <w:p>
      <w:pPr>
        <w:keepNext w:val="0"/>
        <w:spacing w:before="120" w:after="20" w:line="240" w:lineRule="atLeast"/>
        <w:ind w:left="720" w:right="0" w:hanging="360"/>
        <w:jc w:val="left"/>
      </w:pPr>
      <w:bookmarkStart w:id="19" w:name="Forward_fnref_d16726e64"/>
      <w:hyperlink w:anchor="Backward_fnref_d16726e64" w:history="1">
        <w:r>
          <w:rPr>
            <w:rFonts w:ascii="arial" w:eastAsia="arial" w:hAnsi="arial" w:cs="arial"/>
            <w:b/>
            <w:i w:val="0"/>
            <w:strike w:val="0"/>
            <w:color w:val="BE161D"/>
            <w:sz w:val="18"/>
            <w:u w:val="none"/>
            <w:shd w:val="clear" w:color="auto" w:fill="FFFFFF"/>
            <w:vertAlign w:val="baseline"/>
          </w:rPr>
          <w:t>7</w:t>
        </w:r>
      </w:hyperlink>
      <w:bookmarkEnd w:id="19"/>
      <w:r>
        <w:tab/>
      </w:r>
      <w:r>
        <w:rPr>
          <w:rFonts w:ascii="arial" w:eastAsia="arial" w:hAnsi="arial" w:cs="arial"/>
          <w:b w:val="0"/>
          <w:i w:val="0"/>
          <w:strike w:val="0"/>
          <w:noProof w:val="0"/>
          <w:color w:val="4A4A4A"/>
          <w:position w:val="0"/>
          <w:sz w:val="18"/>
          <w:u w:val="none"/>
          <w:vertAlign w:val="baseline"/>
        </w:rPr>
        <w:t>Local Government and Housing Act 1989</w:t>
      </w:r>
      <w:r>
        <w:rPr>
          <w:rFonts w:ascii="arial" w:eastAsia="arial" w:hAnsi="arial" w:cs="arial"/>
          <w:b w:val="0"/>
          <w:i w:val="0"/>
          <w:strike w:val="0"/>
          <w:noProof w:val="0"/>
          <w:color w:val="4A4A4A"/>
          <w:position w:val="0"/>
          <w:sz w:val="18"/>
          <w:u w:val="none"/>
          <w:vertAlign w:val="baseline"/>
        </w:rPr>
        <w:t xml:space="preserve"> s 15(1). For the timing of reviews, see the </w:t>
      </w:r>
      <w:r>
        <w:rPr>
          <w:rFonts w:ascii="arial" w:eastAsia="arial" w:hAnsi="arial" w:cs="arial"/>
          <w:b w:val="0"/>
          <w:i w:val="0"/>
          <w:strike w:val="0"/>
          <w:noProof w:val="0"/>
          <w:color w:val="4A4A4A"/>
          <w:position w:val="0"/>
          <w:sz w:val="18"/>
          <w:u w:val="none"/>
          <w:vertAlign w:val="baseline"/>
        </w:rPr>
        <w:t>Local Government and Housing Act 1989</w:t>
      </w:r>
      <w:r>
        <w:rPr>
          <w:rFonts w:ascii="arial" w:eastAsia="arial" w:hAnsi="arial" w:cs="arial"/>
          <w:b w:val="0"/>
          <w:i w:val="0"/>
          <w:strike w:val="0"/>
          <w:noProof w:val="0"/>
          <w:color w:val="4A4A4A"/>
          <w:position w:val="0"/>
          <w:sz w:val="18"/>
          <w:u w:val="none"/>
          <w:vertAlign w:val="baseline"/>
        </w:rPr>
        <w:t xml:space="preserve"> s 15(1)(a)–(e).</w:t>
      </w:r>
    </w:p>
    <w:p>
      <w:pPr>
        <w:keepNext w:val="0"/>
        <w:spacing w:before="120" w:after="20" w:line="240" w:lineRule="atLeast"/>
        <w:ind w:left="720" w:right="0" w:hanging="360"/>
        <w:jc w:val="left"/>
      </w:pPr>
      <w:bookmarkStart w:id="20" w:name="Forward_fnref_d16726e67"/>
      <w:hyperlink w:anchor="Backward_fnref_d16726e67" w:history="1">
        <w:r>
          <w:rPr>
            <w:rFonts w:ascii="arial" w:eastAsia="arial" w:hAnsi="arial" w:cs="arial"/>
            <w:b/>
            <w:i w:val="0"/>
            <w:strike w:val="0"/>
            <w:color w:val="BE161D"/>
            <w:sz w:val="18"/>
            <w:u w:val="none"/>
            <w:shd w:val="clear" w:color="auto" w:fill="FFFFFF"/>
            <w:vertAlign w:val="baseline"/>
          </w:rPr>
          <w:t>8</w:t>
        </w:r>
      </w:hyperlink>
      <w:bookmarkEnd w:id="20"/>
      <w:r>
        <w:tab/>
      </w:r>
      <w:r>
        <w:rPr>
          <w:rFonts w:ascii="arial" w:eastAsia="arial" w:hAnsi="arial" w:cs="arial"/>
          <w:b w:val="0"/>
          <w:i w:val="0"/>
          <w:strike w:val="0"/>
          <w:noProof w:val="0"/>
          <w:color w:val="4A4A4A"/>
          <w:position w:val="0"/>
          <w:sz w:val="18"/>
          <w:u w:val="none"/>
          <w:vertAlign w:val="baseline"/>
        </w:rPr>
        <w:t>Local Government and Housing Act 1989</w:t>
      </w:r>
      <w:r>
        <w:rPr>
          <w:rFonts w:ascii="arial" w:eastAsia="arial" w:hAnsi="arial" w:cs="arial"/>
          <w:b w:val="0"/>
          <w:i w:val="0"/>
          <w:strike w:val="0"/>
          <w:noProof w:val="0"/>
          <w:color w:val="4A4A4A"/>
          <w:position w:val="0"/>
          <w:sz w:val="18"/>
          <w:u w:val="none"/>
          <w:vertAlign w:val="baseline"/>
        </w:rPr>
        <w:t xml:space="preserve"> s 15(2).</w:t>
      </w:r>
    </w:p>
    <w:p>
      <w:pPr>
        <w:keepNext w:val="0"/>
        <w:spacing w:before="120" w:after="20" w:line="240" w:lineRule="atLeast"/>
        <w:ind w:left="720" w:right="0" w:hanging="360"/>
        <w:jc w:val="left"/>
      </w:pPr>
      <w:bookmarkStart w:id="21" w:name="Forward_fnref_d16726e70"/>
      <w:hyperlink w:anchor="Backward_fnref_d16726e70" w:history="1">
        <w:r>
          <w:rPr>
            <w:rFonts w:ascii="arial" w:eastAsia="arial" w:hAnsi="arial" w:cs="arial"/>
            <w:b/>
            <w:i w:val="0"/>
            <w:strike w:val="0"/>
            <w:color w:val="BE161D"/>
            <w:sz w:val="18"/>
            <w:u w:val="none"/>
            <w:shd w:val="clear" w:color="auto" w:fill="FFFFFF"/>
            <w:vertAlign w:val="baseline"/>
          </w:rPr>
          <w:t>9</w:t>
        </w:r>
      </w:hyperlink>
      <w:bookmarkEnd w:id="21"/>
      <w:r>
        <w:tab/>
      </w:r>
      <w:r>
        <w:rPr>
          <w:rFonts w:ascii="arial" w:eastAsia="arial" w:hAnsi="arial" w:cs="arial"/>
          <w:b w:val="0"/>
          <w:i w:val="0"/>
          <w:strike w:val="0"/>
          <w:noProof w:val="0"/>
          <w:color w:val="4A4A4A"/>
          <w:position w:val="0"/>
          <w:sz w:val="18"/>
          <w:u w:val="none"/>
          <w:vertAlign w:val="baseline"/>
        </w:rPr>
        <w:t xml:space="preserve">This does not include the seats of non-voting co-optees: </w:t>
      </w:r>
      <w:r>
        <w:rPr>
          <w:rFonts w:ascii="arial" w:eastAsia="arial" w:hAnsi="arial" w:cs="arial"/>
          <w:b w:val="0"/>
          <w:i w:val="0"/>
          <w:strike w:val="0"/>
          <w:noProof w:val="0"/>
          <w:color w:val="4A4A4A"/>
          <w:position w:val="0"/>
          <w:sz w:val="18"/>
          <w:u w:val="none"/>
          <w:vertAlign w:val="baseline"/>
        </w:rPr>
        <w:t>Local Government and Housing Act 1989</w:t>
      </w:r>
      <w:r>
        <w:rPr>
          <w:rFonts w:ascii="arial" w:eastAsia="arial" w:hAnsi="arial" w:cs="arial"/>
          <w:b w:val="0"/>
          <w:i w:val="0"/>
          <w:strike w:val="0"/>
          <w:noProof w:val="0"/>
          <w:color w:val="4A4A4A"/>
          <w:position w:val="0"/>
          <w:sz w:val="18"/>
          <w:u w:val="none"/>
          <w:vertAlign w:val="baseline"/>
        </w:rPr>
        <w:t xml:space="preserve"> s 15(6). As to non-voting co-optees see Paragraph 43 [217] above.</w:t>
      </w:r>
    </w:p>
    <w:p>
      <w:pPr>
        <w:keepNext w:val="0"/>
        <w:spacing w:before="120" w:after="20" w:line="240" w:lineRule="atLeast"/>
        <w:ind w:left="720" w:right="0" w:hanging="360"/>
        <w:jc w:val="left"/>
      </w:pPr>
      <w:bookmarkStart w:id="22" w:name="Forward_fnref_d16726e73"/>
      <w:hyperlink w:anchor="Backward_fnref_d16726e73" w:history="1">
        <w:r>
          <w:rPr>
            <w:rFonts w:ascii="arial" w:eastAsia="arial" w:hAnsi="arial" w:cs="arial"/>
            <w:b/>
            <w:i w:val="0"/>
            <w:strike w:val="0"/>
            <w:color w:val="BE161D"/>
            <w:sz w:val="18"/>
            <w:u w:val="none"/>
            <w:shd w:val="clear" w:color="auto" w:fill="FFFFFF"/>
            <w:vertAlign w:val="baseline"/>
          </w:rPr>
          <w:t>10</w:t>
        </w:r>
      </w:hyperlink>
      <w:bookmarkEnd w:id="22"/>
      <w:r>
        <w:tab/>
      </w:r>
      <w:r>
        <w:rPr>
          <w:rFonts w:ascii="arial" w:eastAsia="arial" w:hAnsi="arial" w:cs="arial"/>
          <w:b w:val="0"/>
          <w:i w:val="0"/>
          <w:strike w:val="0"/>
          <w:noProof w:val="0"/>
          <w:color w:val="4A4A4A"/>
          <w:position w:val="0"/>
          <w:sz w:val="18"/>
          <w:u w:val="none"/>
          <w:vertAlign w:val="baseline"/>
        </w:rPr>
        <w:t>Local Government and Housing Act 1989</w:t>
      </w:r>
      <w:r>
        <w:rPr>
          <w:rFonts w:ascii="arial" w:eastAsia="arial" w:hAnsi="arial" w:cs="arial"/>
          <w:b w:val="0"/>
          <w:i w:val="0"/>
          <w:strike w:val="0"/>
          <w:noProof w:val="0"/>
          <w:color w:val="4A4A4A"/>
          <w:position w:val="0"/>
          <w:sz w:val="18"/>
          <w:u w:val="none"/>
          <w:vertAlign w:val="baseline"/>
        </w:rPr>
        <w:t xml:space="preserve"> s 15(4), (5).</w:t>
      </w:r>
    </w:p>
    <w:p>
      <w:pPr>
        <w:keepNext w:val="0"/>
        <w:spacing w:before="120" w:after="20" w:line="240" w:lineRule="atLeast"/>
        <w:ind w:left="720" w:right="0" w:hanging="360"/>
        <w:jc w:val="left"/>
      </w:pPr>
      <w:bookmarkStart w:id="23" w:name="Forward_fnref_d16726e76"/>
      <w:hyperlink w:anchor="Backward_fnref_d16726e76" w:history="1">
        <w:r>
          <w:rPr>
            <w:rFonts w:ascii="arial" w:eastAsia="arial" w:hAnsi="arial" w:cs="arial"/>
            <w:b/>
            <w:i w:val="0"/>
            <w:strike w:val="0"/>
            <w:color w:val="BE161D"/>
            <w:sz w:val="18"/>
            <w:u w:val="none"/>
            <w:shd w:val="clear" w:color="auto" w:fill="FFFFFF"/>
            <w:vertAlign w:val="baseline"/>
          </w:rPr>
          <w:t>11</w:t>
        </w:r>
      </w:hyperlink>
      <w:bookmarkEnd w:id="23"/>
      <w:r>
        <w:tab/>
      </w:r>
      <w:r>
        <w:rPr>
          <w:rFonts w:ascii="arial" w:eastAsia="arial" w:hAnsi="arial" w:cs="arial"/>
          <w:b w:val="0"/>
          <w:i w:val="0"/>
          <w:strike w:val="0"/>
          <w:noProof w:val="0"/>
          <w:color w:val="4A4A4A"/>
          <w:position w:val="0"/>
          <w:sz w:val="18"/>
          <w:u w:val="none"/>
          <w:vertAlign w:val="baseline"/>
        </w:rPr>
        <w:t>Local Government and Housing Act 1989</w:t>
      </w:r>
      <w:r>
        <w:rPr>
          <w:rFonts w:ascii="arial" w:eastAsia="arial" w:hAnsi="arial" w:cs="arial"/>
          <w:b w:val="0"/>
          <w:i w:val="0"/>
          <w:strike w:val="0"/>
          <w:noProof w:val="0"/>
          <w:color w:val="4A4A4A"/>
          <w:position w:val="0"/>
          <w:sz w:val="18"/>
          <w:u w:val="none"/>
          <w:vertAlign w:val="baseline"/>
        </w:rPr>
        <w:t xml:space="preserve"> s 15(3). The phrase ‘reasonably practicable’ has been considered by the court in the context of safety legislation, and it has been found to be of a less strict standard than ‘practicable’: see 69 Halsbury’s Laws (5th Edn, 2018) </w:t>
      </w:r>
      <w:r>
        <w:rPr>
          <w:rFonts w:ascii="arial" w:eastAsia="arial" w:hAnsi="arial" w:cs="arial"/>
          <w:b w:val="0"/>
          <w:i w:val="0"/>
          <w:smallCaps/>
          <w:strike w:val="0"/>
          <w:noProof w:val="0"/>
          <w:color w:val="4A4A4A"/>
          <w:position w:val="0"/>
          <w:sz w:val="18"/>
          <w:u w:val="none"/>
          <w:vertAlign w:val="baseline"/>
        </w:rPr>
        <w:t>LOCAL GOVERNMENT</w:t>
      </w:r>
      <w:r>
        <w:rPr>
          <w:rFonts w:ascii="arial" w:eastAsia="arial" w:hAnsi="arial" w:cs="arial"/>
          <w:b w:val="0"/>
          <w:i w:val="0"/>
          <w:strike w:val="0"/>
          <w:noProof w:val="0"/>
          <w:color w:val="4A4A4A"/>
          <w:position w:val="0"/>
          <w:sz w:val="18"/>
          <w:u w:val="none"/>
          <w:vertAlign w:val="baseline"/>
        </w:rPr>
        <w:t xml:space="preserve"> para 375.</w:t>
      </w:r>
    </w:p>
    <w:p>
      <w:pPr>
        <w:keepNext w:val="0"/>
        <w:spacing w:before="120" w:after="20" w:line="240" w:lineRule="atLeast"/>
        <w:ind w:left="720" w:right="0" w:hanging="360"/>
        <w:jc w:val="left"/>
      </w:pPr>
      <w:bookmarkStart w:id="24" w:name="Forward_fnref_d16726e80"/>
      <w:hyperlink w:anchor="Backward_fnref_d16726e80" w:history="1">
        <w:r>
          <w:rPr>
            <w:rFonts w:ascii="arial" w:eastAsia="arial" w:hAnsi="arial" w:cs="arial"/>
            <w:b/>
            <w:i w:val="0"/>
            <w:strike w:val="0"/>
            <w:color w:val="BE161D"/>
            <w:sz w:val="18"/>
            <w:u w:val="none"/>
            <w:shd w:val="clear" w:color="auto" w:fill="FFFFFF"/>
            <w:vertAlign w:val="baseline"/>
          </w:rPr>
          <w:t>12</w:t>
        </w:r>
      </w:hyperlink>
      <w:bookmarkEnd w:id="24"/>
      <w:r>
        <w:tab/>
      </w:r>
      <w:r>
        <w:rPr>
          <w:rFonts w:ascii="arial" w:eastAsia="arial" w:hAnsi="arial" w:cs="arial"/>
          <w:b w:val="0"/>
          <w:i w:val="0"/>
          <w:strike w:val="0"/>
          <w:noProof w:val="0"/>
          <w:color w:val="4A4A4A"/>
          <w:position w:val="0"/>
          <w:sz w:val="18"/>
          <w:u w:val="none"/>
          <w:vertAlign w:val="baseline"/>
        </w:rPr>
        <w:t>Local Government and Housing Act 1989</w:t>
      </w:r>
      <w:r>
        <w:rPr>
          <w:rFonts w:ascii="arial" w:eastAsia="arial" w:hAnsi="arial" w:cs="arial"/>
          <w:b w:val="0"/>
          <w:i w:val="0"/>
          <w:strike w:val="0"/>
          <w:noProof w:val="0"/>
          <w:color w:val="4A4A4A"/>
          <w:position w:val="0"/>
          <w:sz w:val="18"/>
          <w:u w:val="none"/>
          <w:vertAlign w:val="baseline"/>
        </w:rPr>
        <w:t xml:space="preserve"> s 16. As to the possibility of opting out of the provisions of the </w:t>
      </w:r>
      <w:r>
        <w:rPr>
          <w:rFonts w:ascii="arial" w:eastAsia="arial" w:hAnsi="arial" w:cs="arial"/>
          <w:b w:val="0"/>
          <w:i w:val="0"/>
          <w:strike w:val="0"/>
          <w:noProof w:val="0"/>
          <w:color w:val="4A4A4A"/>
          <w:position w:val="0"/>
          <w:sz w:val="18"/>
          <w:u w:val="none"/>
          <w:vertAlign w:val="baseline"/>
        </w:rPr>
        <w:t>Local Government and Housing Act 1989</w:t>
      </w:r>
      <w:r>
        <w:rPr>
          <w:rFonts w:ascii="arial" w:eastAsia="arial" w:hAnsi="arial" w:cs="arial"/>
          <w:b w:val="0"/>
          <w:i w:val="0"/>
          <w:strike w:val="0"/>
          <w:noProof w:val="0"/>
          <w:color w:val="4A4A4A"/>
          <w:position w:val="0"/>
          <w:sz w:val="18"/>
          <w:u w:val="none"/>
          <w:vertAlign w:val="baseline"/>
        </w:rPr>
        <w:t xml:space="preserve"> s 16, subject to certain conditions, see the </w:t>
      </w:r>
      <w:r>
        <w:rPr>
          <w:rFonts w:ascii="arial" w:eastAsia="arial" w:hAnsi="arial" w:cs="arial"/>
          <w:b w:val="0"/>
          <w:i w:val="0"/>
          <w:strike w:val="0"/>
          <w:noProof w:val="0"/>
          <w:color w:val="4A4A4A"/>
          <w:position w:val="0"/>
          <w:sz w:val="18"/>
          <w:u w:val="none"/>
          <w:vertAlign w:val="baseline"/>
        </w:rPr>
        <w:t>Local Government and Housing Act 1989</w:t>
      </w:r>
      <w:r>
        <w:rPr>
          <w:rFonts w:ascii="arial" w:eastAsia="arial" w:hAnsi="arial" w:cs="arial"/>
          <w:b w:val="0"/>
          <w:i w:val="0"/>
          <w:strike w:val="0"/>
          <w:noProof w:val="0"/>
          <w:color w:val="4A4A4A"/>
          <w:position w:val="0"/>
          <w:sz w:val="18"/>
          <w:u w:val="none"/>
          <w:vertAlign w:val="baseline"/>
        </w:rPr>
        <w:t xml:space="preserve"> s 17.</w:t>
      </w:r>
    </w:p>
    <w:p>
      <w:pPr>
        <w:keepNext w:val="0"/>
        <w:spacing w:before="120" w:after="20" w:line="240" w:lineRule="atLeast"/>
        <w:ind w:left="720" w:right="0" w:hanging="360"/>
        <w:jc w:val="left"/>
      </w:pPr>
      <w:bookmarkStart w:id="25" w:name="Forward_fnref_d16726e85"/>
      <w:hyperlink w:anchor="Backward_fnref_d16726e85" w:history="1">
        <w:r>
          <w:rPr>
            <w:rFonts w:ascii="arial" w:eastAsia="arial" w:hAnsi="arial" w:cs="arial"/>
            <w:b/>
            <w:i w:val="0"/>
            <w:strike w:val="0"/>
            <w:color w:val="BE161D"/>
            <w:sz w:val="18"/>
            <w:u w:val="none"/>
            <w:shd w:val="clear" w:color="auto" w:fill="FFFFFF"/>
            <w:vertAlign w:val="baseline"/>
          </w:rPr>
          <w:t>13</w:t>
        </w:r>
      </w:hyperlink>
      <w:bookmarkEnd w:id="25"/>
      <w:r>
        <w:tab/>
      </w:r>
      <w:r>
        <w:rPr>
          <w:rFonts w:ascii="arial" w:eastAsia="arial" w:hAnsi="arial" w:cs="arial"/>
          <w:b w:val="0"/>
          <w:i w:val="0"/>
          <w:strike w:val="0"/>
          <w:noProof w:val="0"/>
          <w:color w:val="4A4A4A"/>
          <w:position w:val="0"/>
          <w:sz w:val="18"/>
          <w:u w:val="none"/>
          <w:vertAlign w:val="baseline"/>
        </w:rPr>
        <w:t xml:space="preserve">See </w:t>
      </w:r>
      <w:r>
        <w:rPr>
          <w:rFonts w:ascii="arial" w:eastAsia="arial" w:hAnsi="arial" w:cs="arial"/>
          <w:b w:val="0"/>
          <w:i/>
          <w:strike w:val="0"/>
          <w:noProof w:val="0"/>
          <w:color w:val="4A4A4A"/>
          <w:position w:val="0"/>
          <w:sz w:val="18"/>
          <w:u w:val="none"/>
          <w:vertAlign w:val="baseline"/>
        </w:rPr>
        <w:t>R v Rushmoor Borough Council, ex p Crawford</w:t>
      </w:r>
      <w:r>
        <w:rPr>
          <w:rFonts w:ascii="arial" w:eastAsia="arial" w:hAnsi="arial" w:cs="arial"/>
          <w:b w:val="0"/>
          <w:i w:val="0"/>
          <w:strike w:val="0"/>
          <w:noProof w:val="0"/>
          <w:color w:val="4A4A4A"/>
          <w:position w:val="0"/>
          <w:sz w:val="18"/>
          <w:u w:val="none"/>
          <w:vertAlign w:val="baseline"/>
        </w:rPr>
        <w:t xml:space="preserve"> (1981) Times, 28 November and </w:t>
      </w:r>
      <w:r>
        <w:rPr>
          <w:rFonts w:ascii="arial" w:eastAsia="arial" w:hAnsi="arial" w:cs="arial"/>
          <w:b w:val="0"/>
          <w:i/>
          <w:strike w:val="0"/>
          <w:noProof w:val="0"/>
          <w:color w:val="4A4A4A"/>
          <w:position w:val="0"/>
          <w:sz w:val="18"/>
          <w:u w:val="none"/>
          <w:vertAlign w:val="baseline"/>
        </w:rPr>
        <w:t>R v Newham London Borough Council, ex p Haggerty</w:t>
      </w:r>
      <w:r>
        <w:rPr>
          <w:rFonts w:ascii="arial" w:eastAsia="arial" w:hAnsi="arial" w:cs="arial"/>
          <w:b w:val="0"/>
          <w:i w:val="0"/>
          <w:strike w:val="0"/>
          <w:noProof w:val="0"/>
          <w:color w:val="4A4A4A"/>
          <w:position w:val="0"/>
          <w:sz w:val="18"/>
          <w:u w:val="none"/>
          <w:vertAlign w:val="baseline"/>
        </w:rPr>
        <w:t xml:space="preserve"> (1986) 85 LGR 48.</w:t>
      </w:r>
    </w:p>
    <w:p/>
    <w:p/>
    <w:p>
      <w:pPr>
        <w:keepNext w:val="0"/>
        <w:spacing w:after="0" w:line="260" w:lineRule="atLeast"/>
        <w:ind w:left="0" w:right="0" w:firstLine="0"/>
        <w:jc w:val="right"/>
      </w:pPr>
      <w:r>
        <w:rPr>
          <w:rFonts w:ascii="arial" w:eastAsia="arial" w:hAnsi="arial" w:cs="arial"/>
          <w:b w:val="0"/>
          <w:i w:val="0"/>
          <w:strike w:val="0"/>
          <w:noProof w:val="0"/>
          <w:color w:val="000000"/>
          <w:position w:val="0"/>
          <w:sz w:val="20"/>
          <w:u w:val="none"/>
          <w:vertAlign w:val="baseline"/>
        </w:rPr>
        <w:t>[221]–[225]</w:t>
      </w:r>
      <w:r>
        <w:t>
</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Political balance of local authority executives and committees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8V23-H472-8T41-D514-00000-00">
    <vt:lpwstr>Doc::/shared/document|contextualFeaturePermID::1001073</vt:lpwstr>
  </property>
  <property fmtid="{D5CDD505-2E9C-101B-9397-08002B2CF9AE}" pid="4" name="LNDeliveryID">
    <vt:lpwstr>285789738</vt:lpwstr>
  </property>
  <property fmtid="{D5CDD505-2E9C-101B-9397-08002B2CF9AE}" pid="5" name="UserPermID">
    <vt:lpwstr>urn:user:PA186438816</vt:lpwstr>
  </property>
</Properties>
</file>