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83.507080078125" w:line="240" w:lineRule="auto"/>
        <w:ind w:left="4.85748291015625" w:firstLine="0"/>
        <w:jc w:val="center"/>
        <w:rPr>
          <w:b w:val="1"/>
          <w:u w:val="single"/>
        </w:rPr>
      </w:pPr>
      <w:r w:rsidDel="00000000" w:rsidR="00000000" w:rsidRPr="00000000">
        <w:rPr>
          <w:b w:val="1"/>
          <w:u w:val="single"/>
          <w:rtl w:val="0"/>
        </w:rPr>
        <w:t xml:space="preserve">INFORME GRUPAL HITO 2</w:t>
      </w:r>
    </w:p>
    <w:p w:rsidR="00000000" w:rsidDel="00000000" w:rsidP="00000000" w:rsidRDefault="00000000" w:rsidRPr="00000000" w14:paraId="00000002">
      <w:pPr>
        <w:widowControl w:val="0"/>
        <w:spacing w:before="183.507080078125" w:line="240" w:lineRule="auto"/>
        <w:ind w:left="4.85748291015625" w:firstLine="0"/>
        <w:jc w:val="center"/>
        <w:rPr>
          <w:b w:val="1"/>
          <w:u w:val="single"/>
        </w:rPr>
      </w:pPr>
      <w:r w:rsidDel="00000000" w:rsidR="00000000" w:rsidRPr="00000000">
        <w:rPr>
          <w:rtl w:val="0"/>
        </w:rPr>
      </w:r>
    </w:p>
    <w:p w:rsidR="00000000" w:rsidDel="00000000" w:rsidP="00000000" w:rsidRDefault="00000000" w:rsidRPr="00000000" w14:paraId="00000003">
      <w:pPr>
        <w:widowControl w:val="0"/>
        <w:spacing w:before="51.92626953125" w:line="240" w:lineRule="auto"/>
        <w:ind w:left="365.4400634765625" w:firstLine="0"/>
        <w:jc w:val="both"/>
        <w:rPr>
          <w:b w:val="1"/>
        </w:rPr>
      </w:pPr>
      <w:r w:rsidDel="00000000" w:rsidR="00000000" w:rsidRPr="00000000">
        <w:rPr>
          <w:b w:val="1"/>
          <w:rtl w:val="0"/>
        </w:rPr>
        <w:t xml:space="preserve">1. Tema: </w:t>
      </w:r>
      <w:r w:rsidDel="00000000" w:rsidR="00000000" w:rsidRPr="00000000">
        <w:rPr>
          <w:rtl w:val="0"/>
        </w:rPr>
        <w:t xml:space="preserve"> Desigualdad de género</w:t>
      </w:r>
      <w:r w:rsidDel="00000000" w:rsidR="00000000" w:rsidRPr="00000000">
        <w:rPr>
          <w:rtl w:val="0"/>
        </w:rPr>
      </w:r>
    </w:p>
    <w:p w:rsidR="00000000" w:rsidDel="00000000" w:rsidP="00000000" w:rsidRDefault="00000000" w:rsidRPr="00000000" w14:paraId="00000004">
      <w:pPr>
        <w:widowControl w:val="0"/>
        <w:spacing w:before="51.927490234375" w:line="240" w:lineRule="auto"/>
        <w:ind w:left="713.0752563476562" w:right="-4.3310546875" w:hanging="354.03839111328125"/>
        <w:jc w:val="both"/>
        <w:rPr/>
      </w:pPr>
      <w:r w:rsidDel="00000000" w:rsidR="00000000" w:rsidRPr="00000000">
        <w:rPr>
          <w:b w:val="1"/>
          <w:rtl w:val="0"/>
        </w:rPr>
        <w:t xml:space="preserve">2. Justificación</w:t>
      </w:r>
      <w:r w:rsidDel="00000000" w:rsidR="00000000" w:rsidRPr="00000000">
        <w:rPr>
          <w:rtl w:val="0"/>
        </w:rPr>
        <w:t xml:space="preserve">: </w:t>
      </w:r>
    </w:p>
    <w:p w:rsidR="00000000" w:rsidDel="00000000" w:rsidP="00000000" w:rsidRDefault="00000000" w:rsidRPr="00000000" w14:paraId="00000005">
      <w:pPr>
        <w:widowControl w:val="0"/>
        <w:spacing w:before="51.927490234375" w:line="240" w:lineRule="auto"/>
        <w:ind w:left="713.0752563476562" w:right="-4.3310546875" w:hanging="354.03839111328125"/>
        <w:jc w:val="both"/>
        <w:rPr/>
      </w:pPr>
      <w:r w:rsidDel="00000000" w:rsidR="00000000" w:rsidRPr="00000000">
        <w:rPr>
          <w:rtl w:val="0"/>
        </w:rPr>
      </w:r>
    </w:p>
    <w:p w:rsidR="00000000" w:rsidDel="00000000" w:rsidP="00000000" w:rsidRDefault="00000000" w:rsidRPr="00000000" w14:paraId="00000006">
      <w:pPr>
        <w:widowControl w:val="0"/>
        <w:spacing w:before="51.927490234375" w:line="240" w:lineRule="auto"/>
        <w:ind w:left="720" w:right="-4.3310546875" w:firstLine="0"/>
        <w:jc w:val="both"/>
        <w:rPr/>
      </w:pPr>
      <w:r w:rsidDel="00000000" w:rsidR="00000000" w:rsidRPr="00000000">
        <w:rPr>
          <w:rtl w:val="0"/>
        </w:rPr>
        <w:t xml:space="preserve">A lo largo de  la historia, las mujeres han tenido que luchar constantemente contra la gran barrera que representa la desigualdad de género. Son víctimas de discriminación en muchos ámbitos, tales como educación, política, salud, también en lo económico, social y laboral. Estas marcadas diferencias traen consecuencias negativas para su desarrollo y bienestar. No hablamos de casos aislados que solo ocurren en algunos países, sino que se trata de toda una problemática estructural. Este trabajo de investigación busca determinar algunos de los factores que incrementan las brechas de género en el mundo. Partiremos del análisis del Índice de Inequidad de Género y de sus aspectos. Las siguientes referencias bibliográficas nos guiaron para delimitar el tema y elegir las variables:</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widowControl w:val="0"/>
        <w:spacing w:before="51.927490234375" w:line="240" w:lineRule="auto"/>
        <w:ind w:left="1440" w:right="-5.669291338582678" w:firstLine="0"/>
        <w:jc w:val="both"/>
        <w:rPr/>
      </w:pPr>
      <w:r w:rsidDel="00000000" w:rsidR="00000000" w:rsidRPr="00000000">
        <w:rPr>
          <w:rtl w:val="0"/>
        </w:rPr>
        <w:t xml:space="preserve">Fernández Poncela, Anna María. (2006). Mujeres y política en América Latina: dificultades y aceptación social. Argumentos (México, D.F.), 19(51), 117-142. Recuperado de </w:t>
      </w:r>
      <w:hyperlink r:id="rId6">
        <w:r w:rsidDel="00000000" w:rsidR="00000000" w:rsidRPr="00000000">
          <w:rPr>
            <w:color w:val="1155cc"/>
            <w:u w:val="single"/>
            <w:rtl w:val="0"/>
          </w:rPr>
          <w:t xml:space="preserve">http://www.scielo.org.mx/scielo.php?script=sci_arttext&amp;pid=S0187-57952006000200005&amp;lng=es&amp;tlng=es</w:t>
        </w:r>
      </w:hyperlink>
      <w:r w:rsidDel="00000000" w:rsidR="00000000" w:rsidRPr="00000000">
        <w:rPr>
          <w:rtl w:val="0"/>
        </w:rPr>
        <w:t xml:space="preserve">.</w:t>
      </w:r>
    </w:p>
    <w:p w:rsidR="00000000" w:rsidDel="00000000" w:rsidP="00000000" w:rsidRDefault="00000000" w:rsidRPr="00000000" w14:paraId="00000009">
      <w:pPr>
        <w:widowControl w:val="0"/>
        <w:spacing w:before="51.927490234375" w:line="240" w:lineRule="auto"/>
        <w:ind w:left="1440" w:right="-5.669291338582678" w:firstLine="0"/>
        <w:jc w:val="both"/>
        <w:rPr/>
      </w:pPr>
      <w:r w:rsidDel="00000000" w:rsidR="00000000" w:rsidRPr="00000000">
        <w:rPr>
          <w:rtl w:val="0"/>
        </w:rPr>
      </w:r>
    </w:p>
    <w:p w:rsidR="00000000" w:rsidDel="00000000" w:rsidP="00000000" w:rsidRDefault="00000000" w:rsidRPr="00000000" w14:paraId="0000000A">
      <w:pPr>
        <w:widowControl w:val="0"/>
        <w:spacing w:before="51.927490234375" w:line="240" w:lineRule="auto"/>
        <w:ind w:left="1440" w:right="-5.669291338582678" w:firstLine="0"/>
        <w:jc w:val="both"/>
        <w:rPr/>
      </w:pPr>
      <w:r w:rsidDel="00000000" w:rsidR="00000000" w:rsidRPr="00000000">
        <w:rPr>
          <w:rtl w:val="0"/>
        </w:rPr>
        <w:t xml:space="preserve">MIMP(4 de abril de 2019) Decreto Supremo.Política Nacional de Igualdad de Género. El Peruano. Recuperado de </w:t>
      </w:r>
      <w:hyperlink r:id="rId7">
        <w:r w:rsidDel="00000000" w:rsidR="00000000" w:rsidRPr="00000000">
          <w:rPr>
            <w:color w:val="1155cc"/>
            <w:u w:val="single"/>
            <w:rtl w:val="0"/>
          </w:rPr>
          <w:t xml:space="preserve">http://www.consulado.pe/Documents/Igualdad-Genero/politica-nacional-igualdad-degenero.pdf</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1.927490234375" w:line="240" w:lineRule="auto"/>
        <w:ind w:left="1440" w:right="-5.669291338582678" w:firstLine="0"/>
        <w:jc w:val="both"/>
        <w:rPr/>
      </w:pPr>
      <w:r w:rsidDel="00000000" w:rsidR="00000000" w:rsidRPr="00000000">
        <w:rPr>
          <w:rtl w:val="0"/>
        </w:rPr>
        <w:t xml:space="preserve">INEI(2018).Perú: Brecha de género. INEI. Recuperado de: </w:t>
      </w:r>
      <w:hyperlink r:id="rId8">
        <w:r w:rsidDel="00000000" w:rsidR="00000000" w:rsidRPr="00000000">
          <w:rPr>
            <w:rtl w:val="0"/>
          </w:rPr>
          <w:t xml:space="preserve">http://www2.congreso.gob.pe/sicr/cendocbib/con5_uibd.nsf/C9B86E6376B3547D052583910073BDCF/$FILE/7.libro.pdf</w:t>
        </w:r>
      </w:hyperlink>
      <w:r w:rsidDel="00000000" w:rsidR="00000000" w:rsidRPr="00000000">
        <w:rPr>
          <w:rtl w:val="0"/>
        </w:rPr>
      </w:r>
    </w:p>
    <w:p w:rsidR="00000000" w:rsidDel="00000000" w:rsidP="00000000" w:rsidRDefault="00000000" w:rsidRPr="00000000" w14:paraId="0000000D">
      <w:pPr>
        <w:widowControl w:val="0"/>
        <w:spacing w:before="51.927490234375" w:line="240" w:lineRule="auto"/>
        <w:ind w:left="0" w:right="-4.3310546875" w:firstLine="0"/>
        <w:jc w:val="both"/>
        <w:rPr/>
      </w:pPr>
      <w:r w:rsidDel="00000000" w:rsidR="00000000" w:rsidRPr="00000000">
        <w:rPr>
          <w:rtl w:val="0"/>
        </w:rPr>
      </w:r>
    </w:p>
    <w:p w:rsidR="00000000" w:rsidDel="00000000" w:rsidP="00000000" w:rsidRDefault="00000000" w:rsidRPr="00000000" w14:paraId="0000000E">
      <w:pPr>
        <w:widowControl w:val="0"/>
        <w:spacing w:before="51.927490234375" w:line="240" w:lineRule="auto"/>
        <w:ind w:left="0" w:right="-4.3310546875" w:firstLine="0"/>
        <w:jc w:val="both"/>
        <w:rPr/>
      </w:pPr>
      <w:r w:rsidDel="00000000" w:rsidR="00000000" w:rsidRPr="00000000">
        <w:rPr>
          <w:rtl w:val="0"/>
        </w:rPr>
        <w:t xml:space="preserve"> </w:t>
      </w:r>
    </w:p>
    <w:p w:rsidR="00000000" w:rsidDel="00000000" w:rsidP="00000000" w:rsidRDefault="00000000" w:rsidRPr="00000000" w14:paraId="0000000F">
      <w:pPr>
        <w:widowControl w:val="0"/>
        <w:spacing w:before="15.828857421875" w:line="240" w:lineRule="auto"/>
        <w:ind w:left="358.81591796875" w:firstLine="0"/>
        <w:jc w:val="both"/>
        <w:rPr>
          <w:b w:val="1"/>
        </w:rPr>
      </w:pPr>
      <w:r w:rsidDel="00000000" w:rsidR="00000000" w:rsidRPr="00000000">
        <w:rPr>
          <w:b w:val="1"/>
          <w:rtl w:val="0"/>
        </w:rPr>
        <w:t xml:space="preserve">3. Estructura principal </w:t>
      </w:r>
    </w:p>
    <w:p w:rsidR="00000000" w:rsidDel="00000000" w:rsidP="00000000" w:rsidRDefault="00000000" w:rsidRPr="00000000" w14:paraId="00000010">
      <w:pPr>
        <w:widowControl w:val="0"/>
        <w:spacing w:before="15.828857421875" w:line="240" w:lineRule="auto"/>
        <w:ind w:left="358.81591796875" w:firstLine="0"/>
        <w:jc w:val="both"/>
        <w:rPr>
          <w:b w:val="1"/>
        </w:rPr>
      </w:pPr>
      <w:r w:rsidDel="00000000" w:rsidR="00000000" w:rsidRPr="00000000">
        <w:rPr>
          <w:rtl w:val="0"/>
        </w:rPr>
      </w:r>
    </w:p>
    <w:p w:rsidR="00000000" w:rsidDel="00000000" w:rsidP="00000000" w:rsidRDefault="00000000" w:rsidRPr="00000000" w14:paraId="00000011">
      <w:pPr>
        <w:widowControl w:val="0"/>
        <w:numPr>
          <w:ilvl w:val="0"/>
          <w:numId w:val="1"/>
        </w:numPr>
        <w:spacing w:before="51.927490234375" w:line="240" w:lineRule="auto"/>
        <w:ind w:left="720" w:hanging="360"/>
        <w:jc w:val="both"/>
        <w:rPr/>
      </w:pPr>
      <w:r w:rsidDel="00000000" w:rsidR="00000000" w:rsidRPr="00000000">
        <w:rPr>
          <w:b w:val="1"/>
          <w:rtl w:val="0"/>
        </w:rPr>
        <w:t xml:space="preserve">Objetivo</w:t>
      </w:r>
      <w:r w:rsidDel="00000000" w:rsidR="00000000" w:rsidRPr="00000000">
        <w:rPr>
          <w:rtl w:val="0"/>
        </w:rPr>
        <w:t xml:space="preserve">: Determinar los factores que explican e influyen en la desigualdad de género a nivel mundial.</w:t>
      </w:r>
    </w:p>
    <w:p w:rsidR="00000000" w:rsidDel="00000000" w:rsidP="00000000" w:rsidRDefault="00000000" w:rsidRPr="00000000" w14:paraId="00000012">
      <w:pPr>
        <w:widowControl w:val="0"/>
        <w:spacing w:before="51.927490234375" w:line="240" w:lineRule="auto"/>
        <w:ind w:left="720" w:firstLine="0"/>
        <w:jc w:val="both"/>
        <w:rPr/>
      </w:pPr>
      <w:r w:rsidDel="00000000" w:rsidR="00000000" w:rsidRPr="00000000">
        <w:rPr>
          <w:rtl w:val="0"/>
        </w:rPr>
      </w:r>
    </w:p>
    <w:p w:rsidR="00000000" w:rsidDel="00000000" w:rsidP="00000000" w:rsidRDefault="00000000" w:rsidRPr="00000000" w14:paraId="00000013">
      <w:pPr>
        <w:widowControl w:val="0"/>
        <w:numPr>
          <w:ilvl w:val="0"/>
          <w:numId w:val="1"/>
        </w:numPr>
        <w:spacing w:before="51.927490234375" w:line="240" w:lineRule="auto"/>
        <w:ind w:left="720" w:hanging="360"/>
        <w:jc w:val="both"/>
        <w:rPr/>
      </w:pPr>
      <w:r w:rsidDel="00000000" w:rsidR="00000000" w:rsidRPr="00000000">
        <w:rPr>
          <w:b w:val="1"/>
          <w:rtl w:val="0"/>
        </w:rPr>
        <w:t xml:space="preserve">Unidad de análisis:</w:t>
      </w:r>
      <w:r w:rsidDel="00000000" w:rsidR="00000000" w:rsidRPr="00000000">
        <w:rPr>
          <w:rtl w:val="0"/>
        </w:rPr>
        <w:t xml:space="preserve"> Un aproximado de 140 países.</w:t>
      </w:r>
    </w:p>
    <w:p w:rsidR="00000000" w:rsidDel="00000000" w:rsidP="00000000" w:rsidRDefault="00000000" w:rsidRPr="00000000" w14:paraId="00000014">
      <w:pPr>
        <w:widowControl w:val="0"/>
        <w:spacing w:before="49.5263671875" w:line="240" w:lineRule="auto"/>
        <w:ind w:left="1439.4784545898438" w:right="-6.02294921875" w:hanging="353.3758544921875"/>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5">
      <w:pPr>
        <w:widowControl w:val="0"/>
        <w:spacing w:before="49.5263671875" w:line="240" w:lineRule="auto"/>
        <w:ind w:left="1439.4784545898438" w:right="-6.02294921875" w:hanging="353.3758544921875"/>
        <w:jc w:val="both"/>
        <w:rPr>
          <w:b w:val="1"/>
        </w:rPr>
      </w:pPr>
      <w:r w:rsidDel="00000000" w:rsidR="00000000" w:rsidRPr="00000000">
        <w:rPr>
          <w:rtl w:val="0"/>
        </w:rPr>
      </w:r>
    </w:p>
    <w:p w:rsidR="00000000" w:rsidDel="00000000" w:rsidP="00000000" w:rsidRDefault="00000000" w:rsidRPr="00000000" w14:paraId="00000016">
      <w:pPr>
        <w:widowControl w:val="0"/>
        <w:spacing w:before="49.5263671875" w:line="240" w:lineRule="auto"/>
        <w:ind w:left="719.4784545898438" w:right="-6.02294921875" w:hanging="353.3758544921875"/>
        <w:jc w:val="both"/>
        <w:rPr/>
      </w:pPr>
      <w:r w:rsidDel="00000000" w:rsidR="00000000" w:rsidRPr="00000000">
        <w:rPr>
          <w:b w:val="1"/>
          <w:rtl w:val="0"/>
        </w:rPr>
        <w:t xml:space="preserve">4. Variables del estudio:</w:t>
      </w:r>
      <w:r w:rsidDel="00000000" w:rsidR="00000000" w:rsidRPr="00000000">
        <w:rPr>
          <w:rtl w:val="0"/>
        </w:rPr>
        <w:t xml:space="preserve"> </w:t>
      </w:r>
    </w:p>
    <w:p w:rsidR="00000000" w:rsidDel="00000000" w:rsidP="00000000" w:rsidRDefault="00000000" w:rsidRPr="00000000" w14:paraId="00000017">
      <w:pPr>
        <w:widowControl w:val="0"/>
        <w:spacing w:before="49.5263671875" w:line="240" w:lineRule="auto"/>
        <w:ind w:left="719.4784545898438" w:right="-6.02294921875" w:hanging="353.3758544921875"/>
        <w:jc w:val="both"/>
        <w:rPr/>
      </w:pPr>
      <w:r w:rsidDel="00000000" w:rsidR="00000000" w:rsidRPr="00000000">
        <w:rPr>
          <w:rtl w:val="0"/>
        </w:rPr>
      </w:r>
    </w:p>
    <w:p w:rsidR="00000000" w:rsidDel="00000000" w:rsidP="00000000" w:rsidRDefault="00000000" w:rsidRPr="00000000" w14:paraId="00000018">
      <w:pPr>
        <w:widowControl w:val="0"/>
        <w:spacing w:before="49.5263671875" w:line="240" w:lineRule="auto"/>
        <w:ind w:left="719.4784545898438" w:right="-6.02294921875" w:hanging="353.3758544921875"/>
        <w:jc w:val="both"/>
        <w:rPr>
          <w:sz w:val="20"/>
          <w:szCs w:val="20"/>
        </w:rPr>
      </w:pPr>
      <w:r w:rsidDel="00000000" w:rsidR="00000000" w:rsidRPr="00000000">
        <w:rPr>
          <w:rtl w:val="0"/>
        </w:rPr>
      </w:r>
    </w:p>
    <w:tbl>
      <w:tblPr>
        <w:tblStyle w:val="Table1"/>
        <w:tblW w:w="9017.209525638566"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6049548684464"/>
        <w:gridCol w:w="1027.2940272709816"/>
        <w:gridCol w:w="1275"/>
        <w:gridCol w:w="1395"/>
        <w:gridCol w:w="856.0783560591512"/>
        <w:gridCol w:w="1051.7534088726716"/>
        <w:gridCol w:w="1210.7393892836567"/>
        <w:gridCol w:w="1210.7393892836567"/>
        <w:tblGridChange w:id="0">
          <w:tblGrid>
            <w:gridCol w:w="990.6049548684464"/>
            <w:gridCol w:w="1027.2940272709816"/>
            <w:gridCol w:w="1275"/>
            <w:gridCol w:w="1395"/>
            <w:gridCol w:w="856.0783560591512"/>
            <w:gridCol w:w="1051.7534088726716"/>
            <w:gridCol w:w="1210.7393892836567"/>
            <w:gridCol w:w="1210.7393892836567"/>
          </w:tblGrid>
        </w:tblGridChange>
      </w:tblGrid>
      <w:tr>
        <w:trPr>
          <w:trHeight w:val="990" w:hRule="atLeast"/>
        </w:trPr>
        <w:tc>
          <w:tcPr>
            <w:tcBorders>
              <w:top w:color="000000" w:space="0" w:sz="6" w:val="single"/>
              <w:left w:color="000000" w:space="0" w:sz="6" w:val="single"/>
              <w:bottom w:color="000000" w:space="0" w:sz="6" w:val="single"/>
              <w:right w:color="000000" w:space="0" w:sz="6" w:val="single"/>
            </w:tcBorders>
            <w:shd w:fill="ead1dc" w:val="clear"/>
            <w:tcMar>
              <w:top w:w="40.0" w:type="dxa"/>
              <w:left w:w="40.0" w:type="dxa"/>
              <w:bottom w:w="40.0" w:type="dxa"/>
              <w:right w:w="40.0" w:type="dxa"/>
            </w:tcMar>
            <w:vAlign w:val="center"/>
          </w:tcPr>
          <w:p w:rsidR="00000000" w:rsidDel="00000000" w:rsidP="00000000" w:rsidRDefault="00000000" w:rsidRPr="00000000" w14:paraId="00000019">
            <w:pPr>
              <w:widowControl w:val="0"/>
              <w:jc w:val="center"/>
              <w:rPr>
                <w:sz w:val="20"/>
                <w:szCs w:val="20"/>
              </w:rPr>
            </w:pPr>
            <w:r w:rsidDel="00000000" w:rsidR="00000000" w:rsidRPr="00000000">
              <w:rPr>
                <w:b w:val="1"/>
                <w:sz w:val="20"/>
                <w:szCs w:val="20"/>
                <w:rtl w:val="0"/>
              </w:rPr>
              <w:t xml:space="preserve">Tipo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center"/>
          </w:tcPr>
          <w:p w:rsidR="00000000" w:rsidDel="00000000" w:rsidP="00000000" w:rsidRDefault="00000000" w:rsidRPr="00000000" w14:paraId="0000001A">
            <w:pPr>
              <w:widowControl w:val="0"/>
              <w:jc w:val="center"/>
              <w:rPr>
                <w:sz w:val="20"/>
                <w:szCs w:val="20"/>
              </w:rPr>
            </w:pPr>
            <w:r w:rsidDel="00000000" w:rsidR="00000000" w:rsidRPr="00000000">
              <w:rPr>
                <w:b w:val="1"/>
                <w:sz w:val="20"/>
                <w:szCs w:val="20"/>
                <w:rtl w:val="0"/>
              </w:rPr>
              <w:t xml:space="preserve">Latente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center"/>
          </w:tcPr>
          <w:p w:rsidR="00000000" w:rsidDel="00000000" w:rsidP="00000000" w:rsidRDefault="00000000" w:rsidRPr="00000000" w14:paraId="0000001B">
            <w:pPr>
              <w:widowControl w:val="0"/>
              <w:jc w:val="center"/>
              <w:rPr>
                <w:sz w:val="20"/>
                <w:szCs w:val="20"/>
              </w:rPr>
            </w:pPr>
            <w:r w:rsidDel="00000000" w:rsidR="00000000" w:rsidRPr="00000000">
              <w:rPr>
                <w:b w:val="1"/>
                <w:sz w:val="20"/>
                <w:szCs w:val="20"/>
                <w:rtl w:val="0"/>
              </w:rPr>
              <w:t xml:space="preserve">Observables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center"/>
          </w:tcPr>
          <w:p w:rsidR="00000000" w:rsidDel="00000000" w:rsidP="00000000" w:rsidRDefault="00000000" w:rsidRPr="00000000" w14:paraId="0000001C">
            <w:pPr>
              <w:widowControl w:val="0"/>
              <w:jc w:val="center"/>
              <w:rPr>
                <w:sz w:val="20"/>
                <w:szCs w:val="20"/>
              </w:rPr>
            </w:pPr>
            <w:r w:rsidDel="00000000" w:rsidR="00000000" w:rsidRPr="00000000">
              <w:rPr>
                <w:b w:val="1"/>
                <w:sz w:val="20"/>
                <w:szCs w:val="20"/>
                <w:rtl w:val="0"/>
              </w:rPr>
              <w:t xml:space="preserve">Descripción de la variable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center"/>
          </w:tcPr>
          <w:p w:rsidR="00000000" w:rsidDel="00000000" w:rsidP="00000000" w:rsidRDefault="00000000" w:rsidRPr="00000000" w14:paraId="0000001D">
            <w:pPr>
              <w:widowControl w:val="0"/>
              <w:jc w:val="center"/>
              <w:rPr>
                <w:sz w:val="20"/>
                <w:szCs w:val="20"/>
              </w:rPr>
            </w:pPr>
            <w:r w:rsidDel="00000000" w:rsidR="00000000" w:rsidRPr="00000000">
              <w:rPr>
                <w:b w:val="1"/>
                <w:sz w:val="20"/>
                <w:szCs w:val="20"/>
                <w:rtl w:val="0"/>
              </w:rPr>
              <w:t xml:space="preserve">Tipo de variable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center"/>
          </w:tcPr>
          <w:p w:rsidR="00000000" w:rsidDel="00000000" w:rsidP="00000000" w:rsidRDefault="00000000" w:rsidRPr="00000000" w14:paraId="0000001E">
            <w:pPr>
              <w:widowControl w:val="0"/>
              <w:jc w:val="center"/>
              <w:rPr>
                <w:sz w:val="20"/>
                <w:szCs w:val="20"/>
              </w:rPr>
            </w:pPr>
            <w:r w:rsidDel="00000000" w:rsidR="00000000" w:rsidRPr="00000000">
              <w:rPr>
                <w:b w:val="1"/>
                <w:sz w:val="20"/>
                <w:szCs w:val="20"/>
                <w:rtl w:val="0"/>
              </w:rPr>
              <w:t xml:space="preserve">Nombre de variable en base de datos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center"/>
          </w:tcPr>
          <w:p w:rsidR="00000000" w:rsidDel="00000000" w:rsidP="00000000" w:rsidRDefault="00000000" w:rsidRPr="00000000" w14:paraId="0000001F">
            <w:pPr>
              <w:widowControl w:val="0"/>
              <w:jc w:val="center"/>
              <w:rPr>
                <w:sz w:val="20"/>
                <w:szCs w:val="20"/>
              </w:rPr>
            </w:pPr>
            <w:r w:rsidDel="00000000" w:rsidR="00000000" w:rsidRPr="00000000">
              <w:rPr>
                <w:b w:val="1"/>
                <w:sz w:val="20"/>
                <w:szCs w:val="20"/>
                <w:rtl w:val="0"/>
              </w:rPr>
              <w:t xml:space="preserve">Fuente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center"/>
          </w:tcPr>
          <w:p w:rsidR="00000000" w:rsidDel="00000000" w:rsidP="00000000" w:rsidRDefault="00000000" w:rsidRPr="00000000" w14:paraId="00000020">
            <w:pPr>
              <w:widowControl w:val="0"/>
              <w:jc w:val="center"/>
              <w:rPr>
                <w:sz w:val="20"/>
                <w:szCs w:val="20"/>
              </w:rPr>
            </w:pPr>
            <w:r w:rsidDel="00000000" w:rsidR="00000000" w:rsidRPr="00000000">
              <w:rPr>
                <w:b w:val="1"/>
                <w:sz w:val="20"/>
                <w:szCs w:val="20"/>
                <w:rtl w:val="0"/>
              </w:rPr>
              <w:t xml:space="preserve">Link</w:t>
            </w:r>
            <w:r w:rsidDel="00000000" w:rsidR="00000000" w:rsidRPr="00000000">
              <w:rPr>
                <w:rtl w:val="0"/>
              </w:rPr>
            </w:r>
          </w:p>
        </w:tc>
      </w:tr>
      <w:tr>
        <w:trPr>
          <w:trHeight w:val="19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1">
            <w:pPr>
              <w:widowControl w:val="0"/>
              <w:jc w:val="center"/>
              <w:rPr>
                <w:sz w:val="20"/>
                <w:szCs w:val="20"/>
              </w:rPr>
            </w:pPr>
            <w:r w:rsidDel="00000000" w:rsidR="00000000" w:rsidRPr="00000000">
              <w:rPr>
                <w:sz w:val="20"/>
                <w:szCs w:val="20"/>
                <w:rtl w:val="0"/>
              </w:rPr>
              <w:t xml:space="preserve">Variable dependiente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2">
            <w:pPr>
              <w:widowControl w:val="0"/>
              <w:jc w:val="center"/>
              <w:rPr>
                <w:sz w:val="20"/>
                <w:szCs w:val="20"/>
              </w:rPr>
            </w:pPr>
            <w:r w:rsidDel="00000000" w:rsidR="00000000" w:rsidRPr="00000000">
              <w:rPr>
                <w:sz w:val="20"/>
                <w:szCs w:val="20"/>
                <w:rtl w:val="0"/>
              </w:rPr>
              <w:t xml:space="preserve">Desigualdad de género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3">
            <w:pPr>
              <w:widowControl w:val="0"/>
              <w:jc w:val="center"/>
              <w:rPr>
                <w:sz w:val="20"/>
                <w:szCs w:val="20"/>
              </w:rPr>
            </w:pPr>
            <w:r w:rsidDel="00000000" w:rsidR="00000000" w:rsidRPr="00000000">
              <w:rPr>
                <w:sz w:val="20"/>
                <w:szCs w:val="20"/>
                <w:rtl w:val="0"/>
              </w:rPr>
              <w:t xml:space="preserve">Gender Inequality Index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4">
            <w:pPr>
              <w:widowControl w:val="0"/>
              <w:jc w:val="center"/>
              <w:rPr>
                <w:sz w:val="20"/>
                <w:szCs w:val="20"/>
              </w:rPr>
            </w:pPr>
            <w:r w:rsidDel="00000000" w:rsidR="00000000" w:rsidRPr="00000000">
              <w:rPr>
                <w:sz w:val="20"/>
                <w:szCs w:val="20"/>
                <w:rtl w:val="0"/>
              </w:rPr>
              <w:t xml:space="preserve">The higher the GII value the more disparities between females and males and the more loss to human development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5">
            <w:pPr>
              <w:widowControl w:val="0"/>
              <w:jc w:val="center"/>
              <w:rPr>
                <w:sz w:val="20"/>
                <w:szCs w:val="20"/>
              </w:rPr>
            </w:pPr>
            <w:r w:rsidDel="00000000" w:rsidR="00000000" w:rsidRPr="00000000">
              <w:rPr>
                <w:sz w:val="20"/>
                <w:szCs w:val="20"/>
                <w:rtl w:val="0"/>
              </w:rPr>
              <w:t xml:space="preserve">Numérica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6">
            <w:pPr>
              <w:widowControl w:val="0"/>
              <w:jc w:val="center"/>
              <w:rPr>
                <w:sz w:val="20"/>
                <w:szCs w:val="20"/>
              </w:rPr>
            </w:pPr>
            <w:r w:rsidDel="00000000" w:rsidR="00000000" w:rsidRPr="00000000">
              <w:rPr>
                <w:sz w:val="20"/>
                <w:szCs w:val="20"/>
                <w:rtl w:val="0"/>
              </w:rPr>
              <w:t xml:space="preserve">GII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7">
            <w:pPr>
              <w:widowControl w:val="0"/>
              <w:jc w:val="center"/>
              <w:rPr>
                <w:sz w:val="20"/>
                <w:szCs w:val="20"/>
              </w:rPr>
            </w:pPr>
            <w:r w:rsidDel="00000000" w:rsidR="00000000" w:rsidRPr="00000000">
              <w:rPr>
                <w:sz w:val="20"/>
                <w:szCs w:val="20"/>
                <w:rtl w:val="0"/>
              </w:rPr>
              <w:t xml:space="preserve">United Nations Development Programme (UNDP), Human Development Data (1990-2018)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8">
            <w:pPr>
              <w:widowControl w:val="0"/>
              <w:jc w:val="center"/>
              <w:rPr>
                <w:sz w:val="20"/>
                <w:szCs w:val="20"/>
              </w:rPr>
            </w:pPr>
            <w:hyperlink r:id="rId9">
              <w:r w:rsidDel="00000000" w:rsidR="00000000" w:rsidRPr="00000000">
                <w:rPr>
                  <w:color w:val="1155cc"/>
                  <w:sz w:val="20"/>
                  <w:szCs w:val="20"/>
                  <w:u w:val="single"/>
                  <w:rtl w:val="0"/>
                </w:rPr>
                <w:t xml:space="preserve">http://hdr.undp.org/en/data</w:t>
              </w:r>
            </w:hyperlink>
            <w:r w:rsidDel="00000000" w:rsidR="00000000" w:rsidRPr="00000000">
              <w:rPr>
                <w:rtl w:val="0"/>
              </w:rPr>
            </w:r>
          </w:p>
        </w:tc>
      </w:tr>
      <w:tr>
        <w:trPr>
          <w:trHeight w:val="2625" w:hRule="atLeast"/>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9">
            <w:pPr>
              <w:widowControl w:val="0"/>
              <w:jc w:val="center"/>
              <w:rPr>
                <w:sz w:val="20"/>
                <w:szCs w:val="20"/>
              </w:rPr>
            </w:pPr>
            <w:r w:rsidDel="00000000" w:rsidR="00000000" w:rsidRPr="00000000">
              <w:rPr>
                <w:sz w:val="20"/>
                <w:szCs w:val="20"/>
                <w:rtl w:val="0"/>
              </w:rPr>
              <w:t xml:space="preserve">Variable independiente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A">
            <w:pPr>
              <w:widowControl w:val="0"/>
              <w:jc w:val="center"/>
              <w:rPr>
                <w:sz w:val="20"/>
                <w:szCs w:val="20"/>
              </w:rPr>
            </w:pPr>
            <w:r w:rsidDel="00000000" w:rsidR="00000000" w:rsidRPr="00000000">
              <w:rPr>
                <w:sz w:val="20"/>
                <w:szCs w:val="20"/>
                <w:rtl w:val="0"/>
              </w:rPr>
              <w:t xml:space="preserve">Salud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B">
            <w:pPr>
              <w:widowControl w:val="0"/>
              <w:jc w:val="center"/>
              <w:rPr>
                <w:sz w:val="20"/>
                <w:szCs w:val="20"/>
              </w:rPr>
            </w:pPr>
            <w:r w:rsidDel="00000000" w:rsidR="00000000" w:rsidRPr="00000000">
              <w:rPr>
                <w:sz w:val="20"/>
                <w:szCs w:val="20"/>
                <w:rtl w:val="0"/>
              </w:rPr>
              <w:t xml:space="preserve">Reproductive autonomy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C">
            <w:pPr>
              <w:widowControl w:val="0"/>
              <w:jc w:val="center"/>
              <w:rPr>
                <w:sz w:val="20"/>
                <w:szCs w:val="20"/>
              </w:rPr>
            </w:pPr>
            <w:r w:rsidDel="00000000" w:rsidR="00000000" w:rsidRPr="00000000">
              <w:rPr>
                <w:sz w:val="20"/>
                <w:szCs w:val="20"/>
                <w:rtl w:val="0"/>
              </w:rPr>
              <w:t xml:space="preserve">Measures whether the legal framework protects women’s reproductive health and rights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D">
            <w:pPr>
              <w:widowControl w:val="0"/>
              <w:jc w:val="center"/>
              <w:rPr>
                <w:sz w:val="20"/>
                <w:szCs w:val="20"/>
              </w:rPr>
            </w:pPr>
            <w:r w:rsidDel="00000000" w:rsidR="00000000" w:rsidRPr="00000000">
              <w:rPr>
                <w:sz w:val="20"/>
                <w:szCs w:val="20"/>
                <w:rtl w:val="0"/>
              </w:rPr>
              <w:t xml:space="preserve">Escalar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E">
            <w:pPr>
              <w:widowControl w:val="0"/>
              <w:jc w:val="center"/>
              <w:rPr>
                <w:sz w:val="20"/>
                <w:szCs w:val="20"/>
              </w:rPr>
            </w:pPr>
            <w:r w:rsidDel="00000000" w:rsidR="00000000" w:rsidRPr="00000000">
              <w:rPr>
                <w:sz w:val="20"/>
                <w:szCs w:val="20"/>
                <w:rtl w:val="0"/>
              </w:rPr>
              <w:t xml:space="preserve">Autonomía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color w:val="202122"/>
                <w:sz w:val="20"/>
                <w:szCs w:val="20"/>
                <w:rtl w:val="0"/>
              </w:rPr>
              <w:t xml:space="preserve">Organisation for Economic Co-operation and Development (OECD), Gender, Institutions and Development Database (GID-DB) 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0">
            <w:pPr>
              <w:widowControl w:val="0"/>
              <w:jc w:val="center"/>
              <w:rPr>
                <w:sz w:val="20"/>
                <w:szCs w:val="20"/>
              </w:rPr>
            </w:pPr>
            <w:hyperlink r:id="rId10">
              <w:r w:rsidDel="00000000" w:rsidR="00000000" w:rsidRPr="00000000">
                <w:rPr>
                  <w:color w:val="1155cc"/>
                  <w:sz w:val="20"/>
                  <w:szCs w:val="20"/>
                  <w:u w:val="single"/>
                  <w:rtl w:val="0"/>
                </w:rPr>
                <w:t xml:space="preserve">https://stats.oecd.org/viewhtml.aspx?datasetcode=GIDDB2019&amp;lang=en</w:t>
              </w:r>
            </w:hyperlink>
            <w:r w:rsidDel="00000000" w:rsidR="00000000" w:rsidRPr="00000000">
              <w:rPr>
                <w:rtl w:val="0"/>
              </w:rPr>
            </w:r>
          </w:p>
        </w:tc>
      </w:tr>
      <w:tr>
        <w:trPr>
          <w:trHeight w:val="309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2">
            <w:pPr>
              <w:widowControl w:val="0"/>
              <w:jc w:val="center"/>
              <w:rPr>
                <w:sz w:val="20"/>
                <w:szCs w:val="20"/>
              </w:rPr>
            </w:pPr>
            <w:r w:rsidDel="00000000" w:rsidR="00000000" w:rsidRPr="00000000">
              <w:rPr>
                <w:sz w:val="20"/>
                <w:szCs w:val="20"/>
                <w:rtl w:val="0"/>
              </w:rPr>
              <w:t xml:space="preserve">Social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3">
            <w:pPr>
              <w:widowControl w:val="0"/>
              <w:jc w:val="center"/>
              <w:rPr>
                <w:sz w:val="20"/>
                <w:szCs w:val="20"/>
              </w:rPr>
            </w:pPr>
            <w:r w:rsidDel="00000000" w:rsidR="00000000" w:rsidRPr="00000000">
              <w:rPr>
                <w:sz w:val="20"/>
                <w:szCs w:val="20"/>
                <w:rtl w:val="0"/>
              </w:rPr>
              <w:t xml:space="preserve">Violence against women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4">
            <w:pPr>
              <w:widowControl w:val="0"/>
              <w:jc w:val="center"/>
              <w:rPr>
                <w:sz w:val="20"/>
                <w:szCs w:val="20"/>
              </w:rPr>
            </w:pPr>
            <w:r w:rsidDel="00000000" w:rsidR="00000000" w:rsidRPr="00000000">
              <w:rPr>
                <w:sz w:val="20"/>
                <w:szCs w:val="20"/>
                <w:rtl w:val="0"/>
              </w:rPr>
              <w:t xml:space="preserve">Measures whether the legal framework protects women from violence including intimate partner violence, rape and sexual harassment, without legal exceptions and in a comprehensive approach</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5">
            <w:pPr>
              <w:widowControl w:val="0"/>
              <w:jc w:val="center"/>
              <w:rPr>
                <w:sz w:val="20"/>
                <w:szCs w:val="20"/>
              </w:rPr>
            </w:pPr>
            <w:r w:rsidDel="00000000" w:rsidR="00000000" w:rsidRPr="00000000">
              <w:rPr>
                <w:sz w:val="20"/>
                <w:szCs w:val="20"/>
                <w:rtl w:val="0"/>
              </w:rPr>
              <w:t xml:space="preserve">Numérica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6">
            <w:pPr>
              <w:widowControl w:val="0"/>
              <w:jc w:val="center"/>
              <w:rPr>
                <w:sz w:val="20"/>
                <w:szCs w:val="20"/>
              </w:rPr>
            </w:pPr>
            <w:r w:rsidDel="00000000" w:rsidR="00000000" w:rsidRPr="00000000">
              <w:rPr>
                <w:sz w:val="20"/>
                <w:szCs w:val="20"/>
                <w:rtl w:val="0"/>
              </w:rPr>
              <w:t xml:space="preserve">Violencia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color w:val="202122"/>
                <w:sz w:val="20"/>
                <w:szCs w:val="20"/>
                <w:rtl w:val="0"/>
              </w:rPr>
              <w:t xml:space="preserve">Organisation for Economic Co-operation and Development (OECD), Gender, Institutions and Development Database (GID-DB) 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8">
            <w:pPr>
              <w:widowControl w:val="0"/>
              <w:jc w:val="center"/>
              <w:rPr>
                <w:sz w:val="20"/>
                <w:szCs w:val="20"/>
              </w:rPr>
            </w:pPr>
            <w:hyperlink r:id="rId11">
              <w:r w:rsidDel="00000000" w:rsidR="00000000" w:rsidRPr="00000000">
                <w:rPr>
                  <w:color w:val="1155cc"/>
                  <w:sz w:val="20"/>
                  <w:szCs w:val="20"/>
                  <w:u w:val="single"/>
                  <w:rtl w:val="0"/>
                </w:rPr>
                <w:t xml:space="preserve">https://stats.oecd.org/viewhtml.aspx?datasetcode=GIDDB2019&amp;lang=en</w:t>
              </w:r>
            </w:hyperlink>
            <w:r w:rsidDel="00000000" w:rsidR="00000000" w:rsidRPr="00000000">
              <w:rPr>
                <w:rtl w:val="0"/>
              </w:rPr>
            </w:r>
          </w:p>
        </w:tc>
      </w:tr>
      <w:tr>
        <w:trPr>
          <w:trHeight w:val="19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Libertades civiles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Political voice (OECD)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Percentage of women in the total number of representatives of the lower or single House of the Parliament.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Numérica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E">
            <w:pPr>
              <w:widowControl w:val="0"/>
              <w:jc w:val="center"/>
              <w:rPr>
                <w:sz w:val="20"/>
                <w:szCs w:val="20"/>
              </w:rPr>
            </w:pPr>
            <w:r w:rsidDel="00000000" w:rsidR="00000000" w:rsidRPr="00000000">
              <w:rPr>
                <w:sz w:val="20"/>
                <w:szCs w:val="20"/>
                <w:rtl w:val="0"/>
              </w:rPr>
              <w:t xml:space="preserve">Politica_p</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Gender, Institutions and Development Database (GID-DB) 2019 / OECD Development Centre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0">
            <w:pPr>
              <w:widowControl w:val="0"/>
              <w:jc w:val="center"/>
              <w:rPr>
                <w:sz w:val="20"/>
                <w:szCs w:val="20"/>
              </w:rPr>
            </w:pPr>
            <w:hyperlink r:id="rId12">
              <w:r w:rsidDel="00000000" w:rsidR="00000000" w:rsidRPr="00000000">
                <w:rPr>
                  <w:color w:val="1155cc"/>
                  <w:sz w:val="20"/>
                  <w:szCs w:val="20"/>
                  <w:u w:val="single"/>
                  <w:rtl w:val="0"/>
                </w:rPr>
                <w:t xml:space="preserve">https://stats.oecd.org/viewhtml.aspx?datasetcode=GIDDB2019&amp;lang=en#</w:t>
              </w:r>
            </w:hyperlink>
            <w:r w:rsidDel="00000000" w:rsidR="00000000" w:rsidRPr="00000000">
              <w:rPr>
                <w:rtl w:val="0"/>
              </w:rPr>
            </w:r>
          </w:p>
        </w:tc>
      </w:tr>
      <w:tr>
        <w:trPr>
          <w:trHeight w:val="238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3">
            <w:pPr>
              <w:widowControl w:val="0"/>
              <w:jc w:val="center"/>
              <w:rPr>
                <w:sz w:val="20"/>
                <w:szCs w:val="20"/>
              </w:rPr>
            </w:pPr>
            <w:r w:rsidDel="00000000" w:rsidR="00000000" w:rsidRPr="00000000">
              <w:rPr>
                <w:sz w:val="20"/>
                <w:szCs w:val="20"/>
                <w:rtl w:val="0"/>
              </w:rPr>
              <w:t xml:space="preserve">Freedom of movement (OECD)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Percentage of women in the total number of persons declaring not feeling safe walking alone at night in the city or area where they live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5">
            <w:pPr>
              <w:widowControl w:val="0"/>
              <w:jc w:val="center"/>
              <w:rPr>
                <w:sz w:val="20"/>
                <w:szCs w:val="20"/>
              </w:rPr>
            </w:pPr>
            <w:r w:rsidDel="00000000" w:rsidR="00000000" w:rsidRPr="00000000">
              <w:rPr>
                <w:sz w:val="20"/>
                <w:szCs w:val="20"/>
                <w:rtl w:val="0"/>
              </w:rPr>
              <w:t xml:space="preserve">Numérica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Freedom_p</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Gender, Institutions and Development Database (GID-DB) 2019 / OECD Development Centre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8">
            <w:pPr>
              <w:widowControl w:val="0"/>
              <w:jc w:val="center"/>
              <w:rPr>
                <w:sz w:val="20"/>
                <w:szCs w:val="20"/>
              </w:rPr>
            </w:pPr>
            <w:hyperlink r:id="rId13">
              <w:r w:rsidDel="00000000" w:rsidR="00000000" w:rsidRPr="00000000">
                <w:rPr>
                  <w:color w:val="1155cc"/>
                  <w:sz w:val="20"/>
                  <w:szCs w:val="20"/>
                  <w:u w:val="single"/>
                  <w:rtl w:val="0"/>
                </w:rPr>
                <w:t xml:space="preserve">https://stats.oecd.org/viewhtml.aspx?datasetcode=GIDDB2019&amp;lang=en#</w:t>
              </w:r>
            </w:hyperlink>
            <w:r w:rsidDel="00000000" w:rsidR="00000000" w:rsidRPr="00000000">
              <w:rPr>
                <w:rtl w:val="0"/>
              </w:rPr>
            </w:r>
          </w:p>
        </w:tc>
      </w:tr>
      <w:tr>
        <w:trPr>
          <w:trHeight w:val="238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Access to justice (OECD)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Percentage of women in the total number of persons declaring not having confidence in the judicial system and courts of their country.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Numérica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AccesoJ</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Organisation for Economic Co-operation and Development (OECD), Gender, Institutions and Development Database (GID-DB) 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0">
            <w:pPr>
              <w:widowControl w:val="0"/>
              <w:jc w:val="center"/>
              <w:rPr>
                <w:sz w:val="20"/>
                <w:szCs w:val="20"/>
              </w:rPr>
            </w:pPr>
            <w:hyperlink r:id="rId14">
              <w:r w:rsidDel="00000000" w:rsidR="00000000" w:rsidRPr="00000000">
                <w:rPr>
                  <w:color w:val="1155cc"/>
                  <w:sz w:val="20"/>
                  <w:szCs w:val="20"/>
                  <w:u w:val="single"/>
                  <w:rtl w:val="0"/>
                </w:rPr>
                <w:t xml:space="preserve">https://stats.oecd.org/viewhtml.aspx?datasetcode=GIDDB2019&amp;lang=en</w:t>
              </w:r>
            </w:hyperlink>
            <w:r w:rsidDel="00000000" w:rsidR="00000000" w:rsidRPr="00000000">
              <w:rPr>
                <w:rtl w:val="0"/>
              </w:rPr>
            </w:r>
          </w:p>
        </w:tc>
      </w:tr>
      <w:tr>
        <w:trPr>
          <w:trHeight w:val="21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Educación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Población con secundaria completa (UN)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Percentage of the population ages 25</w:t>
            </w:r>
          </w:p>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and older that has reached (but not necessarily</w:t>
            </w:r>
          </w:p>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completed) a secondary level of education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Numérica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SecundariaC</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United Nations Development Programme (UNDP), Human Development Data. Gender Inequality Index (GII) (2010-2018)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A">
            <w:pPr>
              <w:widowControl w:val="0"/>
              <w:jc w:val="center"/>
              <w:rPr>
                <w:sz w:val="20"/>
                <w:szCs w:val="20"/>
              </w:rPr>
            </w:pPr>
            <w:hyperlink r:id="rId15">
              <w:r w:rsidDel="00000000" w:rsidR="00000000" w:rsidRPr="00000000">
                <w:rPr>
                  <w:color w:val="1155cc"/>
                  <w:sz w:val="20"/>
                  <w:szCs w:val="20"/>
                  <w:u w:val="single"/>
                  <w:rtl w:val="0"/>
                </w:rPr>
                <w:t xml:space="preserve">http://hdr.undp.org/en/content/table-5-gender-inequality-index-gii</w:t>
              </w:r>
            </w:hyperlink>
            <w:r w:rsidDel="00000000" w:rsidR="00000000" w:rsidRPr="00000000">
              <w:rPr>
                <w:rtl w:val="0"/>
              </w:rPr>
            </w:r>
          </w:p>
        </w:tc>
      </w:tr>
      <w:tr>
        <w:trPr>
          <w:trHeight w:val="169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C">
            <w:pPr>
              <w:widowControl w:val="0"/>
              <w:jc w:val="center"/>
              <w:rPr>
                <w:sz w:val="20"/>
                <w:szCs w:val="20"/>
              </w:rPr>
            </w:pPr>
            <w:r w:rsidDel="00000000" w:rsidR="00000000" w:rsidRPr="00000000">
              <w:rPr>
                <w:sz w:val="20"/>
                <w:szCs w:val="20"/>
                <w:rtl w:val="0"/>
              </w:rPr>
              <w:t xml:space="preserve">Economía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Total unemployment rate - women (UN)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Female to male ratio who are unemployed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Numérica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Unemployment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Human Development Reports, Dashboard 2: Life-course gender gap. Año 2019.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2">
            <w:pPr>
              <w:widowControl w:val="0"/>
              <w:jc w:val="center"/>
              <w:rPr>
                <w:sz w:val="20"/>
                <w:szCs w:val="20"/>
              </w:rPr>
            </w:pPr>
            <w:hyperlink r:id="rId16">
              <w:r w:rsidDel="00000000" w:rsidR="00000000" w:rsidRPr="00000000">
                <w:rPr>
                  <w:color w:val="1155cc"/>
                  <w:sz w:val="20"/>
                  <w:szCs w:val="20"/>
                  <w:u w:val="single"/>
                  <w:rtl w:val="0"/>
                </w:rPr>
                <w:t xml:space="preserve">http://hdr.undp.org/en/content/dashboard-2-life-course-gender-gap-0</w:t>
              </w:r>
            </w:hyperlink>
            <w:r w:rsidDel="00000000" w:rsidR="00000000" w:rsidRPr="00000000">
              <w:rPr>
                <w:rtl w:val="0"/>
              </w:rPr>
            </w:r>
          </w:p>
        </w:tc>
      </w:tr>
      <w:tr>
        <w:trPr>
          <w:trHeight w:val="169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Women with account at financial institution or with mobile money- service provide (UN)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Percentage of female population ages 15 and older that has an account at financial institution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Numérica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Account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Human Development Reports, Dashboard 3: Women’s empowerment. Año 2019.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A">
            <w:pPr>
              <w:widowControl w:val="0"/>
              <w:jc w:val="center"/>
              <w:rPr>
                <w:sz w:val="20"/>
                <w:szCs w:val="20"/>
              </w:rPr>
            </w:pPr>
            <w:hyperlink r:id="rId17">
              <w:r w:rsidDel="00000000" w:rsidR="00000000" w:rsidRPr="00000000">
                <w:rPr>
                  <w:color w:val="1155cc"/>
                  <w:sz w:val="20"/>
                  <w:szCs w:val="20"/>
                  <w:u w:val="single"/>
                  <w:rtl w:val="0"/>
                </w:rPr>
                <w:t xml:space="preserve">http://hdr.undp.org/en/content/dashboard-3-women%E2%80%99s-empowerment-0</w:t>
              </w:r>
            </w:hyperlink>
            <w:r w:rsidDel="00000000" w:rsidR="00000000" w:rsidRPr="00000000">
              <w:rPr>
                <w:rtl w:val="0"/>
              </w:rPr>
            </w:r>
          </w:p>
        </w:tc>
      </w:tr>
    </w:tbl>
    <w:p w:rsidR="00000000" w:rsidDel="00000000" w:rsidP="00000000" w:rsidRDefault="00000000" w:rsidRPr="00000000" w14:paraId="0000006B">
      <w:pPr>
        <w:widowControl w:val="0"/>
        <w:spacing w:before="49.5263671875" w:line="240" w:lineRule="auto"/>
        <w:ind w:left="719.4784545898438" w:right="-6.02294921875" w:hanging="353.3758544921875"/>
        <w:jc w:val="both"/>
        <w:rPr>
          <w:sz w:val="20"/>
          <w:szCs w:val="20"/>
        </w:rPr>
      </w:pPr>
      <w:r w:rsidDel="00000000" w:rsidR="00000000" w:rsidRPr="00000000">
        <w:rPr>
          <w:rtl w:val="0"/>
        </w:rPr>
      </w:r>
    </w:p>
    <w:p w:rsidR="00000000" w:rsidDel="00000000" w:rsidP="00000000" w:rsidRDefault="00000000" w:rsidRPr="00000000" w14:paraId="0000006C">
      <w:pPr>
        <w:widowControl w:val="0"/>
        <w:spacing w:before="49.5263671875" w:line="240" w:lineRule="auto"/>
        <w:ind w:left="719.4784545898438" w:right="-6.02294921875" w:hanging="353.3758544921875"/>
        <w:jc w:val="both"/>
        <w:rPr>
          <w:b w:val="1"/>
        </w:rPr>
      </w:pPr>
      <w:r w:rsidDel="00000000" w:rsidR="00000000" w:rsidRPr="00000000">
        <w:rPr>
          <w:rtl w:val="0"/>
        </w:rPr>
      </w:r>
    </w:p>
    <w:p w:rsidR="00000000" w:rsidDel="00000000" w:rsidP="00000000" w:rsidRDefault="00000000" w:rsidRPr="00000000" w14:paraId="0000006D">
      <w:pPr>
        <w:widowControl w:val="0"/>
        <w:spacing w:before="49.5263671875" w:line="240" w:lineRule="auto"/>
        <w:ind w:left="719.4784545898438" w:right="-6.02294921875" w:hanging="353.3758544921875"/>
        <w:jc w:val="both"/>
        <w:rPr>
          <w:b w:val="1"/>
        </w:rPr>
      </w:pPr>
      <w:r w:rsidDel="00000000" w:rsidR="00000000" w:rsidRPr="00000000">
        <w:rPr>
          <w:b w:val="1"/>
          <w:rtl w:val="0"/>
        </w:rPr>
        <w:t xml:space="preserve">5. Distribución de variables por miembros del grupo: </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tbl>
      <w:tblPr>
        <w:tblStyle w:val="Table2"/>
        <w:tblW w:w="75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3105"/>
        <w:gridCol w:w="2940"/>
        <w:tblGridChange w:id="0">
          <w:tblGrid>
            <w:gridCol w:w="1485"/>
            <w:gridCol w:w="3105"/>
            <w:gridCol w:w="294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70">
            <w:pPr>
              <w:widowControl w:val="0"/>
              <w:rPr/>
            </w:pPr>
            <w:r w:rsidDel="00000000" w:rsidR="00000000" w:rsidRPr="00000000">
              <w:rPr>
                <w:rtl w:val="0"/>
              </w:rPr>
              <w:t xml:space="preserve">Miembro</w:t>
            </w:r>
          </w:p>
        </w:tc>
        <w:tc>
          <w:tcPr>
            <w:tcBorders>
              <w:top w:color="000000"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71">
            <w:pPr>
              <w:widowControl w:val="0"/>
              <w:rPr/>
            </w:pPr>
            <w:r w:rsidDel="00000000" w:rsidR="00000000" w:rsidRPr="00000000">
              <w:rPr>
                <w:rtl w:val="0"/>
              </w:rPr>
              <w:t xml:space="preserve">Variables trabajadas</w:t>
            </w:r>
          </w:p>
        </w:tc>
        <w:tc>
          <w:tcPr>
            <w:tcBorders>
              <w:top w:color="000000"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72">
            <w:pPr>
              <w:widowControl w:val="0"/>
              <w:rPr/>
            </w:pPr>
            <w:r w:rsidDel="00000000" w:rsidR="00000000" w:rsidRPr="00000000">
              <w:rPr>
                <w:rtl w:val="0"/>
              </w:rPr>
              <w:t xml:space="preserve">Link de repositorio GitHub</w:t>
            </w:r>
          </w:p>
        </w:tc>
      </w:tr>
      <w:tr>
        <w:trPr>
          <w:trHeight w:val="315" w:hRule="atLeast"/>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3">
            <w:pPr>
              <w:widowControl w:val="0"/>
              <w:rPr/>
            </w:pPr>
            <w:r w:rsidDel="00000000" w:rsidR="00000000" w:rsidRPr="00000000">
              <w:rPr>
                <w:rtl w:val="0"/>
              </w:rPr>
              <w:t xml:space="preserve">Mercy Díaz</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rPr/>
            </w:pPr>
            <w:r w:rsidDel="00000000" w:rsidR="00000000" w:rsidRPr="00000000">
              <w:rPr>
                <w:rtl w:val="0"/>
              </w:rPr>
              <w:t xml:space="preserve">Índice de Desigualdad de Género</w:t>
            </w:r>
          </w:p>
        </w:tc>
        <w:tc>
          <w:tcPr>
            <w:vMerge w:val="restart"/>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rPr>
                <w:color w:val="1155cc"/>
                <w:u w:val="single"/>
              </w:rPr>
            </w:pPr>
            <w:hyperlink r:id="rId18">
              <w:r w:rsidDel="00000000" w:rsidR="00000000" w:rsidRPr="00000000">
                <w:rPr>
                  <w:color w:val="1155cc"/>
                  <w:u w:val="single"/>
                  <w:rtl w:val="0"/>
                </w:rPr>
                <w:t xml:space="preserve">https://github.com/mercy-diaz/ProyectoEst</w:t>
              </w:r>
            </w:hyperlink>
            <w:r w:rsidDel="00000000" w:rsidR="00000000" w:rsidRPr="00000000">
              <w:rPr>
                <w:rtl w:val="0"/>
              </w:rPr>
            </w:r>
          </w:p>
        </w:tc>
      </w:tr>
      <w:tr>
        <w:trPr>
          <w:trHeight w:val="31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7">
            <w:pPr>
              <w:widowControl w:val="0"/>
              <w:rPr/>
            </w:pPr>
            <w:r w:rsidDel="00000000" w:rsidR="00000000" w:rsidRPr="00000000">
              <w:rPr>
                <w:rtl w:val="0"/>
              </w:rPr>
              <w:t xml:space="preserve">Autonomía reproductiva</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r>
          </w:p>
        </w:tc>
      </w:tr>
      <w:tr>
        <w:trPr>
          <w:trHeight w:val="31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A">
            <w:pPr>
              <w:widowControl w:val="0"/>
              <w:rPr/>
            </w:pPr>
            <w:r w:rsidDel="00000000" w:rsidR="00000000" w:rsidRPr="00000000">
              <w:rPr>
                <w:rtl w:val="0"/>
              </w:rPr>
              <w:t xml:space="preserve">Violence against women</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r>
          </w:p>
        </w:tc>
      </w:tr>
      <w:tr>
        <w:trPr>
          <w:trHeight w:val="315"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C">
            <w:pPr>
              <w:widowControl w:val="0"/>
              <w:rPr/>
            </w:pPr>
            <w:r w:rsidDel="00000000" w:rsidR="00000000" w:rsidRPr="00000000">
              <w:rPr>
                <w:rtl w:val="0"/>
              </w:rPr>
              <w:t xml:space="preserve">Danae Ballena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D">
            <w:pPr>
              <w:widowControl w:val="0"/>
              <w:rPr/>
            </w:pPr>
            <w:r w:rsidDel="00000000" w:rsidR="00000000" w:rsidRPr="00000000">
              <w:rPr>
                <w:rtl w:val="0"/>
              </w:rPr>
              <w:t xml:space="preserve">Political voice</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E">
            <w:pPr>
              <w:widowControl w:val="0"/>
              <w:rPr>
                <w:color w:val="1155cc"/>
                <w:u w:val="single"/>
              </w:rPr>
            </w:pPr>
            <w:hyperlink r:id="rId19">
              <w:r w:rsidDel="00000000" w:rsidR="00000000" w:rsidRPr="00000000">
                <w:rPr>
                  <w:color w:val="1155cc"/>
                  <w:u w:val="single"/>
                  <w:rtl w:val="0"/>
                </w:rPr>
                <w:t xml:space="preserve">https://github.com/DanaeNorah/Estadistica-para-el-Analisis-Politico-2-/tree/Trabajo</w:t>
              </w:r>
            </w:hyperlink>
            <w:r w:rsidDel="00000000" w:rsidR="00000000" w:rsidRPr="00000000">
              <w:rPr>
                <w:rtl w:val="0"/>
              </w:rPr>
            </w:r>
          </w:p>
        </w:tc>
      </w:tr>
      <w:tr>
        <w:trPr>
          <w:trHeight w:val="45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0">
            <w:pPr>
              <w:widowControl w:val="0"/>
              <w:rPr/>
            </w:pPr>
            <w:r w:rsidDel="00000000" w:rsidR="00000000" w:rsidRPr="00000000">
              <w:rPr>
                <w:rtl w:val="0"/>
              </w:rPr>
              <w:t xml:space="preserve">Freedom of movement</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r>
          </w:p>
        </w:tc>
      </w:tr>
      <w:tr>
        <w:trPr>
          <w:trHeight w:val="315"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2">
            <w:pPr>
              <w:widowControl w:val="0"/>
              <w:rPr/>
            </w:pPr>
            <w:r w:rsidDel="00000000" w:rsidR="00000000" w:rsidRPr="00000000">
              <w:rPr>
                <w:rtl w:val="0"/>
              </w:rPr>
              <w:t xml:space="preserve">Gabriela Corazao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3">
            <w:pPr>
              <w:widowControl w:val="0"/>
              <w:rPr/>
            </w:pPr>
            <w:r w:rsidDel="00000000" w:rsidR="00000000" w:rsidRPr="00000000">
              <w:rPr>
                <w:rtl w:val="0"/>
              </w:rPr>
              <w:t xml:space="preserve">Acceso a la justicia (OECD)</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4">
            <w:pPr>
              <w:widowControl w:val="0"/>
              <w:rPr>
                <w:color w:val="1155cc"/>
                <w:u w:val="single"/>
              </w:rPr>
            </w:pPr>
            <w:hyperlink r:id="rId20">
              <w:r w:rsidDel="00000000" w:rsidR="00000000" w:rsidRPr="00000000">
                <w:rPr>
                  <w:color w:val="1155cc"/>
                  <w:u w:val="single"/>
                  <w:rtl w:val="0"/>
                </w:rPr>
                <w:t xml:space="preserve">https://github.com/GabiCorazao/EstS2/tree/Trabajo</w:t>
              </w:r>
            </w:hyperlink>
            <w:r w:rsidDel="00000000" w:rsidR="00000000" w:rsidRPr="00000000">
              <w:rPr>
                <w:rtl w:val="0"/>
              </w:rPr>
            </w:r>
          </w:p>
        </w:tc>
      </w:tr>
      <w:tr>
        <w:trPr>
          <w:trHeight w:val="52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6">
            <w:pPr>
              <w:widowControl w:val="0"/>
              <w:rPr/>
            </w:pPr>
            <w:r w:rsidDel="00000000" w:rsidR="00000000" w:rsidRPr="00000000">
              <w:rPr>
                <w:rtl w:val="0"/>
              </w:rPr>
              <w:t xml:space="preserve">Población con secundaria completa (UN)</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r>
          </w:p>
        </w:tc>
      </w:tr>
      <w:tr>
        <w:trPr>
          <w:trHeight w:val="525"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8">
            <w:pPr>
              <w:widowControl w:val="0"/>
              <w:rPr/>
            </w:pPr>
            <w:r w:rsidDel="00000000" w:rsidR="00000000" w:rsidRPr="00000000">
              <w:rPr>
                <w:rtl w:val="0"/>
              </w:rPr>
              <w:t xml:space="preserve">Winny Calderón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9">
            <w:pPr>
              <w:widowControl w:val="0"/>
              <w:rPr/>
            </w:pPr>
            <w:r w:rsidDel="00000000" w:rsidR="00000000" w:rsidRPr="00000000">
              <w:rPr>
                <w:rtl w:val="0"/>
              </w:rPr>
              <w:t xml:space="preserve">Total unemployment rate - women</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A">
            <w:pPr>
              <w:widowControl w:val="0"/>
              <w:rPr>
                <w:color w:val="1155cc"/>
                <w:u w:val="single"/>
              </w:rPr>
            </w:pPr>
            <w:hyperlink r:id="rId21">
              <w:r w:rsidDel="00000000" w:rsidR="00000000" w:rsidRPr="00000000">
                <w:rPr>
                  <w:color w:val="1155cc"/>
                  <w:u w:val="single"/>
                  <w:rtl w:val="0"/>
                </w:rPr>
                <w:t xml:space="preserve">https://github.com/Winny-calderon/Proyecto-EAP2.git</w:t>
              </w:r>
            </w:hyperlink>
            <w:r w:rsidDel="00000000" w:rsidR="00000000" w:rsidRPr="00000000">
              <w:rPr>
                <w:rtl w:val="0"/>
              </w:rPr>
            </w:r>
          </w:p>
        </w:tc>
      </w:tr>
      <w:tr>
        <w:trPr>
          <w:trHeight w:val="75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C">
            <w:pPr>
              <w:widowControl w:val="0"/>
              <w:rPr/>
            </w:pPr>
            <w:r w:rsidDel="00000000" w:rsidR="00000000" w:rsidRPr="00000000">
              <w:rPr>
                <w:rtl w:val="0"/>
              </w:rPr>
              <w:t xml:space="preserve">Women with account at financial institution or with mobile money-service provider</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r>
          </w:p>
        </w:tc>
      </w:tr>
    </w:tbl>
    <w:p w:rsidR="00000000" w:rsidDel="00000000" w:rsidP="00000000" w:rsidRDefault="00000000" w:rsidRPr="00000000" w14:paraId="0000008E">
      <w:pPr>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GabiCorazao/EstS2/tree/Trabajo" TargetMode="External"/><Relationship Id="rId11" Type="http://schemas.openxmlformats.org/officeDocument/2006/relationships/hyperlink" Target="https://stats.oecd.org/viewhtml.aspx?datasetcode=GIDDB2019&amp;lang=en" TargetMode="External"/><Relationship Id="rId10" Type="http://schemas.openxmlformats.org/officeDocument/2006/relationships/hyperlink" Target="https://stats.oecd.org/viewhtml.aspx?datasetcode=GIDDB2019&amp;lang=en" TargetMode="External"/><Relationship Id="rId21" Type="http://schemas.openxmlformats.org/officeDocument/2006/relationships/hyperlink" Target="https://github.com/Winny-calderon/Proyecto-EAP2.git" TargetMode="External"/><Relationship Id="rId13" Type="http://schemas.openxmlformats.org/officeDocument/2006/relationships/hyperlink" Target="https://stats.oecd.org/viewhtml.aspx?datasetcode=GIDDB2019&amp;lang=en#" TargetMode="External"/><Relationship Id="rId12" Type="http://schemas.openxmlformats.org/officeDocument/2006/relationships/hyperlink" Target="https://stats.oecd.org/viewhtml.aspx?datasetcode=GIDDB2019&amp;lang=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hdr.undp.org/en/data" TargetMode="External"/><Relationship Id="rId15" Type="http://schemas.openxmlformats.org/officeDocument/2006/relationships/hyperlink" Target="http://hdr.undp.org/en/content/table-5-gender-inequality-index-gii" TargetMode="External"/><Relationship Id="rId14" Type="http://schemas.openxmlformats.org/officeDocument/2006/relationships/hyperlink" Target="https://stats.oecd.org/viewhtml.aspx?datasetcode=GIDDB2019&amp;lang=en" TargetMode="External"/><Relationship Id="rId17" Type="http://schemas.openxmlformats.org/officeDocument/2006/relationships/hyperlink" Target="http://hdr.undp.org/en/content/dashboard-3-women%E2%80%99s-empowerment-0" TargetMode="External"/><Relationship Id="rId16" Type="http://schemas.openxmlformats.org/officeDocument/2006/relationships/hyperlink" Target="http://hdr.undp.org/en/content/dashboard-2-life-course-gender-gap-0" TargetMode="External"/><Relationship Id="rId5" Type="http://schemas.openxmlformats.org/officeDocument/2006/relationships/styles" Target="styles.xml"/><Relationship Id="rId19" Type="http://schemas.openxmlformats.org/officeDocument/2006/relationships/hyperlink" Target="https://github.com/DanaeNorah/Estadistica-para-el-Analisis-Politico-2-/tree/Trabajo" TargetMode="External"/><Relationship Id="rId6" Type="http://schemas.openxmlformats.org/officeDocument/2006/relationships/hyperlink" Target="http://www.scielo.org.mx/scielo.php?script=sci_arttext&amp;pid=S0187-57952006000200005&amp;lng=es&amp;tlng=es" TargetMode="External"/><Relationship Id="rId18" Type="http://schemas.openxmlformats.org/officeDocument/2006/relationships/hyperlink" Target="https://github.com/mercy-diaz/ProyectoEst" TargetMode="External"/><Relationship Id="rId7" Type="http://schemas.openxmlformats.org/officeDocument/2006/relationships/hyperlink" Target="http://www.consulado.pe/Documents/Igualdad-Genero/politica-nacional-igualdad-degenero.pdf" TargetMode="External"/><Relationship Id="rId8" Type="http://schemas.openxmlformats.org/officeDocument/2006/relationships/hyperlink" Target="http://www2.congreso.gob.pe/sicr/cendocbib/con5_uibd.nsf/C9B86E6376B3547D052583910073BDCF/$FILE/7.libr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