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Legal Risk and Edge-Case Review</w:t>
      </w:r>
    </w:p>
    <w:p>
      <w:pPr>
        <w:pStyle w:val="Subtitle"/>
      </w:pPr>
      <w:r>
        <w:t xml:space="preserve">Legal research for attorney verification. Not legal advice.</w:t>
      </w:r>
    </w:p>
    <w:p>
      <w:pPr>
        <w:pStyle w:val="Date"/>
      </w:pPr>
      <w:r>
        <w:t xml:space="preserve">Prepared 2026-10-09</w:t>
      </w:r>
    </w:p>
    <w:p>
      <w:pPr>
        <w:pStyle w:val="BlockText"/>
      </w:pPr>
      <w:r>
        <w:rPr>
          <w:b/>
          <w:bCs/>
        </w:rPr>
        <w:t xml:space="preserve">Provenance.</w:t>
      </w:r>
      <w:r>
        <w:t xml:space="preserve"> </w:t>
      </w:r>
      <w:r>
        <w:t xml:space="preserve">Generated 2026-10-09 by the</w:t>
      </w:r>
      <w:r>
        <w:t xml:space="preserve"> </w:t>
      </w:r>
      <w:r>
        <w:rPr>
          <w:rStyle w:val="VerbatimChar"/>
        </w:rPr>
        <w:t xml:space="preserve">estate-law-reviewer</w:t>
      </w:r>
      <w:r>
        <w:t xml:space="preserve"> </w:t>
      </w:r>
      <w:r>
        <w:t xml:space="preserve">AI research agent (</w:t>
      </w:r>
      <w:r>
        <w:rPr>
          <w:rStyle w:val="VerbatimChar"/>
        </w:rPr>
        <w:t xml:space="preserve">.claude/agents/estate-law-reviewer.md</w:t>
      </w:r>
      <w:r>
        <w:t xml:space="preserve">). It is research for a licensed attorney, not legal advice.</w:t>
      </w:r>
    </w:p>
    <w:p>
      <w:pPr>
        <w:pStyle w:val="BlockText"/>
      </w:pPr>
      <w:r>
        <w:rPr>
          <w:b/>
          <w:bCs/>
        </w:rPr>
        <w:t xml:space="preserve">Independent spot-check</w:t>
      </w:r>
      <w:r>
        <w:t xml:space="preserve"> </w:t>
      </w:r>
      <w:r>
        <w:t xml:space="preserve">(2026-10-09; five citations re-fetched from the cited source and compared word for word):</w:t>
      </w:r>
    </w:p>
    <w:p>
      <w:pPr>
        <w:pStyle w:val="Compact"/>
        <w:numPr>
          <w:ilvl w:val="0"/>
          <w:numId w:val="1001"/>
        </w:numPr>
      </w:pPr>
      <w:r>
        <w:t xml:space="preserve">31 CFR § 210.10(a): confirmed.</w:t>
      </w:r>
    </w:p>
    <w:p>
      <w:pPr>
        <w:pStyle w:val="Compact"/>
        <w:numPr>
          <w:ilvl w:val="0"/>
          <w:numId w:val="1001"/>
        </w:numPr>
      </w:pPr>
      <w:r>
        <w:t xml:space="preserve">SR 26-2 superseding SR 11-7: confirmed (the "deterministic rule-based processes" quote in the attachment was not re-checked).</w:t>
      </w:r>
    </w:p>
    <w:p>
      <w:pPr>
        <w:pStyle w:val="Compact"/>
        <w:numPr>
          <w:ilvl w:val="0"/>
          <w:numId w:val="1001"/>
        </w:numPr>
      </w:pPr>
      <w:r>
        <w:rPr>
          <w:i/>
          <w:iCs/>
        </w:rPr>
        <w:t xml:space="preserve">In re Reynoso</w:t>
      </w:r>
      <w:r>
        <w:t xml:space="preserve">, 477 F.3d 1117: "personalized — albeit automated — counsel" and the "software alone" reservation confirmed.</w:t>
      </w:r>
    </w:p>
    <w:p>
      <w:pPr>
        <w:pStyle w:val="Compact"/>
        <w:numPr>
          <w:ilvl w:val="0"/>
          <w:numId w:val="1001"/>
        </w:numPr>
      </w:pPr>
      <w:r>
        <w:t xml:space="preserve">RCW 11.05A.040: confirmed.</w:t>
      </w:r>
    </w:p>
    <w:p>
      <w:pPr>
        <w:pStyle w:val="Compact"/>
        <w:numPr>
          <w:ilvl w:val="0"/>
          <w:numId w:val="1001"/>
        </w:numPr>
      </w:pPr>
      <w:r>
        <w:t xml:space="preserve">Cal. Prob. Code § 256: confirmed (via the mirror).</w:t>
      </w:r>
    </w:p>
    <w:p>
      <w:pPr>
        <w:pStyle w:val="BlockText"/>
      </w:pPr>
      <w:r>
        <w:t xml:space="preserve">The remaining citations have not been independently re-checked.</w:t>
      </w:r>
    </w:p>
    <w:p>
      <w:pPr>
        <w:pStyle w:val="FirstParagraph"/>
      </w:pPr>
      <w:r>
        <w:rPr>
          <w:b/>
          <w:bCs/>
        </w:rPr>
        <w:t xml:space="preserve">I am not the client's attorney.</w:t>
      </w:r>
      <w:r>
        <w:t xml:space="preserve"> </w:t>
      </w:r>
      <w:r>
        <w:t xml:space="preserve">This is AI-generated research for a licensed attorney to verify. It is not legal advice, and it does not replace attorney sign-off on any rule, policy, or contract.</w:t>
      </w:r>
    </w:p>
    <w:p>
      <w:pPr>
        <w:pStyle w:val="Compact"/>
        <w:numPr>
          <w:ilvl w:val="0"/>
          <w:numId w:val="1002"/>
        </w:numPr>
      </w:pPr>
      <w:r>
        <w:rPr>
          <w:b/>
          <w:bCs/>
        </w:rPr>
        <w:t xml:space="preserve">Date:</w:t>
      </w:r>
      <w:r>
        <w:t xml:space="preserve"> </w:t>
      </w:r>
      <w:r>
        <w:t xml:space="preserve">2026-10-09</w:t>
      </w:r>
    </w:p>
    <w:p>
      <w:pPr>
        <w:pStyle w:val="Compact"/>
        <w:numPr>
          <w:ilvl w:val="0"/>
          <w:numId w:val="1002"/>
        </w:numPr>
      </w:pPr>
      <w:r>
        <w:rPr>
          <w:b/>
          <w:bCs/>
        </w:rPr>
        <w:t xml:space="preserve">Scope:</w:t>
      </w:r>
      <w:r>
        <w:t xml:space="preserve"> </w:t>
      </w:r>
      <w:r>
        <w:t xml:space="preserve">Law that sits around and above California and Washington probate law and affects the DecisionEngine. That covers the federal overlay, conflict of laws, legal risks to the system itself (UPL, liability, third-party risk management, records, UDAAP), edge-case fact patterns, and industry practice. The state-by-state claim audits of</w:t>
      </w:r>
      <w:r>
        <w:t xml:space="preserve"> </w:t>
      </w:r>
      <w:r>
        <w:rPr>
          <w:rStyle w:val="VerbatimChar"/>
        </w:rPr>
        <w:t xml:space="preserve">docs/rules/CA/spec.md</w:t>
      </w:r>
      <w:r>
        <w:t xml:space="preserve"> </w:t>
      </w:r>
      <w:r>
        <w:t xml:space="preserve">and</w:t>
      </w:r>
      <w:r>
        <w:t xml:space="preserve"> </w:t>
      </w:r>
      <w:r>
        <w:rPr>
          <w:rStyle w:val="VerbatimChar"/>
        </w:rPr>
        <w:t xml:space="preserve">docs/rules/WA/spec.md</w:t>
      </w:r>
      <w:r>
        <w:t xml:space="preserve"> </w:t>
      </w:r>
      <w:r>
        <w:t xml:space="preserve">are being done separately and are not repeated here.</w:t>
      </w:r>
    </w:p>
    <w:p>
      <w:pPr>
        <w:pStyle w:val="Compact"/>
        <w:numPr>
          <w:ilvl w:val="0"/>
          <w:numId w:val="1002"/>
        </w:numPr>
      </w:pPr>
      <w:r>
        <w:rPr>
          <w:b/>
          <w:bCs/>
        </w:rPr>
        <w:t xml:space="preserve">Documents reviewed:</w:t>
      </w:r>
      <w:r>
        <w:t xml:space="preserve"> </w:t>
      </w:r>
      <w:r>
        <w:rPr>
          <w:rStyle w:val="VerbatimChar"/>
        </w:rPr>
        <w:t xml:space="preserve">ARCHITECTURE.md</w:t>
      </w:r>
      <w:r>
        <w:t xml:space="preserve">,</w:t>
      </w:r>
      <w:r>
        <w:t xml:space="preserve"> </w:t>
      </w:r>
      <w:r>
        <w:rPr>
          <w:rStyle w:val="VerbatimChar"/>
        </w:rPr>
        <w:t xml:space="preserve">CLAUDE.md</w:t>
      </w:r>
      <w:r>
        <w:t xml:space="preserve">,</w:t>
      </w:r>
      <w:r>
        <w:t xml:space="preserve"> </w:t>
      </w:r>
      <w:r>
        <w:rPr>
          <w:rStyle w:val="VerbatimChar"/>
        </w:rPr>
        <w:t xml:space="preserve">.claude/rules/security.md</w:t>
      </w:r>
      <w:r>
        <w:t xml:space="preserve">,</w:t>
      </w:r>
      <w:r>
        <w:t xml:space="preserve"> </w:t>
      </w:r>
      <w:r>
        <w:rPr>
          <w:rStyle w:val="VerbatimChar"/>
        </w:rPr>
        <w:t xml:space="preserve">docs/rules/CA/spec.md</w:t>
      </w:r>
      <w:r>
        <w:t xml:space="preserve">,</w:t>
      </w:r>
      <w:r>
        <w:t xml:space="preserve"> </w:t>
      </w:r>
      <w:r>
        <w:rPr>
          <w:rStyle w:val="VerbatimChar"/>
        </w:rPr>
        <w:t xml:space="preserve">docs/rules/WA/spec.md</w:t>
      </w:r>
      <w:r>
        <w:t xml:space="preserve">. For context on which facts and policy fields exist today I also read</w:t>
      </w:r>
      <w:r>
        <w:t xml:space="preserve"> </w:t>
      </w:r>
      <w:r>
        <w:rPr>
          <w:rStyle w:val="VerbatimChar"/>
        </w:rPr>
        <w:t xml:space="preserve">src/decision_engine/core/facts.py</w:t>
      </w:r>
      <w:r>
        <w:t xml:space="preserve"> </w:t>
      </w:r>
      <w:r>
        <w:t xml:space="preserve">(schema v4) and</w:t>
      </w:r>
      <w:r>
        <w:t xml:space="preserve"> </w:t>
      </w:r>
      <w:r>
        <w:rPr>
          <w:rStyle w:val="VerbatimChar"/>
        </w:rPr>
        <w:t xml:space="preserve">src/decision_engine/core/policy.py</w:t>
      </w:r>
      <w:r>
        <w:t xml:space="preserve">.</w:t>
      </w:r>
    </w:p>
    <w:p>
      <w:pPr>
        <w:pStyle w:val="Compact"/>
        <w:numPr>
          <w:ilvl w:val="0"/>
          <w:numId w:val="1002"/>
        </w:numPr>
      </w:pPr>
      <w:r>
        <w:rPr>
          <w:b/>
          <w:bCs/>
        </w:rPr>
        <w:t xml:space="preserve">Method:</w:t>
      </w:r>
    </w:p>
    <w:p>
      <w:pPr>
        <w:pStyle w:val="Compact"/>
        <w:numPr>
          <w:ilvl w:val="1"/>
          <w:numId w:val="1003"/>
        </w:numPr>
      </w:pPr>
      <w:r>
        <w:t xml:space="preserve">Primary text was retrieved with</w:t>
      </w:r>
      <w:r>
        <w:t xml:space="preserve"> </w:t>
      </w:r>
      <w:r>
        <w:rPr>
          <w:rStyle w:val="VerbatimChar"/>
        </w:rPr>
        <w:t xml:space="preserve">curl</w:t>
      </w:r>
      <w:r>
        <w:t xml:space="preserve"> </w:t>
      </w:r>
      <w:r>
        <w:t xml:space="preserve">or WebFetch and then quoted.</w:t>
      </w:r>
    </w:p>
    <w:p>
      <w:pPr>
        <w:pStyle w:val="Compact"/>
        <w:numPr>
          <w:ilvl w:val="1"/>
          <w:numId w:val="1003"/>
        </w:numPr>
      </w:pPr>
      <w:r>
        <w:rPr>
          <w:b/>
          <w:bCs/>
        </w:rPr>
        <w:t xml:space="preserve">Federal regulations:</w:t>
      </w:r>
      <w:r>
        <w:t xml:space="preserve"> </w:t>
      </w:r>
      <w:r>
        <w:t xml:space="preserve">eCFR versioner API, data current to 2026-10-07.</w:t>
      </w:r>
    </w:p>
    <w:p>
      <w:pPr>
        <w:pStyle w:val="Compact"/>
        <w:numPr>
          <w:ilvl w:val="1"/>
          <w:numId w:val="1003"/>
        </w:numPr>
      </w:pPr>
      <w:r>
        <w:rPr>
          <w:b/>
          <w:bCs/>
        </w:rPr>
        <w:t xml:space="preserve">U.S. Code:</w:t>
      </w:r>
      <w:r>
        <w:t xml:space="preserve"> </w:t>
      </w:r>
      <w:r>
        <w:t xml:space="preserve">govinfo.gov, USC 2024 edition. uscode.house.gov returned a "Site is currently under maintenance" page.</w:t>
      </w:r>
    </w:p>
    <w:p>
      <w:pPr>
        <w:pStyle w:val="Compact"/>
        <w:numPr>
          <w:ilvl w:val="1"/>
          <w:numId w:val="1003"/>
        </w:numPr>
      </w:pPr>
      <w:r>
        <w:rPr>
          <w:b/>
          <w:bCs/>
        </w:rPr>
        <w:t xml:space="preserve">California:</w:t>
      </w:r>
      <w:r>
        <w:t xml:space="preserve"> </w:t>
      </w:r>
      <w:r>
        <w:t xml:space="preserve">the california.public.law mirror, because leginfo blocks automated fetches. Each mirror page shows its leginfo source and was "accessed Oct. 5, 2026". Every CA section needs confirming at</w:t>
      </w:r>
      <w:r>
        <w:t xml:space="preserve"> </w:t>
      </w:r>
      <w:r>
        <w:rPr>
          <w:rStyle w:val="VerbatimChar"/>
        </w:rPr>
        <w:t xml:space="preserve">https://leginfo.legislature.ca.gov/faces/codes_displaySection.xhtml?lawCode=&lt;CODE&gt;&amp;sectionNum=&lt;n&gt;</w:t>
      </w:r>
      <w:r>
        <w:t xml:space="preserve">.</w:t>
      </w:r>
    </w:p>
    <w:p>
      <w:pPr>
        <w:pStyle w:val="Compact"/>
        <w:numPr>
          <w:ilvl w:val="1"/>
          <w:numId w:val="1003"/>
        </w:numPr>
      </w:pPr>
      <w:r>
        <w:rPr>
          <w:b/>
          <w:bCs/>
        </w:rPr>
        <w:t xml:space="preserve">Washington:</w:t>
      </w:r>
      <w:r>
        <w:t xml:space="preserve"> </w:t>
      </w:r>
      <w:r>
        <w:t xml:space="preserve">official RCW at app.leg.wa.gov.</w:t>
      </w:r>
    </w:p>
    <w:p>
      <w:pPr>
        <w:pStyle w:val="Compact"/>
        <w:numPr>
          <w:ilvl w:val="1"/>
          <w:numId w:val="1003"/>
        </w:numPr>
      </w:pPr>
      <w:r>
        <w:rPr>
          <w:b/>
          <w:bCs/>
        </w:rPr>
        <w:t xml:space="preserve">GR 24:</w:t>
      </w:r>
      <w:r>
        <w:t xml:space="preserve"> </w:t>
      </w:r>
      <w:r>
        <w:t xml:space="preserve">official PDF from courts.wa.gov.</w:t>
      </w:r>
    </w:p>
    <w:p>
      <w:pPr>
        <w:pStyle w:val="Compact"/>
        <w:numPr>
          <w:ilvl w:val="1"/>
          <w:numId w:val="1003"/>
        </w:numPr>
      </w:pPr>
      <w:r>
        <w:rPr>
          <w:b/>
          <w:bCs/>
        </w:rPr>
        <w:t xml:space="preserve">Federal Register documents:</w:t>
      </w:r>
      <w:r>
        <w:t xml:space="preserve"> </w:t>
      </w:r>
      <w:r>
        <w:t xml:space="preserve">federalregister.gov API.</w:t>
      </w:r>
    </w:p>
    <w:p>
      <w:pPr>
        <w:pStyle w:val="Compact"/>
        <w:numPr>
          <w:ilvl w:val="1"/>
          <w:numId w:val="1003"/>
        </w:numPr>
      </w:pPr>
      <w:r>
        <w:rPr>
          <w:b/>
          <w:bCs/>
        </w:rPr>
        <w:t xml:space="preserve">Cases:</w:t>
      </w:r>
      <w:r>
        <w:t xml:space="preserve"> </w:t>
      </w:r>
      <w:r>
        <w:t xml:space="preserve">law.resource.org full text, plus CourtListener metadata and search snippets.</w:t>
      </w:r>
    </w:p>
    <w:p>
      <w:pPr>
        <w:pStyle w:val="Compact"/>
        <w:numPr>
          <w:ilvl w:val="0"/>
          <w:numId w:val="1002"/>
        </w:numPr>
      </w:pPr>
      <w:r>
        <w:rPr>
          <w:b/>
          <w:bCs/>
        </w:rPr>
        <w:t xml:space="preserve">Limitations:</w:t>
      </w:r>
    </w:p>
    <w:p>
      <w:pPr>
        <w:pStyle w:val="Compact"/>
        <w:numPr>
          <w:ilvl w:val="1"/>
          <w:numId w:val="1004"/>
        </w:numPr>
      </w:pPr>
      <w:r>
        <w:t xml:space="preserve">CourtListener opinion pages returned empty bodies to automated fetches, and its API rate-limited me to 50 requests an hour. Justia and FindLaw returned 403 or no connection.</w:t>
      </w:r>
    </w:p>
    <w:p>
      <w:pPr>
        <w:pStyle w:val="Compact"/>
        <w:numPr>
          <w:ilvl w:val="1"/>
          <w:numId w:val="1004"/>
        </w:numPr>
      </w:pPr>
      <w:r>
        <w:t xml:space="preserve">So</w:t>
      </w:r>
      <w:r>
        <w:t xml:space="preserve"> </w:t>
      </w:r>
      <w:r>
        <w:rPr>
          <w:i/>
          <w:iCs/>
        </w:rPr>
        <w:t xml:space="preserve">Perkins v. CTX Mortgage</w:t>
      </w:r>
      <w:r>
        <w:t xml:space="preserve"> </w:t>
      </w:r>
      <w:r>
        <w:t xml:space="preserve">and</w:t>
      </w:r>
      <w:r>
        <w:t xml:space="preserve"> </w:t>
      </w:r>
      <w:r>
        <w:rPr>
          <w:i/>
          <w:iCs/>
        </w:rPr>
        <w:t xml:space="preserve">Birbrower</w:t>
      </w:r>
      <w:r>
        <w:t xml:space="preserve"> </w:t>
      </w:r>
      <w:r>
        <w:t xml:space="preserve">were located (citations confirmed in CourtListener metadata) but their holdings were not read. Only the first lines of</w:t>
      </w:r>
      <w:r>
        <w:t xml:space="preserve"> </w:t>
      </w:r>
      <w:r>
        <w:rPr>
          <w:i/>
          <w:iCs/>
        </w:rPr>
        <w:t xml:space="preserve">Cantero</w:t>
      </w:r>
      <w:r>
        <w:t xml:space="preserve"> </w:t>
      </w:r>
      <w:r>
        <w:t xml:space="preserve">were read.</w:t>
      </w:r>
    </w:p>
    <w:p>
      <w:pPr>
        <w:pStyle w:val="Compact"/>
        <w:numPr>
          <w:ilvl w:val="1"/>
          <w:numId w:val="1004"/>
        </w:numPr>
      </w:pPr>
      <w:r>
        <w:t xml:space="preserve">I did not locate any OCC interpretive letter specifically on deceased-depositor accounts. One may exist; I could not find it.</w:t>
      </w:r>
    </w:p>
    <w:p>
      <w:pPr>
        <w:pStyle w:val="Compact"/>
        <w:numPr>
          <w:ilvl w:val="1"/>
          <w:numId w:val="1004"/>
        </w:numPr>
      </w:pPr>
      <w:r>
        <w:t xml:space="preserve">The CA definitions of "P.O.D. payee" (§ 5142?) and "financial institution" (§ 40?) were not retrieved.</w:t>
      </w:r>
    </w:p>
    <w:p>
      <w:pPr>
        <w:pStyle w:val="Compact"/>
        <w:numPr>
          <w:ilvl w:val="1"/>
          <w:numId w:val="1004"/>
        </w:numPr>
      </w:pPr>
      <w:r>
        <w:t xml:space="preserve">Industry-practice sources are secondary and few.</w:t>
      </w:r>
    </w:p>
    <w:bookmarkStart w:id="9" w:name="summary"/>
    <w:p>
      <w:pPr>
        <w:pStyle w:val="Heading2"/>
      </w:pPr>
      <w:r>
        <w:t xml:space="preserve">Summary</w:t>
      </w:r>
    </w:p>
    <w:p>
      <w:pPr>
        <w:pStyle w:val="FirstParagraph"/>
      </w:pPr>
      <w:r>
        <w:rPr>
          <w:b/>
          <w:bCs/>
        </w:rPr>
        <w:t xml:space="preserve">Risk register:</w:t>
      </w:r>
      <w:r>
        <w:t xml:space="preserve"> </w:t>
      </w:r>
      <w:r>
        <w:t xml:space="preserve">42 items. 10 High, 27 Medium, 5 Low.</w:t>
      </w:r>
    </w:p>
    <w:p>
      <w:pPr>
        <w:pStyle w:val="BodyText"/>
      </w:pPr>
      <w:r>
        <w:rPr>
          <w:b/>
          <w:bCs/>
        </w:rPr>
        <w:t xml:space="preserve">Most important findings, ranked:</w:t>
      </w:r>
    </w:p>
    <w:p>
      <w:pPr>
        <w:pStyle w:val="Compact"/>
        <w:numPr>
          <w:ilvl w:val="0"/>
          <w:numId w:val="1005"/>
        </w:numPr>
      </w:pPr>
      <w:r>
        <w:rPr>
          <w:b/>
          <w:bCs/>
        </w:rPr>
        <w:t xml:space="preserve">"Jurisdiction" is undefined, and it drives everything (R1, R37–R39).</w:t>
      </w:r>
    </w:p>
    <w:p>
      <w:pPr>
        <w:pStyle w:val="Compact"/>
        <w:numPr>
          <w:ilvl w:val="1"/>
          <w:numId w:val="1006"/>
        </w:numPr>
      </w:pPr>
      <w:r>
        <w:t xml:space="preserve">The facts carry one</w:t>
      </w:r>
      <w:r>
        <w:t xml:space="preserve"> </w:t>
      </w:r>
      <w:r>
        <w:rPr>
          <w:rStyle w:val="VerbatimChar"/>
        </w:rPr>
        <w:t xml:space="preserve">jurisdiction</w:t>
      </w:r>
      <w:r>
        <w:t xml:space="preserve"> </w:t>
      </w:r>
      <w:r>
        <w:t xml:space="preserve">plus</w:t>
      </w:r>
      <w:r>
        <w:t xml:space="preserve"> </w:t>
      </w:r>
      <w:r>
        <w:rPr>
          <w:rStyle w:val="VerbatimChar"/>
        </w:rPr>
        <w:t xml:space="preserve">decedent_resident_of_jurisdiction</w:t>
      </w:r>
      <w:r>
        <w:t xml:space="preserve">.</w:t>
      </w:r>
    </w:p>
    <w:p>
      <w:pPr>
        <w:pStyle w:val="Compact"/>
        <w:numPr>
          <w:ilvl w:val="1"/>
          <w:numId w:val="1006"/>
        </w:numPr>
      </w:pPr>
      <w:r>
        <w:t xml:space="preserve">The law turns on several different connecting factors:</w:t>
      </w:r>
    </w:p>
    <w:p>
      <w:pPr>
        <w:pStyle w:val="Compact"/>
        <w:numPr>
          <w:ilvl w:val="2"/>
          <w:numId w:val="1007"/>
        </w:numPr>
      </w:pPr>
      <w:r>
        <w:rPr>
          <w:b/>
          <w:bCs/>
        </w:rPr>
        <w:t xml:space="preserve">Domicile.</w:t>
      </w:r>
      <w:r>
        <w:t xml:space="preserve"> </w:t>
      </w:r>
      <w:r>
        <w:t xml:space="preserve">CA Civ. Code § 946; CA quasi-community property under Prob. Code § 101 "domiciled in this state"; WA residency for RCW 11.62.010(2)(b).</w:t>
      </w:r>
    </w:p>
    <w:p>
      <w:pPr>
        <w:pStyle w:val="Compact"/>
        <w:numPr>
          <w:ilvl w:val="2"/>
          <w:numId w:val="1007"/>
        </w:numPr>
      </w:pPr>
      <w:r>
        <w:rPr>
          <w:b/>
          <w:bCs/>
        </w:rPr>
        <w:t xml:space="preserve">Where the property is.</w:t>
      </w:r>
      <w:r>
        <w:t xml:space="preserve"> </w:t>
      </w:r>
      <w:r>
        <w:t xml:space="preserve">CA § 13100 "property in this state".</w:t>
      </w:r>
    </w:p>
    <w:p>
      <w:pPr>
        <w:pStyle w:val="Compact"/>
        <w:numPr>
          <w:ilvl w:val="2"/>
          <w:numId w:val="1007"/>
        </w:numPr>
      </w:pPr>
      <w:r>
        <w:rPr>
          <w:b/>
          <w:bCs/>
        </w:rPr>
        <w:t xml:space="preserve">Where the institution does business.</w:t>
      </w:r>
      <w:r>
        <w:t xml:space="preserve"> </w:t>
      </w:r>
      <w:r>
        <w:t xml:space="preserve">RCW 30A.22.040(8);</w:t>
      </w:r>
      <w:r>
        <w:t xml:space="preserve"> </w:t>
      </w:r>
      <w:r>
        <w:rPr>
          <w:i/>
          <w:iCs/>
        </w:rPr>
        <w:t xml:space="preserve">Anderson Nat'l Bank v. Luckett</w:t>
      </w:r>
      <w:r>
        <w:t xml:space="preserve">, "according to the law of the state where it does business".</w:t>
      </w:r>
    </w:p>
    <w:p>
      <w:pPr>
        <w:pStyle w:val="Compact"/>
        <w:numPr>
          <w:ilvl w:val="1"/>
          <w:numId w:val="1006"/>
        </w:numPr>
      </w:pPr>
      <w:r>
        <w:t xml:space="preserve">The engine must record these separately. If they point to different states, it must return</w:t>
      </w:r>
      <w:r>
        <w:t xml:space="preserve"> </w:t>
      </w:r>
      <w:r>
        <w:rPr>
          <w:rStyle w:val="VerbatimChar"/>
        </w:rPr>
        <w:t xml:space="preserve">not_determinable</w:t>
      </w:r>
      <w:r>
        <w:t xml:space="preserve">, never a guess.</w:t>
      </w:r>
    </w:p>
    <w:p>
      <w:pPr>
        <w:pStyle w:val="Compact"/>
        <w:numPr>
          <w:ilvl w:val="0"/>
          <w:numId w:val="1005"/>
        </w:numPr>
      </w:pPr>
      <w:r>
        <w:rPr>
          <w:b/>
          <w:bCs/>
        </w:rPr>
        <w:t xml:space="preserve">Federal benefits credited after death can make the institution liable for the whole balance it paid out (R2).</w:t>
      </w:r>
    </w:p>
    <w:p>
      <w:pPr>
        <w:pStyle w:val="Compact"/>
        <w:numPr>
          <w:ilvl w:val="1"/>
          <w:numId w:val="1008"/>
        </w:numPr>
      </w:pPr>
      <w:r>
        <w:t xml:space="preserve">31 CFR § 210.10(a) makes the receiving bank (RDFI) liable for "all benefit payments received after the death" unless it limits liability under § 210.11. Limited liability depends on the bank having no actual or constructive knowledge of the death.</w:t>
      </w:r>
    </w:p>
    <w:p>
      <w:pPr>
        <w:pStyle w:val="Compact"/>
        <w:numPr>
          <w:ilvl w:val="1"/>
          <w:numId w:val="1008"/>
        </w:numPr>
      </w:pPr>
      <w:r>
        <w:t xml:space="preserve">On Path A the engine releases the full balance "on request" once proof of death is in. By that point the institution knows of the death.</w:t>
      </w:r>
    </w:p>
    <w:p>
      <w:pPr>
        <w:pStyle w:val="Compact"/>
        <w:numPr>
          <w:ilvl w:val="1"/>
          <w:numId w:val="1008"/>
        </w:numPr>
      </w:pPr>
      <w:r>
        <w:t xml:space="preserve">Post-death federal credits need a fact, plus a hold or return step, before any payout.</w:t>
      </w:r>
    </w:p>
    <w:p>
      <w:pPr>
        <w:pStyle w:val="Compact"/>
        <w:numPr>
          <w:ilvl w:val="0"/>
          <w:numId w:val="1005"/>
        </w:numPr>
      </w:pPr>
      <w:r>
        <w:rPr>
          <w:b/>
          <w:bCs/>
        </w:rPr>
        <w:t xml:space="preserve">"Stricter-only" policy is not legally risk-free (R3).</w:t>
      </w:r>
    </w:p>
    <w:p>
      <w:pPr>
        <w:pStyle w:val="Compact"/>
        <w:numPr>
          <w:ilvl w:val="1"/>
          <w:numId w:val="1009"/>
        </w:numPr>
      </w:pPr>
      <w:r>
        <w:rPr>
          <w:rStyle w:val="VerbatimChar"/>
        </w:rPr>
        <w:t xml:space="preserve">MAX_ADDITIONAL_WAITING_DAYS = 3650</w:t>
      </w:r>
      <w:r>
        <w:t xml:space="preserve"> </w:t>
      </w:r>
      <w:r>
        <w:t xml:space="preserve">lets an institution add up to ten years. CA Prob. Code § 13105(b) awards the claimant attorney's fees when a holder "acted unreasonably in refusing to pay … within a reasonable time".</w:t>
      </w:r>
    </w:p>
    <w:p>
      <w:pPr>
        <w:pStyle w:val="Compact"/>
        <w:numPr>
          <w:ilvl w:val="1"/>
          <w:numId w:val="1009"/>
        </w:numPr>
      </w:pPr>
      <w:r>
        <w:t xml:space="preserve">RCW 11.62.010(1) says the holder "shall pay". UDAAP's unfairness test (12 U.S.C. § 5531(c)) is also relevant.</w:t>
      </w:r>
    </w:p>
    <w:p>
      <w:pPr>
        <w:pStyle w:val="Compact"/>
        <w:numPr>
          <w:ilvl w:val="1"/>
          <w:numId w:val="1009"/>
        </w:numPr>
      </w:pPr>
      <w:r>
        <w:t xml:space="preserve">"Stricter" therefore means more exposure to the claimant, not less. Policy limits need attorney review.</w:t>
      </w:r>
    </w:p>
    <w:p>
      <w:pPr>
        <w:pStyle w:val="Compact"/>
        <w:numPr>
          <w:ilvl w:val="0"/>
          <w:numId w:val="1005"/>
        </w:numPr>
      </w:pPr>
      <w:r>
        <w:rPr>
          <w:b/>
          <w:bCs/>
        </w:rPr>
        <w:t xml:space="preserve">Survival rules differ by state, and the schema can't express them (R4).</w:t>
      </w:r>
    </w:p>
    <w:p>
      <w:pPr>
        <w:pStyle w:val="Compact"/>
        <w:numPr>
          <w:ilvl w:val="1"/>
          <w:numId w:val="1010"/>
        </w:numPr>
      </w:pPr>
      <w:r>
        <w:t xml:space="preserve">WA requires survival by 120 hours for POD designations and co-owners (RCW 11.05A.030, .040).</w:t>
      </w:r>
    </w:p>
    <w:p>
      <w:pPr>
        <w:pStyle w:val="Compact"/>
        <w:numPr>
          <w:ilvl w:val="1"/>
          <w:numId w:val="1010"/>
        </w:numPr>
      </w:pPr>
      <w:r>
        <w:t xml:space="preserve">CA's 120-hour rule (§ 6403) applies to intestacy. For accounts, CA uses "clear and convincing evidence" of survival with no fixed period (§§ 220–223; § 21109 for instruments).</w:t>
      </w:r>
    </w:p>
    <w:p>
      <w:pPr>
        <w:pStyle w:val="Compact"/>
        <w:numPr>
          <w:ilvl w:val="1"/>
          <w:numId w:val="1010"/>
        </w:numPr>
      </w:pPr>
      <w:r>
        <w:t xml:space="preserve">A single</w:t>
      </w:r>
      <w:r>
        <w:t xml:space="preserve"> </w:t>
      </w:r>
      <w:r>
        <w:rPr>
          <w:rStyle w:val="VerbatimChar"/>
        </w:rPr>
        <w:t xml:space="preserve">survived_decedent: bool</w:t>
      </w:r>
      <w:r>
        <w:t xml:space="preserve"> </w:t>
      </w:r>
      <w:r>
        <w:t xml:space="preserve">cannot encode either rule.</w:t>
      </w:r>
    </w:p>
    <w:p>
      <w:pPr>
        <w:pStyle w:val="Compact"/>
        <w:numPr>
          <w:ilvl w:val="0"/>
          <w:numId w:val="1005"/>
        </w:numPr>
      </w:pPr>
      <w:r>
        <w:rPr>
          <w:b/>
          <w:bCs/>
        </w:rPr>
        <w:t xml:space="preserve">The statutory discharges protect payments that comply with the statute, not reliance on software (R23).</w:t>
      </w:r>
    </w:p>
    <w:p>
      <w:pPr>
        <w:pStyle w:val="Compact"/>
        <w:numPr>
          <w:ilvl w:val="1"/>
          <w:numId w:val="1011"/>
        </w:numPr>
      </w:pPr>
      <w:r>
        <w:t xml:space="preserve">CA § 13106(a) applies only "if the requirements of Section 13100 to 13104 … are satisfied". § 5405(a) covers payments "made pursuant to" §§ 5401–5404.</w:t>
      </w:r>
    </w:p>
    <w:p>
      <w:pPr>
        <w:pStyle w:val="Compact"/>
        <w:numPr>
          <w:ilvl w:val="1"/>
          <w:numId w:val="1011"/>
        </w:numPr>
      </w:pPr>
      <w:r>
        <w:t xml:space="preserve">If the engine is wrong, or the facts entered don't match the documents, the institution loses the discharge. Vendor contract terms cannot restore it.</w:t>
      </w:r>
    </w:p>
    <w:p>
      <w:pPr>
        <w:pStyle w:val="Compact"/>
        <w:numPr>
          <w:ilvl w:val="0"/>
          <w:numId w:val="1005"/>
        </w:numPr>
      </w:pPr>
      <w:r>
        <w:rPr>
          <w:b/>
          <w:bCs/>
        </w:rPr>
        <w:t xml:space="preserve">Blocking events missing from the schema (R5–R8, R11–R14, R33).</w:t>
      </w:r>
    </w:p>
    <w:p>
      <w:pPr>
        <w:pStyle w:val="Compact"/>
        <w:numPr>
          <w:ilvl w:val="1"/>
          <w:numId w:val="1012"/>
        </w:numPr>
      </w:pPr>
      <w:r>
        <w:t xml:space="preserve">The current fact schema has no way to record:</w:t>
      </w:r>
    </w:p>
    <w:p>
      <w:pPr>
        <w:pStyle w:val="Compact"/>
        <w:numPr>
          <w:ilvl w:val="2"/>
          <w:numId w:val="1013"/>
        </w:numPr>
      </w:pPr>
      <w:r>
        <w:t xml:space="preserve">a slayer or abuser notice;</w:t>
      </w:r>
    </w:p>
    <w:p>
      <w:pPr>
        <w:pStyle w:val="Compact"/>
        <w:numPr>
          <w:ilvl w:val="2"/>
          <w:numId w:val="1013"/>
        </w:numPr>
      </w:pPr>
      <w:r>
        <w:t xml:space="preserve">an elder-exploitation hold;</w:t>
      </w:r>
    </w:p>
    <w:p>
      <w:pPr>
        <w:pStyle w:val="Compact"/>
        <w:numPr>
          <w:ilvl w:val="2"/>
          <w:numId w:val="1013"/>
        </w:numPr>
      </w:pPr>
      <w:r>
        <w:t xml:space="preserve">an IRS levy;</w:t>
      </w:r>
    </w:p>
    <w:p>
      <w:pPr>
        <w:pStyle w:val="Compact"/>
        <w:numPr>
          <w:ilvl w:val="2"/>
          <w:numId w:val="1013"/>
        </w:numPr>
      </w:pPr>
      <w:r>
        <w:t xml:space="preserve">a garnishment;</w:t>
      </w:r>
    </w:p>
    <w:p>
      <w:pPr>
        <w:pStyle w:val="Compact"/>
        <w:numPr>
          <w:ilvl w:val="2"/>
          <w:numId w:val="1013"/>
        </w:numPr>
      </w:pPr>
      <w:r>
        <w:t xml:space="preserve">a bankruptcy;</w:t>
      </w:r>
    </w:p>
    <w:p>
      <w:pPr>
        <w:pStyle w:val="Compact"/>
        <w:numPr>
          <w:ilvl w:val="2"/>
          <w:numId w:val="1013"/>
        </w:numPr>
      </w:pPr>
      <w:r>
        <w:t xml:space="preserve">an OFAC match;</w:t>
      </w:r>
    </w:p>
    <w:p>
      <w:pPr>
        <w:pStyle w:val="Compact"/>
        <w:numPr>
          <w:ilvl w:val="2"/>
          <w:numId w:val="1013"/>
        </w:numPr>
      </w:pPr>
      <w:r>
        <w:t xml:space="preserve">a lien, pledge, or setoff on the account;</w:t>
      </w:r>
    </w:p>
    <w:p>
      <w:pPr>
        <w:pStyle w:val="Compact"/>
        <w:numPr>
          <w:ilvl w:val="2"/>
          <w:numId w:val="1013"/>
        </w:numPr>
      </w:pPr>
      <w:r>
        <w:t xml:space="preserve">knowledge that an affidavit is false.</w:t>
      </w:r>
    </w:p>
    <w:p>
      <w:pPr>
        <w:pStyle w:val="Compact"/>
        <w:numPr>
          <w:ilvl w:val="1"/>
          <w:numId w:val="1012"/>
        </w:numPr>
      </w:pPr>
      <w:r>
        <w:t xml:space="preserve">Each can block or change payment under the authority cited below.</w:t>
      </w:r>
    </w:p>
    <w:p>
      <w:pPr>
        <w:pStyle w:val="Compact"/>
        <w:numPr>
          <w:ilvl w:val="1"/>
          <w:numId w:val="1012"/>
        </w:numPr>
      </w:pPr>
      <w:r>
        <w:t xml:space="preserve">The engine's "determined" output should either state these as preconditions it did not check, or collect facts for them.</w:t>
      </w:r>
    </w:p>
    <w:p>
      <w:pPr>
        <w:pStyle w:val="Compact"/>
        <w:numPr>
          <w:ilvl w:val="0"/>
          <w:numId w:val="1005"/>
        </w:numPr>
      </w:pPr>
      <w:r>
        <w:rPr>
          <w:b/>
          <w:bCs/>
        </w:rPr>
        <w:t xml:space="preserve">Regulatory status of the product (R25–R27).</w:t>
      </w:r>
    </w:p>
    <w:p>
      <w:pPr>
        <w:pStyle w:val="Compact"/>
        <w:numPr>
          <w:ilvl w:val="1"/>
          <w:numId w:val="1014"/>
        </w:numPr>
      </w:pPr>
      <w:r>
        <w:t xml:space="preserve">Third-party risk management (TPRM) guidance applies. The 2023 interagency guidance is in force, and a 2026 proposal to replace it has comments due 2026-11-16.</w:t>
      </w:r>
    </w:p>
    <w:p>
      <w:pPr>
        <w:pStyle w:val="Compact"/>
        <w:numPr>
          <w:ilvl w:val="1"/>
          <w:numId w:val="1014"/>
        </w:numPr>
      </w:pPr>
      <w:r>
        <w:t xml:space="preserve">Model risk management guidance probably does</w:t>
      </w:r>
      <w:r>
        <w:t xml:space="preserve"> </w:t>
      </w:r>
      <w:r>
        <w:rPr>
          <w:b/>
          <w:bCs/>
        </w:rPr>
        <w:t xml:space="preserve">not</w:t>
      </w:r>
      <w:r>
        <w:t xml:space="preserve"> </w:t>
      </w:r>
      <w:r>
        <w:t xml:space="preserve">apply. SR 26-2 (April 17, 2026) superseded SR 11-7, and its definition of "model" excludes "deterministic rule-based processes and software".</w:t>
      </w:r>
    </w:p>
    <w:p>
      <w:pPr>
        <w:pStyle w:val="Compact"/>
        <w:numPr>
          <w:ilvl w:val="1"/>
          <w:numId w:val="1014"/>
        </w:numPr>
      </w:pPr>
      <w:r>
        <w:t xml:space="preserve">Once hosted, the vendor may be a CFPB "service provider" directly subject to the UDAAP prohibition (12 U.S.C. §§ 5481(26), 5536(a)(1)(B)).</w:t>
      </w:r>
    </w:p>
    <w:p>
      <w:pPr>
        <w:pStyle w:val="Compact"/>
        <w:numPr>
          <w:ilvl w:val="0"/>
          <w:numId w:val="1005"/>
        </w:numPr>
      </w:pPr>
      <w:r>
        <w:rPr>
          <w:b/>
          <w:bCs/>
        </w:rPr>
        <w:t xml:space="preserve">UPL risk is moderate for a business-to-business tool and higher if anything faces consumers (R22).</w:t>
      </w:r>
    </w:p>
    <w:p>
      <w:pPr>
        <w:pStyle w:val="Compact"/>
        <w:numPr>
          <w:ilvl w:val="1"/>
          <w:numId w:val="1015"/>
        </w:numPr>
      </w:pPr>
      <w:r>
        <w:t xml:space="preserve">In</w:t>
      </w:r>
      <w:r>
        <w:t xml:space="preserve"> </w:t>
      </w:r>
      <w:r>
        <w:rPr>
          <w:i/>
          <w:iCs/>
        </w:rPr>
        <w:t xml:space="preserve">In re Reynoso</w:t>
      </w:r>
      <w:r>
        <w:t xml:space="preserve">, 477 F.3d 1117 (9th Cir. 2007), the court found UPL under California law where an "expert system" offered "personalized — albeit automated — counsel".</w:t>
      </w:r>
    </w:p>
    <w:p>
      <w:pPr>
        <w:pStyle w:val="Compact"/>
        <w:numPr>
          <w:ilvl w:val="1"/>
          <w:numId w:val="1015"/>
        </w:numPr>
      </w:pPr>
      <w:r>
        <w:t xml:space="preserve">The court expressly reserved whether "software alone" is the practice of law.</w:t>
      </w:r>
    </w:p>
    <w:bookmarkEnd w:id="9"/>
    <w:bookmarkStart w:id="66" w:name="risk-register"/>
    <w:p>
      <w:pPr>
        <w:pStyle w:val="Heading2"/>
      </w:pPr>
      <w:r>
        <w:t xml:space="preserve">Risk register</w:t>
      </w:r>
    </w:p>
    <w:p>
      <w:pPr>
        <w:pStyle w:val="FirstParagraph"/>
      </w:pPr>
      <w:r>
        <w:t xml:space="preserve">Severity (Sev): H / M / L. Likelihood (Lik): H / M / L.</w:t>
      </w:r>
    </w:p>
    <w:bookmarkStart w:id="24" w:name="conflict-of-laws"/>
    <w:p>
      <w:pPr>
        <w:pStyle w:val="Heading3"/>
      </w:pPr>
      <w:r>
        <w:t xml:space="preserve">Conflict of laws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 or edge case</w:t>
            </w:r>
          </w:p>
        </w:tc>
        <w:tc>
          <w:tcPr/>
          <w:p>
            <w:pPr>
              <w:pStyle w:val="Compact"/>
            </w:pPr>
            <w:r>
              <w:t xml:space="preserve">Sev</w:t>
            </w:r>
          </w:p>
        </w:tc>
        <w:tc>
          <w:tcPr/>
          <w:p>
            <w:pPr>
              <w:pStyle w:val="Compact"/>
            </w:pPr>
            <w:r>
              <w:t xml:space="preserve">Lik</w:t>
            </w:r>
          </w:p>
        </w:tc>
        <w:tc>
          <w:tcPr/>
          <w:p>
            <w:pPr>
              <w:pStyle w:val="Compact"/>
            </w:pPr>
            <w:r>
              <w:t xml:space="preserve">Authority (quote + URL) or Reviewer inference</w:t>
            </w:r>
          </w:p>
        </w:tc>
        <w:tc>
          <w:tcPr/>
          <w:p>
            <w:pPr>
              <w:pStyle w:val="Compact"/>
            </w:pPr>
            <w:r>
              <w:t xml:space="preserve">Recommended engine or product response</w:t>
            </w:r>
          </w:p>
        </w:tc>
      </w:tr>
      <w:tr>
        <w:tc>
          <w:tcPr/>
          <w:p>
            <w:pPr>
              <w:pStyle w:val="Compact"/>
            </w:pPr>
            <w:r>
              <w:t xml:space="preserve">R1</w:t>
            </w:r>
          </w:p>
        </w:tc>
        <w:tc>
          <w:tcPr/>
          <w:p>
            <w:pPr>
              <w:pStyle w:val="Compact"/>
            </w:pPr>
            <w:r>
              <w:rPr>
                <w:b/>
                <w:bCs/>
              </w:rPr>
              <w:t xml:space="preserve">What</w:t>
            </w:r>
            <w:r>
              <w:rPr>
                <w:b/>
                <w:bCs/>
              </w:rPr>
              <w:t xml:space="preserve"> </w:t>
            </w:r>
            <w:r>
              <w:rPr>
                <w:rStyle w:val="VerbatimChar"/>
                <w:b/>
                <w:bCs/>
              </w:rPr>
              <w:t xml:space="preserve">jurisdiction</w:t>
            </w:r>
            <w:r>
              <w:rPr>
                <w:b/>
                <w:bCs/>
              </w:rPr>
              <w:t xml:space="preserve"> </w:t>
            </w:r>
            <w:r>
              <w:rPr>
                <w:b/>
                <w:bCs/>
              </w:rPr>
              <w:t xml:space="preserve">means is undefined.</w:t>
            </w:r>
            <w:r>
              <w:t xml:space="preserve"> </w:t>
            </w:r>
            <w:r>
              <w:t xml:space="preserve">Domicile, where the property is, the branch's state, the deposit agreement's chosen law, and the charter state can each point to a different state.</w:t>
            </w:r>
          </w:p>
        </w:tc>
        <w:tc>
          <w:tcPr/>
          <w:p>
            <w:pPr>
              <w:pStyle w:val="Compact"/>
            </w:pPr>
            <w:r>
              <w:t xml:space="preserve">H</w:t>
            </w:r>
          </w:p>
        </w:tc>
        <w:tc>
          <w:tcPr/>
          <w:p>
            <w:pPr>
              <w:pStyle w:val="Compact"/>
            </w:pPr>
            <w:r>
              <w:t xml:space="preserve">H</w:t>
            </w:r>
          </w:p>
        </w:tc>
        <w:tc>
          <w:tcPr/>
          <w:p>
            <w:pPr>
              <w:pStyle w:val="Compact"/>
            </w:pPr>
            <w:r>
              <w:rPr>
                <w:b/>
                <w:bCs/>
              </w:rPr>
              <w:t xml:space="preserve">Statute says:</w:t>
            </w:r>
            <w:r>
              <w:t xml:space="preserve"> </w:t>
            </w:r>
            <w:r>
              <w:t xml:space="preserve">"personal property … is deemed to follow the person of its owner, and is governed by the law of his domicile" (Cal. Civ. Code § 946,</w:t>
            </w:r>
            <w:r>
              <w:t xml:space="preserve"> </w:t>
            </w:r>
            <w:hyperlink r:id="rId10">
              <w:r>
                <w:rPr>
                  <w:rStyle w:val="Hyperlink"/>
                </w:rPr>
                <w:t xml:space="preserve">https://california.public.law/codes/civil_code_section_946</w:t>
              </w:r>
            </w:hyperlink>
            <w:r>
              <w:t xml:space="preserve">).</w:t>
            </w:r>
            <w:r>
              <w:t xml:space="preserve"> </w:t>
            </w:r>
            <w:r>
              <w:rPr>
                <w:b/>
                <w:bCs/>
              </w:rPr>
              <w:t xml:space="preserve">Statute says:</w:t>
            </w:r>
            <w:r>
              <w:t xml:space="preserve"> </w:t>
            </w:r>
            <w:r>
              <w:t xml:space="preserve">WA's chapter covers a financial institution "authorized to do business and accept deposits in this state" (RCW 30A.22.040(8),</w:t>
            </w:r>
            <w:r>
              <w:t xml:space="preserve"> </w:t>
            </w:r>
            <w:hyperlink r:id="rId11">
              <w:r>
                <w:rPr>
                  <w:rStyle w:val="Hyperlink"/>
                </w:rPr>
                <w:t xml:space="preserve">https://app.leg.wa.gov/RCW/default.aspx?cite=30A.22&amp;full=true</w:t>
              </w:r>
            </w:hyperlink>
            <w:r>
              <w:t xml:space="preserve">).</w:t>
            </w:r>
            <w:r>
              <w:t xml:space="preserve"> </w:t>
            </w:r>
            <w:r>
              <w:rPr>
                <w:b/>
                <w:bCs/>
              </w:rPr>
              <w:t xml:space="preserve">Case law holds:</w:t>
            </w:r>
            <w:r>
              <w:t xml:space="preserve"> </w:t>
            </w:r>
            <w:r>
              <w:t xml:space="preserve">a national bank's deposit obligation is "to pay them to the persons entitled to demand payment according to the law of the state where it does business" (</w:t>
            </w:r>
            <w:r>
              <w:rPr>
                <w:i/>
                <w:iCs/>
              </w:rPr>
              <w:t xml:space="preserve">Anderson Nat'l Bank v. Luckett</w:t>
            </w:r>
            <w:r>
              <w:t xml:space="preserve">, 321 U.S. 233, 248–49 (1944),</w:t>
            </w:r>
            <w:r>
              <w:t xml:space="preserve"> </w:t>
            </w:r>
            <w:hyperlink r:id="rId12">
              <w:r>
                <w:rPr>
                  <w:rStyle w:val="Hyperlink"/>
                </w:rPr>
                <w:t xml:space="preserve">https://law.resource.org/pub/us/case/reporter/US/321/321.US.233.154.html</w:t>
              </w:r>
            </w:hyperlink>
            <w:r>
              <w:t xml:space="preserve">).</w:t>
            </w:r>
            <w:r>
              <w:t xml:space="preserve"> </w:t>
            </w:r>
            <w:r>
              <w:rPr>
                <w:b/>
                <w:bCs/>
              </w:rPr>
              <w:t xml:space="preserve">Reviewer inference:</w:t>
            </w:r>
            <w:r>
              <w:t xml:space="preserve"> </w:t>
            </w:r>
            <w:r>
              <w:t xml:space="preserve">Path A (account contract and the institution's discharge) and Path B (succession and affidavit) may legitimately follow different states' law.</w:t>
            </w:r>
          </w:p>
        </w:tc>
        <w:tc>
          <w:tcPr/>
          <w:p>
            <w:pPr>
              <w:pStyle w:val="Compact"/>
            </w:pPr>
            <w:r>
              <w:t xml:space="preserve">Split the fact into</w:t>
            </w:r>
            <w:r>
              <w:t xml:space="preserve"> </w:t>
            </w:r>
            <w:r>
              <w:rPr>
                <w:rStyle w:val="VerbatimChar"/>
              </w:rPr>
              <w:t xml:space="preserve">decedent_domicile_state</w:t>
            </w:r>
            <w:r>
              <w:t xml:space="preserve">,</w:t>
            </w:r>
            <w:r>
              <w:t xml:space="preserve"> </w:t>
            </w:r>
            <w:r>
              <w:rPr>
                <w:rStyle w:val="VerbatimChar"/>
              </w:rPr>
              <w:t xml:space="preserve">account_office_state</w:t>
            </w:r>
            <w:r>
              <w:t xml:space="preserve">, and</w:t>
            </w:r>
            <w:r>
              <w:t xml:space="preserve"> </w:t>
            </w:r>
            <w:r>
              <w:rPr>
                <w:rStyle w:val="VerbatimChar"/>
              </w:rPr>
              <w:t xml:space="preserve">deposit_agreement_governing_law</w:t>
            </w:r>
            <w:r>
              <w:t xml:space="preserve">. Define in the spec which one selects each path's rule set. Return</w:t>
            </w:r>
            <w:r>
              <w:t xml:space="preserve"> </w:t>
            </w:r>
            <w:r>
              <w:rPr>
                <w:rStyle w:val="VerbatimChar"/>
              </w:rPr>
              <w:t xml:space="preserve">not_determinable</w:t>
            </w:r>
            <w:r>
              <w:t xml:space="preserve"> </w:t>
            </w:r>
            <w:r>
              <w:t xml:space="preserve">when they conflict until an attorney approves a conflict rule.</w:t>
            </w:r>
          </w:p>
        </w:tc>
      </w:tr>
      <w:tr>
        <w:tc>
          <w:tcPr/>
          <w:p>
            <w:pPr>
              <w:pStyle w:val="Compact"/>
            </w:pPr>
            <w:r>
              <w:t xml:space="preserve">R37</w:t>
            </w:r>
          </w:p>
        </w:tc>
        <w:tc>
          <w:tcPr/>
          <w:p>
            <w:pPr>
              <w:pStyle w:val="Compact"/>
            </w:pPr>
            <w:r>
              <w:rPr>
                <w:b/>
                <w:bCs/>
              </w:rPr>
              <w:t xml:space="preserve">Decedent moved between CA and WA.</w:t>
            </w:r>
          </w:p>
        </w:tc>
        <w:tc>
          <w:tcPr/>
          <w:p>
            <w:pPr>
              <w:pStyle w:val="Compact"/>
            </w:pPr>
            <w:r>
              <w:t xml:space="preserve">M</w:t>
            </w:r>
          </w:p>
        </w:tc>
        <w:tc>
          <w:tcPr/>
          <w:p>
            <w:pPr>
              <w:pStyle w:val="Compact"/>
            </w:pPr>
            <w:r>
              <w:t xml:space="preserve">M</w:t>
            </w:r>
          </w:p>
        </w:tc>
        <w:tc>
          <w:tcPr/>
          <w:p>
            <w:pPr>
              <w:pStyle w:val="Compact"/>
            </w:pPr>
            <w:r>
              <w:rPr>
                <w:b/>
                <w:bCs/>
              </w:rPr>
              <w:t xml:space="preserve">Statute says (WA):</w:t>
            </w:r>
            <w:r>
              <w:t xml:space="preserve"> </w:t>
            </w:r>
            <w:r>
              <w:t xml:space="preserve">the affidavit requires "the decedent was a resident of the state of Washington on the date of death" (RCW 11.62.010(2)(b), see the WA spec).</w:t>
            </w:r>
            <w:r>
              <w:t xml:space="preserve"> </w:t>
            </w:r>
            <w:r>
              <w:rPr>
                <w:b/>
                <w:bCs/>
              </w:rPr>
              <w:t xml:space="preserve">Statute says (CA QCP):</w:t>
            </w:r>
            <w:r>
              <w:t xml:space="preserve"> </w:t>
            </w:r>
            <w:r>
              <w:t xml:space="preserve">"one-half of the decedent's quasi-community property belongs to the surviving spouse" upon death of a person "domiciled in this state" (Prob. Code § 101(a),</w:t>
            </w:r>
            <w:r>
              <w:t xml:space="preserve"> </w:t>
            </w:r>
            <w:hyperlink r:id="rId13">
              <w:r>
                <w:rPr>
                  <w:rStyle w:val="Hyperlink"/>
                </w:rPr>
                <w:t xml:space="preserve">https://california.public.law/codes/probate_code_section_101</w:t>
              </w:r>
            </w:hyperlink>
            <w:r>
              <w:t xml:space="preserve">).</w:t>
            </w:r>
            <w:r>
              <w:t xml:space="preserve"> </w:t>
            </w:r>
            <w:r>
              <w:rPr>
                <w:b/>
                <w:bCs/>
              </w:rPr>
              <w:t xml:space="preserve">Statute says (WA QCP):</w:t>
            </w:r>
            <w:r>
              <w:t xml:space="preserve"> </w:t>
            </w:r>
            <w:r>
              <w:t xml:space="preserve">"Upon the death of any person domiciled in this state, one-half of any quasi-community property shall belong to the surviving spouse" (RCW 26.16.230,</w:t>
            </w:r>
            <w:r>
              <w:t xml:space="preserve"> </w:t>
            </w:r>
            <w:hyperlink r:id="rId14">
              <w:r>
                <w:rPr>
                  <w:rStyle w:val="Hyperlink"/>
                </w:rPr>
                <w:t xml:space="preserve">https://app.leg.wa.gov/RCW/default.aspx?cite=26.16&amp;full=true</w:t>
              </w:r>
            </w:hyperlink>
            <w:r>
              <w:t xml:space="preserve">).</w:t>
            </w:r>
          </w:p>
        </w:tc>
        <w:tc>
          <w:tcPr/>
          <w:p>
            <w:pPr>
              <w:pStyle w:val="Compact"/>
            </w:pPr>
            <w:r>
              <w:t xml:space="preserve">Require domicile at death as an explicit fact. If domicile is unknown, or the decedent moved within some period (attorney to set), return</w:t>
            </w:r>
            <w:r>
              <w:t xml:space="preserve"> </w:t>
            </w:r>
            <w:r>
              <w:rPr>
                <w:rStyle w:val="VerbatimChar"/>
              </w:rPr>
              <w:t xml:space="preserve">not_determinable</w:t>
            </w:r>
            <w:r>
              <w:t xml:space="preserve">. Path B in WA already fails closed on unknown residency.</w:t>
            </w:r>
          </w:p>
        </w:tc>
      </w:tr>
      <w:tr>
        <w:tc>
          <w:tcPr/>
          <w:p>
            <w:pPr>
              <w:pStyle w:val="Compact"/>
            </w:pPr>
            <w:r>
              <w:t xml:space="preserve">R38</w:t>
            </w:r>
          </w:p>
        </w:tc>
        <w:tc>
          <w:tcPr/>
          <w:p>
            <w:pPr>
              <w:pStyle w:val="Compact"/>
            </w:pPr>
            <w:r>
              <w:rPr>
                <w:b/>
                <w:bCs/>
              </w:rPr>
              <w:t xml:space="preserve">Account at an institution or branch in a third state,</w:t>
            </w:r>
            <w:r>
              <w:t xml:space="preserve"> </w:t>
            </w:r>
            <w:r>
              <w:t xml:space="preserve">or a CA/WA decedent's account held outside CA/WA.</w:t>
            </w:r>
          </w:p>
        </w:tc>
        <w:tc>
          <w:tcPr/>
          <w:p>
            <w:pPr>
              <w:pStyle w:val="Compact"/>
            </w:pPr>
            <w:r>
              <w:t xml:space="preserve">M</w:t>
            </w:r>
          </w:p>
        </w:tc>
        <w:tc>
          <w:tcPr/>
          <w:p>
            <w:pPr>
              <w:pStyle w:val="Compact"/>
            </w:pPr>
            <w:r>
              <w:t xml:space="preserve">L</w:t>
            </w:r>
          </w:p>
        </w:tc>
        <w:tc>
          <w:tcPr/>
          <w:p>
            <w:pPr>
              <w:pStyle w:val="Compact"/>
            </w:pPr>
            <w:r>
              <w:rPr>
                <w:b/>
                <w:bCs/>
              </w:rPr>
              <w:t xml:space="preserve">Statute says:</w:t>
            </w:r>
            <w:r>
              <w:t xml:space="preserve"> </w:t>
            </w:r>
            <w:r>
              <w:t xml:space="preserve">CA's procedure reaches "real and personal property in this state" (Prob. Code § 13100,</w:t>
            </w:r>
            <w:r>
              <w:t xml:space="preserve"> </w:t>
            </w:r>
            <w:hyperlink r:id="rId15">
              <w:r>
                <w:rPr>
                  <w:rStyle w:val="Hyperlink"/>
                </w:rPr>
                <w:t xml:space="preserve">https://california.public.law/codes/probate_code_section_13100</w:t>
              </w:r>
            </w:hyperlink>
            <w:r>
              <w:t xml:space="preserve">). It also contemplates non-domiciliary decedents: "In the case of a nondomiciliary decedent, restitution … shall be made to the estate in an ancillary administration" (§ 13111(f),</w:t>
            </w:r>
            <w:r>
              <w:t xml:space="preserve"> </w:t>
            </w:r>
            <w:hyperlink r:id="rId16">
              <w:r>
                <w:rPr>
                  <w:rStyle w:val="Hyperlink"/>
                </w:rPr>
                <w:t xml:space="preserve">https://california.public.law/codes/probate_code_section_13111</w:t>
              </w:r>
            </w:hyperlink>
            <w:r>
              <w:t xml:space="preserve">).</w:t>
            </w:r>
            <w:r>
              <w:t xml:space="preserve"> </w:t>
            </w:r>
            <w:r>
              <w:rPr>
                <w:b/>
                <w:bCs/>
              </w:rPr>
              <w:t xml:space="preserve">Reviewer inference:</w:t>
            </w:r>
            <w:r>
              <w:t xml:space="preserve"> </w:t>
            </w:r>
            <w:r>
              <w:t xml:space="preserve">where an intangible deposit is located (the branch? the institution's home office?) is not settled by these texts.</w:t>
            </w:r>
          </w:p>
        </w:tc>
        <w:tc>
          <w:tcPr/>
          <w:p>
            <w:pPr>
              <w:pStyle w:val="Compact"/>
            </w:pPr>
            <w:r>
              <w:t xml:space="preserve">Out of v1 coverage:</w:t>
            </w:r>
            <w:r>
              <w:t xml:space="preserve"> </w:t>
            </w:r>
            <w:r>
              <w:rPr>
                <w:rStyle w:val="VerbatimChar"/>
              </w:rPr>
              <w:t xml:space="preserve">not_determinable</w:t>
            </w:r>
            <w:r>
              <w:t xml:space="preserve"> </w:t>
            </w:r>
            <w:r>
              <w:t xml:space="preserve">whenever</w:t>
            </w:r>
            <w:r>
              <w:t xml:space="preserve"> </w:t>
            </w:r>
            <w:r>
              <w:rPr>
                <w:rStyle w:val="VerbatimChar"/>
              </w:rPr>
              <w:t xml:space="preserve">account_office_state</w:t>
            </w:r>
            <w:r>
              <w:t xml:space="preserve"> </w:t>
            </w:r>
            <w:r>
              <w:t xml:space="preserve">is not the rule-set state. Record this as an open question for each state.</w:t>
            </w:r>
          </w:p>
        </w:tc>
      </w:tr>
      <w:tr>
        <w:tc>
          <w:tcPr/>
          <w:p>
            <w:pPr>
              <w:pStyle w:val="Compact"/>
            </w:pPr>
            <w:r>
              <w:t xml:space="preserve">R39</w:t>
            </w:r>
          </w:p>
        </w:tc>
        <w:tc>
          <w:tcPr/>
          <w:p>
            <w:pPr>
              <w:pStyle w:val="Compact"/>
            </w:pPr>
            <w:r>
              <w:rPr>
                <w:b/>
                <w:bCs/>
              </w:rPr>
              <w:t xml:space="preserve">The deposit agreement's choice-of-law clause</w:t>
            </w:r>
            <w:r>
              <w:t xml:space="preserve"> </w:t>
            </w:r>
            <w:r>
              <w:t xml:space="preserve">names another state.</w:t>
            </w:r>
          </w:p>
        </w:tc>
        <w:tc>
          <w:tcPr/>
          <w:p>
            <w:pPr>
              <w:pStyle w:val="Compact"/>
            </w:pPr>
            <w:r>
              <w:t xml:space="preserve">M</w:t>
            </w:r>
          </w:p>
        </w:tc>
        <w:tc>
          <w:tcPr/>
          <w:p>
            <w:pPr>
              <w:pStyle w:val="Compact"/>
            </w:pPr>
            <w:r>
              <w:t xml:space="preserve">L</w:t>
            </w:r>
          </w:p>
        </w:tc>
        <w:tc>
          <w:tcPr/>
          <w:p>
            <w:pPr>
              <w:pStyle w:val="Compact"/>
            </w:pPr>
            <w:r>
              <w:rPr>
                <w:b/>
                <w:bCs/>
              </w:rPr>
              <w:t xml:space="preserve">Reviewer inference.</w:t>
            </w:r>
            <w:r>
              <w:t xml:space="preserve"> </w:t>
            </w:r>
            <w:r>
              <w:t xml:space="preserve">For the contract parts (survivorship terms, signature rules) the clause may control. Succession and the small-estate affidavit probably follow domicile or situs (§ 946 above).</w:t>
            </w:r>
            <w:r>
              <w:t xml:space="preserve"> </w:t>
            </w:r>
            <w:r>
              <w:rPr>
                <w:b/>
                <w:bCs/>
              </w:rPr>
              <w:t xml:space="preserve">Regulator guidance:</w:t>
            </w:r>
            <w:r>
              <w:t xml:space="preserve"> </w:t>
            </w:r>
            <w:r>
              <w:t xml:space="preserve">12 CFR § 7.4007(c) leaves "Contracts" and "Acquisition and transfer of property" to state law (</w:t>
            </w:r>
            <w:hyperlink r:id="rId17">
              <w:r>
                <w:rPr>
                  <w:rStyle w:val="Hyperlink"/>
                </w:rPr>
                <w:t xml:space="preserve">https://www.ecfr.gov/current/title-12/section-7.4007</w:t>
              </w:r>
            </w:hyperlink>
            <w:r>
              <w:t xml:space="preserve">).</w:t>
            </w:r>
          </w:p>
        </w:tc>
        <w:tc>
          <w:tcPr/>
          <w:p>
            <w:pPr>
              <w:pStyle w:val="Compact"/>
            </w:pPr>
            <w:r>
              <w:t xml:space="preserve">Add a</w:t>
            </w:r>
            <w:r>
              <w:t xml:space="preserve"> </w:t>
            </w:r>
            <w:r>
              <w:rPr>
                <w:rStyle w:val="VerbatimChar"/>
              </w:rPr>
              <w:t xml:space="preserve">governing_law_clause_state</w:t>
            </w:r>
            <w:r>
              <w:t xml:space="preserve"> </w:t>
            </w:r>
            <w:r>
              <w:t xml:space="preserve">fact. If it differs from the rule-set state, return</w:t>
            </w:r>
            <w:r>
              <w:t xml:space="preserve"> </w:t>
            </w:r>
            <w:r>
              <w:rPr>
                <w:rStyle w:val="VerbatimChar"/>
              </w:rPr>
              <w:t xml:space="preserve">not_determinable</w:t>
            </w:r>
            <w:r>
              <w:t xml:space="preserve"> </w:t>
            </w:r>
            <w:r>
              <w:t xml:space="preserve">pending attorney guidance.</w:t>
            </w:r>
          </w:p>
        </w:tc>
      </w:tr>
      <w:tr>
        <w:tc>
          <w:tcPr/>
          <w:p>
            <w:pPr>
              <w:pStyle w:val="Compact"/>
            </w:pPr>
            <w:r>
              <w:t xml:space="preserve">R40</w:t>
            </w:r>
          </w:p>
        </w:tc>
        <w:tc>
          <w:tcPr/>
          <w:p>
            <w:pPr>
              <w:pStyle w:val="Compact"/>
            </w:pPr>
            <w:r>
              <w:rPr>
                <w:b/>
                <w:bCs/>
              </w:rPr>
              <w:t xml:space="preserve">Community property and quasi-community property brought from another state.</w:t>
            </w:r>
            <w:r>
              <w:t xml:space="preserve"> </w:t>
            </w:r>
            <w:r>
              <w:t xml:space="preserve">A surviving spouse may claim half of a POD or survivorship account, or of the estate, against the named payee.</w:t>
            </w:r>
          </w:p>
        </w:tc>
        <w:tc>
          <w:tcPr/>
          <w:p>
            <w:pPr>
              <w:pStyle w:val="Compact"/>
            </w:pPr>
            <w:r>
              <w:t xml:space="preserve">M</w:t>
            </w:r>
          </w:p>
        </w:tc>
        <w:tc>
          <w:tcPr/>
          <w:p>
            <w:pPr>
              <w:pStyle w:val="Compact"/>
            </w:pPr>
            <w:r>
              <w:t xml:space="preserve">M</w:t>
            </w:r>
          </w:p>
        </w:tc>
        <w:tc>
          <w:tcPr/>
          <w:p>
            <w:pPr>
              <w:pStyle w:val="Compact"/>
            </w:pPr>
            <w:r>
              <w:rPr>
                <w:b/>
                <w:bCs/>
              </w:rPr>
              <w:t xml:space="preserve">Statute says (CA):</w:t>
            </w:r>
            <w:r>
              <w:t xml:space="preserve"> </w:t>
            </w:r>
            <w:r>
              <w:t xml:space="preserve">quasi-community property is "All personal property wherever situated … acquired by a decedent while domiciled elsewhere that would have been the community property … if the decedent had been domiciled in this state" (Prob. Code § 66(a),</w:t>
            </w:r>
            <w:r>
              <w:t xml:space="preserve"> </w:t>
            </w:r>
            <w:hyperlink r:id="rId18">
              <w:r>
                <w:rPr>
                  <w:rStyle w:val="Hyperlink"/>
                </w:rPr>
                <w:t xml:space="preserve">https://california.public.law/codes/probate_code_section_66</w:t>
              </w:r>
            </w:hyperlink>
            <w:r>
              <w:t xml:space="preserve">). Also "a multiple-party account created with community property funds does not in any way alter community property rights" (§ 5305(d),</w:t>
            </w:r>
            <w:r>
              <w:t xml:space="preserve"> </w:t>
            </w:r>
            <w:hyperlink r:id="rId19">
              <w:r>
                <w:rPr>
                  <w:rStyle w:val="Hyperlink"/>
                </w:rPr>
                <w:t xml:space="preserve">https://california.public.law/codes/probate_code_section_5305</w:t>
              </w:r>
            </w:hyperlink>
            <w:r>
              <w:t xml:space="preserve">).</w:t>
            </w:r>
            <w:r>
              <w:t xml:space="preserve"> </w:t>
            </w:r>
            <w:r>
              <w:rPr>
                <w:b/>
                <w:bCs/>
              </w:rPr>
              <w:t xml:space="preserve">Statute says (WA):</w:t>
            </w:r>
            <w:r>
              <w:t xml:space="preserve"> </w:t>
            </w:r>
            <w:r>
              <w:t xml:space="preserve">the chapter shall "Not be deemed to alter the community or separate property nature of any funds … shall not be affected by the form of the account" (RCW 30A.22.030(5)).</w:t>
            </w:r>
            <w:r>
              <w:t xml:space="preserve"> </w:t>
            </w:r>
            <w:r>
              <w:rPr>
                <w:b/>
                <w:bCs/>
              </w:rPr>
              <w:t xml:space="preserve">Statute says:</w:t>
            </w:r>
            <w:r>
              <w:t xml:space="preserve"> </w:t>
            </w:r>
            <w:r>
              <w:t xml:space="preserve">protection still applies, since payment discharges "whether or not the payment is consistent with the beneficial ownership" (CA § 5405(a),</w:t>
            </w:r>
            <w:r>
              <w:t xml:space="preserve"> </w:t>
            </w:r>
            <w:hyperlink r:id="rId20">
              <w:r>
                <w:rPr>
                  <w:rStyle w:val="Hyperlink"/>
                </w:rPr>
                <w:t xml:space="preserve">https://california.public.law/codes/probate_code_section_5405</w:t>
              </w:r>
            </w:hyperlink>
            <w:r>
              <w:t xml:space="preserve">).</w:t>
            </w:r>
          </w:p>
        </w:tc>
        <w:tc>
          <w:tcPr/>
          <w:p>
            <w:pPr>
              <w:pStyle w:val="Compact"/>
            </w:pPr>
            <w:r>
              <w:t xml:space="preserve">Keep relying on the discharge statutes for the institution's own protection. Add a</w:t>
            </w:r>
            <w:r>
              <w:t xml:space="preserve"> </w:t>
            </w:r>
            <w:r>
              <w:rPr>
                <w:rStyle w:val="VerbatimChar"/>
              </w:rPr>
              <w:t xml:space="preserve">community_property_claim_notice_received</w:t>
            </w:r>
            <w:r>
              <w:t xml:space="preserve"> </w:t>
            </w:r>
            <w:r>
              <w:t xml:space="preserve">fact. In WA it maps to the dispute notice (RCW 30A.22.210). In CA only a restraining order removes protection (§ 5405(b)). Flag that Path B's declared value excludes the spouse's CP interest in WA (RCW 11.62.010(2)(c)).</w:t>
            </w:r>
          </w:p>
        </w:tc>
      </w:tr>
      <w:tr>
        <w:tc>
          <w:tcPr/>
          <w:p>
            <w:pPr>
              <w:pStyle w:val="Compact"/>
            </w:pPr>
            <w:r>
              <w:t xml:space="preserve">R41</w:t>
            </w:r>
          </w:p>
        </w:tc>
        <w:tc>
          <w:tcPr/>
          <w:p>
            <w:pPr>
              <w:pStyle w:val="Compact"/>
            </w:pPr>
            <w:r>
              <w:rPr>
                <w:b/>
                <w:bCs/>
              </w:rPr>
              <w:t xml:space="preserve">Registered domestic partners and same-sex spouses from other states.</w:t>
            </w:r>
          </w:p>
        </w:tc>
        <w:tc>
          <w:tcPr/>
          <w:p>
            <w:pPr>
              <w:pStyle w:val="Compact"/>
            </w:pPr>
            <w:r>
              <w:t xml:space="preserve">M</w:t>
            </w:r>
          </w:p>
        </w:tc>
        <w:tc>
          <w:tcPr/>
          <w:p>
            <w:pPr>
              <w:pStyle w:val="Compact"/>
            </w:pPr>
            <w:r>
              <w:t xml:space="preserve">L</w:t>
            </w:r>
          </w:p>
        </w:tc>
        <w:tc>
          <w:tcPr/>
          <w:p>
            <w:pPr>
              <w:pStyle w:val="Compact"/>
            </w:pPr>
            <w:r>
              <w:rPr>
                <w:b/>
                <w:bCs/>
              </w:rPr>
              <w:t xml:space="preserve">Statute says (CA):</w:t>
            </w:r>
            <w:r>
              <w:t xml:space="preserve"> </w:t>
            </w:r>
            <w:r>
              <w:t xml:space="preserve">"A legal union of two persons, other than a marriage, that was validly formed in another jurisdiction, and that is substantially equivalent to a domestic partnership … shall be recognized" (Fam. Code § 299.2,</w:t>
            </w:r>
            <w:r>
              <w:t xml:space="preserve"> </w:t>
            </w:r>
            <w:hyperlink r:id="rId21">
              <w:r>
                <w:rPr>
                  <w:rStyle w:val="Hyperlink"/>
                </w:rPr>
                <w:t xml:space="preserve">https://california.public.law/codes/family_code_section_299.2</w:t>
              </w:r>
            </w:hyperlink>
            <w:r>
              <w:t xml:space="preserve">). Also "A marriage contracted outside this state that would be valid by laws of the jurisdiction … is valid in California" (§ 308). A surviving RDP has "the same rights … as are granted to … a widow or a widower" (§ 297.5(c)).</w:t>
            </w:r>
            <w:r>
              <w:t xml:space="preserve"> </w:t>
            </w:r>
            <w:r>
              <w:rPr>
                <w:b/>
                <w:bCs/>
              </w:rPr>
              <w:t xml:space="preserve">Statute says (WA):</w:t>
            </w:r>
            <w:r>
              <w:t xml:space="preserve"> </w:t>
            </w:r>
            <w:r>
              <w:t xml:space="preserve">the same recognition (RCW 26.60.090). WA same-sex RDPs where neither partner was 62 or older were "automatically merged into a marriage … as of June 30, 2014" (RCW 26.60.100(3)(a),</w:t>
            </w:r>
            <w:r>
              <w:t xml:space="preserve"> </w:t>
            </w:r>
            <w:hyperlink r:id="rId22">
              <w:r>
                <w:rPr>
                  <w:rStyle w:val="Hyperlink"/>
                </w:rPr>
                <w:t xml:space="preserve">https://app.leg.wa.gov/RCW/default.aspx?cite=26.60&amp;full=true</w:t>
              </w:r>
            </w:hyperlink>
            <w:r>
              <w:t xml:space="preserve">). RCW 30A.22.902 reads "spouse" to include state RDPs.</w:t>
            </w:r>
            <w:r>
              <w:t xml:space="preserve"> </w:t>
            </w:r>
            <w:r>
              <w:rPr>
                <w:b/>
                <w:bCs/>
              </w:rPr>
              <w:t xml:space="preserve">Federal:</w:t>
            </w:r>
            <w:r>
              <w:t xml:space="preserve"> </w:t>
            </w:r>
            <w:r>
              <w:t xml:space="preserve">an individual is married for federal law if the marriage "is valid in the State where the marriage was entered into" (1 U.S.C. § 7(a),</w:t>
            </w:r>
            <w:r>
              <w:t xml:space="preserve"> </w:t>
            </w:r>
            <w:hyperlink r:id="rId23">
              <w:r>
                <w:rPr>
                  <w:rStyle w:val="Hyperlink"/>
                </w:rPr>
                <w:t xml:space="preserve">https://www.govinfo.gov/link/uscode/1/7?link-type=html</w:t>
              </w:r>
            </w:hyperlink>
            <w:r>
              <w:t xml:space="preserve">). No person acting under color of State law may deny "a right or claim arising from such a marriage" on the basis of sex (28 U.S.C. § 1738C(a)(2)).</w:t>
            </w:r>
          </w:p>
        </w:tc>
        <w:tc>
          <w:tcPr/>
          <w:p>
            <w:pPr>
              <w:pStyle w:val="Compact"/>
            </w:pPr>
            <w:r>
              <w:t xml:space="preserve">The</w:t>
            </w:r>
            <w:r>
              <w:t xml:space="preserve"> </w:t>
            </w:r>
            <w:r>
              <w:rPr>
                <w:rStyle w:val="VerbatimChar"/>
              </w:rPr>
              <w:t xml:space="preserve">Relationship</w:t>
            </w:r>
            <w:r>
              <w:t xml:space="preserve"> </w:t>
            </w:r>
            <w:r>
              <w:t xml:space="preserve">enum has</w:t>
            </w:r>
            <w:r>
              <w:t xml:space="preserve"> </w:t>
            </w:r>
            <w:r>
              <w:rPr>
                <w:rStyle w:val="VerbatimChar"/>
              </w:rPr>
              <w:t xml:space="preserve">surviving_spouse</w:t>
            </w:r>
            <w:r>
              <w:t xml:space="preserve"> </w:t>
            </w:r>
            <w:r>
              <w:t xml:space="preserve">and</w:t>
            </w:r>
            <w:r>
              <w:t xml:space="preserve"> </w:t>
            </w:r>
            <w:r>
              <w:rPr>
                <w:rStyle w:val="VerbatimChar"/>
              </w:rPr>
              <w:t xml:space="preserve">registered_domestic_partner</w:t>
            </w:r>
            <w:r>
              <w:t xml:space="preserve">. Add a test that every rule treats them the same where the statutes require it. Add</w:t>
            </w:r>
            <w:r>
              <w:t xml:space="preserve"> </w:t>
            </w:r>
            <w:r>
              <w:rPr>
                <w:rStyle w:val="VerbatimChar"/>
              </w:rPr>
              <w:t xml:space="preserve">union_formed_in</w:t>
            </w:r>
            <w:r>
              <w:t xml:space="preserve"> </w:t>
            </w:r>
            <w:r>
              <w:t xml:space="preserve">for out-of-state unions. Return</w:t>
            </w:r>
            <w:r>
              <w:t xml:space="preserve"> </w:t>
            </w:r>
            <w:r>
              <w:rPr>
                <w:rStyle w:val="VerbatimChar"/>
              </w:rPr>
              <w:t xml:space="preserve">not_determinable</w:t>
            </w:r>
            <w:r>
              <w:t xml:space="preserve"> </w:t>
            </w:r>
            <w:r>
              <w:t xml:space="preserve">if it is unclear whether a union is "substantially equivalent".</w:t>
            </w:r>
          </w:p>
        </w:tc>
      </w:tr>
    </w:tbl>
    <w:bookmarkEnd w:id="24"/>
    <w:bookmarkStart w:id="41" w:name="federal-overlay"/>
    <w:p>
      <w:pPr>
        <w:pStyle w:val="Heading3"/>
      </w:pPr>
      <w:r>
        <w:t xml:space="preserve">Federal overlay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 or edge case</w:t>
            </w:r>
          </w:p>
        </w:tc>
        <w:tc>
          <w:tcPr/>
          <w:p>
            <w:pPr>
              <w:pStyle w:val="Compact"/>
            </w:pPr>
            <w:r>
              <w:t xml:space="preserve">Sev</w:t>
            </w:r>
          </w:p>
        </w:tc>
        <w:tc>
          <w:tcPr/>
          <w:p>
            <w:pPr>
              <w:pStyle w:val="Compact"/>
            </w:pPr>
            <w:r>
              <w:t xml:space="preserve">Lik</w:t>
            </w:r>
          </w:p>
        </w:tc>
        <w:tc>
          <w:tcPr/>
          <w:p>
            <w:pPr>
              <w:pStyle w:val="Compact"/>
            </w:pPr>
            <w:r>
              <w:t xml:space="preserve">Authority (quote + URL) or Reviewer inference</w:t>
            </w:r>
          </w:p>
        </w:tc>
        <w:tc>
          <w:tcPr/>
          <w:p>
            <w:pPr>
              <w:pStyle w:val="Compact"/>
            </w:pPr>
            <w:r>
              <w:t xml:space="preserve">Recommended engine or product response</w:t>
            </w:r>
          </w:p>
        </w:tc>
      </w:tr>
      <w:tr>
        <w:tc>
          <w:tcPr/>
          <w:p>
            <w:pPr>
              <w:pStyle w:val="Compact"/>
            </w:pPr>
            <w:r>
              <w:t xml:space="preserve">R2</w:t>
            </w:r>
          </w:p>
        </w:tc>
        <w:tc>
          <w:tcPr/>
          <w:p>
            <w:pPr>
              <w:pStyle w:val="Compact"/>
            </w:pPr>
            <w:r>
              <w:rPr>
                <w:b/>
                <w:bCs/>
              </w:rPr>
              <w:t xml:space="preserve">Federal benefit payments credited after death</w:t>
            </w:r>
            <w:r>
              <w:t xml:space="preserve"> </w:t>
            </w:r>
            <w:r>
              <w:t xml:space="preserve">(SSA, VA, OPM, and other federal benefits paid by ACH).</w:t>
            </w:r>
          </w:p>
        </w:tc>
        <w:tc>
          <w:tcPr/>
          <w:p>
            <w:pPr>
              <w:pStyle w:val="Compact"/>
            </w:pPr>
            <w:r>
              <w:t xml:space="preserve">H</w:t>
            </w:r>
          </w:p>
        </w:tc>
        <w:tc>
          <w:tcPr/>
          <w:p>
            <w:pPr>
              <w:pStyle w:val="Compact"/>
            </w:pPr>
            <w:r>
              <w:t xml:space="preserve">H</w:t>
            </w:r>
          </w:p>
        </w:tc>
        <w:tc>
          <w:tcPr/>
          <w:p>
            <w:pPr>
              <w:pStyle w:val="Compact"/>
            </w:pPr>
            <w:r>
              <w:rPr>
                <w:b/>
                <w:bCs/>
              </w:rPr>
              <w:t xml:space="preserve">Regulation says:</w:t>
            </w:r>
            <w:r>
              <w:t xml:space="preserve"> </w:t>
            </w:r>
            <w:r>
              <w:t xml:space="preserve">"An RDFI shall be liable to the Federal Government for the total amount of all benefit payments received after the death … unless the RDFI has the right to limit its liability under § 210.11" and "shall return any benefit payments received after the RDFI becomes aware of the death" (31 CFR § 210.10(a),</w:t>
            </w:r>
            <w:r>
              <w:t xml:space="preserve"> </w:t>
            </w:r>
            <w:hyperlink r:id="rId25">
              <w:r>
                <w:rPr>
                  <w:rStyle w:val="Hyperlink"/>
                </w:rPr>
                <w:t xml:space="preserve">https://www.ecfr.gov/current/title-31/section-210.10</w:t>
              </w:r>
            </w:hyperlink>
            <w:r>
              <w:t xml:space="preserve">). Limited liability applies only "If an RDFI does not have actual or constructive knowledge of the death" (§ 210.11(a)). It requires certifying the names of "All person(s) who withdrew funds from the recipient's account after the death" (§ 210.11(b)(3)(i)(C)). Time limits: 120 days from the agency's knowledge, with a six-year lookback that does not apply when the balance exceeds the total (§ 210.10(d)). The RDFI keeps state-law and contract recovery rights (§ 210.12(a)).</w:t>
            </w:r>
          </w:p>
        </w:tc>
        <w:tc>
          <w:tcPr/>
          <w:p>
            <w:pPr>
              <w:pStyle w:val="Compact"/>
            </w:pPr>
            <w:r>
              <w:t xml:space="preserve">Add facts</w:t>
            </w:r>
            <w:r>
              <w:t xml:space="preserve"> </w:t>
            </w:r>
            <w:r>
              <w:rPr>
                <w:rStyle w:val="VerbatimChar"/>
              </w:rPr>
              <w:t xml:space="preserve">federal_benefit_credits_after_death</w:t>
            </w:r>
            <w:r>
              <w:t xml:space="preserve"> </w:t>
            </w:r>
            <w:r>
              <w:t xml:space="preserve">(amount) and</w:t>
            </w:r>
            <w:r>
              <w:t xml:space="preserve"> </w:t>
            </w:r>
            <w:r>
              <w:rPr>
                <w:rStyle w:val="VerbatimChar"/>
              </w:rPr>
              <w:t xml:space="preserve">reclamation_notice_received</w:t>
            </w:r>
            <w:r>
              <w:t xml:space="preserve">. If credits exist: subtract them from the payable amount and require a "return to agency" step, or return</w:t>
            </w:r>
            <w:r>
              <w:t xml:space="preserve"> </w:t>
            </w:r>
            <w:r>
              <w:rPr>
                <w:rStyle w:val="VerbatimChar"/>
              </w:rPr>
              <w:t xml:space="preserve">not_determinable</w:t>
            </w:r>
            <w:r>
              <w:t xml:space="preserve">. If a reclamation notice is pending: return</w:t>
            </w:r>
            <w:r>
              <w:t xml:space="preserve"> </w:t>
            </w:r>
            <w:r>
              <w:rPr>
                <w:rStyle w:val="VerbatimChar"/>
              </w:rPr>
              <w:t xml:space="preserve">not_determinable</w:t>
            </w:r>
            <w:r>
              <w:t xml:space="preserve">. The institution must record who received each payout (§ 210.11(b)(3)). Because the engine logs no PII, this record must live in the institution's systems.</w:t>
            </w:r>
          </w:p>
        </w:tc>
      </w:tr>
      <w:tr>
        <w:tc>
          <w:tcPr/>
          <w:p>
            <w:pPr>
              <w:pStyle w:val="Compact"/>
            </w:pPr>
            <w:r>
              <w:t xml:space="preserve">R8</w:t>
            </w:r>
          </w:p>
        </w:tc>
        <w:tc>
          <w:tcPr/>
          <w:p>
            <w:pPr>
              <w:pStyle w:val="Compact"/>
            </w:pPr>
            <w:r>
              <w:rPr>
                <w:b/>
                <w:bCs/>
              </w:rPr>
              <w:t xml:space="preserve">IRS levy</w:t>
            </w:r>
            <w:r>
              <w:t xml:space="preserve"> </w:t>
            </w:r>
            <w:r>
              <w:t xml:space="preserve">on the decedent's or the payee's funds.</w:t>
            </w:r>
          </w:p>
        </w:tc>
        <w:tc>
          <w:tcPr/>
          <w:p>
            <w:pPr>
              <w:pStyle w:val="Compact"/>
            </w:pPr>
            <w:r>
              <w:t xml:space="preserve">H</w:t>
            </w:r>
          </w:p>
        </w:tc>
        <w:tc>
          <w:tcPr/>
          <w:p>
            <w:pPr>
              <w:pStyle w:val="Compact"/>
            </w:pPr>
            <w:r>
              <w:t xml:space="preserve">L</w:t>
            </w:r>
          </w:p>
        </w:tc>
        <w:tc>
          <w:tcPr/>
          <w:p>
            <w:pPr>
              <w:pStyle w:val="Compact"/>
            </w:pPr>
            <w:r>
              <w:rPr>
                <w:b/>
                <w:bCs/>
              </w:rPr>
              <w:t xml:space="preserve">Statute says:</w:t>
            </w:r>
            <w:r>
              <w:t xml:space="preserve"> </w:t>
            </w:r>
            <w:r>
              <w:t xml:space="preserve">a person in possession "shall, upon demand of the Secretary, surrender such property" (26 U.S.C. § 6332(a)). "Any bank … shall surrender … any deposits … only after 21 days after service of levy" (§ 6332(c)). Failing to surrender brings personal liability plus a "penalty equal to 50 percent" (§ 6332(d)). Honoring the levy discharges the bank "from any obligation or liability to the delinquent taxpayer and any other person" (§ 6332(e)) (</w:t>
            </w:r>
            <w:hyperlink r:id="rId26">
              <w:r>
                <w:rPr>
                  <w:rStyle w:val="Hyperlink"/>
                </w:rPr>
                <w:t xml:space="preserve">https://www.govinfo.gov/link/uscode/26/6332?link-type=html</w:t>
              </w:r>
            </w:hyperlink>
            <w:r>
              <w:t xml:space="preserve">).</w:t>
            </w:r>
            <w:r>
              <w:t xml:space="preserve"> </w:t>
            </w:r>
            <w:r>
              <w:rPr>
                <w:b/>
                <w:bCs/>
              </w:rPr>
              <w:t xml:space="preserve">Regulation says:</w:t>
            </w:r>
            <w:r>
              <w:t xml:space="preserve"> </w:t>
            </w:r>
            <w:r>
              <w:t xml:space="preserve">the discharge also covers surrender of a joint account where the taxpayer had "an unrestricted right to withdraw" (26 CFR § 301.6332-1(c), Example 1,</w:t>
            </w:r>
            <w:r>
              <w:t xml:space="preserve"> </w:t>
            </w:r>
            <w:hyperlink r:id="rId27">
              <w:r>
                <w:rPr>
                  <w:rStyle w:val="Hyperlink"/>
                </w:rPr>
                <w:t xml:space="preserve">https://www.ecfr.gov/current/title-26/section-301.6332-1</w:t>
              </w:r>
            </w:hyperlink>
            <w:r>
              <w:t xml:space="preserve">).</w:t>
            </w:r>
          </w:p>
        </w:tc>
        <w:tc>
          <w:tcPr/>
          <w:p>
            <w:pPr>
              <w:pStyle w:val="Compact"/>
            </w:pPr>
            <w:r>
              <w:t xml:space="preserve">Add</w:t>
            </w:r>
            <w:r>
              <w:t xml:space="preserve"> </w:t>
            </w:r>
            <w:r>
              <w:rPr>
                <w:rStyle w:val="VerbatimChar"/>
              </w:rPr>
              <w:t xml:space="preserve">tax_levy_served</w:t>
            </w:r>
            <w:r>
              <w:t xml:space="preserve"> </w:t>
            </w:r>
            <w:r>
              <w:t xml:space="preserve">(and its date). If true:</w:t>
            </w:r>
            <w:r>
              <w:t xml:space="preserve"> </w:t>
            </w:r>
            <w:r>
              <w:rPr>
                <w:rStyle w:val="VerbatimChar"/>
              </w:rPr>
              <w:t xml:space="preserve">not_determinable</w:t>
            </w:r>
            <w:r>
              <w:t xml:space="preserve"> </w:t>
            </w:r>
            <w:r>
              <w:t xml:space="preserve">for the amount levied, with a 21-day hold.</w:t>
            </w:r>
          </w:p>
        </w:tc>
      </w:tr>
      <w:tr>
        <w:tc>
          <w:tcPr/>
          <w:p>
            <w:pPr>
              <w:pStyle w:val="Compact"/>
            </w:pPr>
            <w:r>
              <w:t xml:space="preserve">R9</w:t>
            </w:r>
          </w:p>
        </w:tc>
        <w:tc>
          <w:tcPr/>
          <w:p>
            <w:pPr>
              <w:pStyle w:val="Compact"/>
            </w:pPr>
            <w:r>
              <w:rPr>
                <w:b/>
                <w:bCs/>
              </w:rPr>
              <w:t xml:space="preserve">Federal tax liens and estate-tax transferee liability.</w:t>
            </w:r>
          </w:p>
        </w:tc>
        <w:tc>
          <w:tcPr/>
          <w:p>
            <w:pPr>
              <w:pStyle w:val="Compact"/>
            </w:pPr>
            <w:r>
              <w:t xml:space="preserve">L</w:t>
            </w:r>
          </w:p>
        </w:tc>
        <w:tc>
          <w:tcPr/>
          <w:p>
            <w:pPr>
              <w:pStyle w:val="Compact"/>
            </w:pPr>
            <w:r>
              <w:t xml:space="preserve">L</w:t>
            </w:r>
          </w:p>
        </w:tc>
        <w:tc>
          <w:tcPr/>
          <w:p>
            <w:pPr>
              <w:pStyle w:val="Compact"/>
            </w:pPr>
            <w:r>
              <w:rPr>
                <w:b/>
                <w:bCs/>
              </w:rPr>
              <w:t xml:space="preserve">Statute says:</w:t>
            </w:r>
            <w:r>
              <w:t xml:space="preserve"> </w:t>
            </w:r>
            <w:r>
              <w:t xml:space="preserve">an unpaid tax "shall be a lien … upon all property and rights to property" of the taxpayer (26 U.S.C. § 6321). The estate tax is a lien on the gross estate "for 10 years from the date of death" (§ 6324(a)(1)). If it goes unpaid, the "spouse, transferee, … surviving tenant, … or beneficiary" receiving the property "shall be personally liable" (§ 6324(a)(2)) (</w:t>
            </w:r>
            <w:hyperlink r:id="rId28">
              <w:r>
                <w:rPr>
                  <w:rStyle w:val="Hyperlink"/>
                </w:rPr>
                <w:t xml:space="preserve">https://www.govinfo.gov/link/uscode/26/6324?link-type=html</w:t>
              </w:r>
            </w:hyperlink>
            <w:r>
              <w:t xml:space="preserve">). "Executor" includes, where none is appointed, "any person in actual or constructive possession of any property of the decedent" (§ 2203).</w:t>
            </w:r>
            <w:r>
              <w:t xml:space="preserve"> </w:t>
            </w:r>
            <w:r>
              <w:rPr>
                <w:b/>
                <w:bCs/>
              </w:rPr>
              <w:t xml:space="preserve">Reviewer inference:</w:t>
            </w:r>
            <w:r>
              <w:t xml:space="preserve"> </w:t>
            </w:r>
            <w:r>
              <w:t xml:space="preserve">a lien alone, without a levy, does not appear to require the bank to withhold payment. Whether § 2203 could make a bank holding an unclaimed balance a statutory "executor" needs attorney review.</w:t>
            </w:r>
          </w:p>
        </w:tc>
        <w:tc>
          <w:tcPr/>
          <w:p>
            <w:pPr>
              <w:pStyle w:val="Compact"/>
            </w:pPr>
            <w:r>
              <w:t xml:space="preserve">No engine change. Add a note on the decision record that the recipient may owe estate tax. Attorney to confirm the § 2203 point.</w:t>
            </w:r>
          </w:p>
        </w:tc>
      </w:tr>
      <w:tr>
        <w:tc>
          <w:tcPr/>
          <w:p>
            <w:pPr>
              <w:pStyle w:val="Compact"/>
            </w:pPr>
            <w:r>
              <w:t xml:space="preserve">R10</w:t>
            </w:r>
          </w:p>
        </w:tc>
        <w:tc>
          <w:tcPr/>
          <w:p>
            <w:pPr>
              <w:pStyle w:val="Compact"/>
            </w:pPr>
            <w:r>
              <w:rPr>
                <w:b/>
                <w:bCs/>
              </w:rPr>
              <w:t xml:space="preserve">Estate-tax transfer certificate</w:t>
            </w:r>
            <w:r>
              <w:t xml:space="preserve"> </w:t>
            </w:r>
            <w:r>
              <w:t xml:space="preserve">when the decedent was a nonresident non-citizen.</w:t>
            </w:r>
          </w:p>
        </w:tc>
        <w:tc>
          <w:tcPr/>
          <w:p>
            <w:pPr>
              <w:pStyle w:val="Compact"/>
            </w:pPr>
            <w:r>
              <w:t xml:space="preserve">M</w:t>
            </w:r>
          </w:p>
        </w:tc>
        <w:tc>
          <w:tcPr/>
          <w:p>
            <w:pPr>
              <w:pStyle w:val="Compact"/>
            </w:pPr>
            <w:r>
              <w:t xml:space="preserve">L</w:t>
            </w:r>
          </w:p>
        </w:tc>
        <w:tc>
          <w:tcPr/>
          <w:p>
            <w:pPr>
              <w:pStyle w:val="Compact"/>
            </w:pPr>
            <w:r>
              <w:rPr>
                <w:b/>
                <w:bCs/>
              </w:rPr>
              <w:t xml:space="preserve">Regulation says:</w:t>
            </w:r>
            <w:r>
              <w:t xml:space="preserve"> </w:t>
            </w:r>
            <w:r>
              <w:t xml:space="preserve">"banks, trust companies, or other custodians" dealing with property of a nonresident decedent need a transfer certificate, except where "the value … of that part of the decedent's gross estate situated in the United States did not exceed … $60,000". They are protected if they first receive a statement of facts from "the executor or other responsible person" (26 CFR § 20.6325-1(a), (b)(1)(i), (b)(3),</w:t>
            </w:r>
            <w:r>
              <w:t xml:space="preserve"> </w:t>
            </w:r>
            <w:hyperlink r:id="rId29">
              <w:r>
                <w:rPr>
                  <w:rStyle w:val="Hyperlink"/>
                </w:rPr>
                <w:t xml:space="preserve">https://www.ecfr.gov/current/title-26/section-20.6325-1</w:t>
              </w:r>
            </w:hyperlink>
            <w:r>
              <w:t xml:space="preserve">). "No transfer certificate is required in an estate of a resident decedent" (§ 20.6325-1(c)). Note: CA § 13106(b) relieves holders only of</w:t>
            </w:r>
            <w:r>
              <w:t xml:space="preserve"> </w:t>
            </w:r>
            <w:r>
              <w:rPr>
                <w:b/>
                <w:bCs/>
              </w:rPr>
              <w:t xml:space="preserve">state</w:t>
            </w:r>
            <w:r>
              <w:t xml:space="preserve"> </w:t>
            </w:r>
            <w:r>
              <w:t xml:space="preserve">taxes.</w:t>
            </w:r>
          </w:p>
        </w:tc>
        <w:tc>
          <w:tcPr/>
          <w:p>
            <w:pPr>
              <w:pStyle w:val="Compact"/>
            </w:pPr>
            <w:r>
              <w:t xml:space="preserve">Add</w:t>
            </w:r>
            <w:r>
              <w:t xml:space="preserve"> </w:t>
            </w:r>
            <w:r>
              <w:rPr>
                <w:rStyle w:val="VerbatimChar"/>
              </w:rPr>
              <w:t xml:space="preserve">decedent_us_resident_for_estate_tax</w:t>
            </w:r>
            <w:r>
              <w:t xml:space="preserve"> </w:t>
            </w:r>
            <w:r>
              <w:t xml:space="preserve">(bool or null). If false, require the transfer certificate or the § 20.6325-1(b)(3) statement as a document. If null, return</w:t>
            </w:r>
            <w:r>
              <w:t xml:space="preserve"> </w:t>
            </w:r>
            <w:r>
              <w:rPr>
                <w:rStyle w:val="VerbatimChar"/>
              </w:rPr>
              <w:t xml:space="preserve">not_determinable</w:t>
            </w:r>
            <w:r>
              <w:t xml:space="preserve">.</w:t>
            </w:r>
          </w:p>
        </w:tc>
      </w:tr>
      <w:tr>
        <w:tc>
          <w:tcPr/>
          <w:p>
            <w:pPr>
              <w:pStyle w:val="Compact"/>
            </w:pPr>
            <w:r>
              <w:t xml:space="preserve">R11</w:t>
            </w:r>
          </w:p>
        </w:tc>
        <w:tc>
          <w:tcPr/>
          <w:p>
            <w:pPr>
              <w:pStyle w:val="Compact"/>
            </w:pPr>
            <w:r>
              <w:rPr>
                <w:b/>
                <w:bCs/>
              </w:rPr>
              <w:t xml:space="preserve">OFAC.</w:t>
            </w:r>
            <w:r>
              <w:t xml:space="preserve"> </w:t>
            </w:r>
            <w:r>
              <w:t xml:space="preserve">The payee, an affiant, or the decedent is a blocked person.</w:t>
            </w:r>
          </w:p>
        </w:tc>
        <w:tc>
          <w:tcPr/>
          <w:p>
            <w:pPr>
              <w:pStyle w:val="Compact"/>
            </w:pPr>
            <w:r>
              <w:t xml:space="preserve">H</w:t>
            </w:r>
          </w:p>
        </w:tc>
        <w:tc>
          <w:tcPr/>
          <w:p>
            <w:pPr>
              <w:pStyle w:val="Compact"/>
            </w:pPr>
            <w:r>
              <w:t xml:space="preserve">L</w:t>
            </w:r>
          </w:p>
        </w:tc>
        <w:tc>
          <w:tcPr/>
          <w:p>
            <w:pPr>
              <w:pStyle w:val="Compact"/>
            </w:pPr>
            <w:r>
              <w:rPr>
                <w:b/>
                <w:bCs/>
              </w:rPr>
              <w:t xml:space="preserve">Regulation says (example program):</w:t>
            </w:r>
            <w:r>
              <w:t xml:space="preserve"> </w:t>
            </w:r>
            <w:r>
              <w:t xml:space="preserve">property of listed persons that comes within the possession of U.S. persons is "blocked and may not be transferred, paid, exported, withdrawn or otherwise dealt in" (31 CFR § 594.201(a),</w:t>
            </w:r>
            <w:r>
              <w:t xml:space="preserve"> </w:t>
            </w:r>
            <w:hyperlink r:id="rId30">
              <w:r>
                <w:rPr>
                  <w:rStyle w:val="Hyperlink"/>
                </w:rPr>
                <w:t xml:space="preserve">https://www.ecfr.gov/current/title-31/section-594.201</w:t>
              </w:r>
            </w:hyperlink>
            <w:r>
              <w:t xml:space="preserve">). Blocking reports are due "within 10 business days from the date that property becomes blocked" (31 CFR § 501.603(b)(1)(i)).</w:t>
            </w:r>
          </w:p>
        </w:tc>
        <w:tc>
          <w:tcPr/>
          <w:p>
            <w:pPr>
              <w:pStyle w:val="Compact"/>
            </w:pPr>
            <w:r>
              <w:t xml:space="preserve">The engine cannot screen, because it holds no names. Every</w:t>
            </w:r>
            <w:r>
              <w:t xml:space="preserve"> </w:t>
            </w:r>
            <w:r>
              <w:rPr>
                <w:rStyle w:val="VerbatimChar"/>
              </w:rPr>
              <w:t xml:space="preserve">determined</w:t>
            </w:r>
            <w:r>
              <w:t xml:space="preserve"> </w:t>
            </w:r>
            <w:r>
              <w:t xml:space="preserve">decision should list "sanctions screening of each payee cleared" as a required institution step. Add an</w:t>
            </w:r>
            <w:r>
              <w:t xml:space="preserve"> </w:t>
            </w:r>
            <w:r>
              <w:rPr>
                <w:rStyle w:val="VerbatimChar"/>
              </w:rPr>
              <w:t xml:space="preserve">ofac_hit</w:t>
            </w:r>
            <w:r>
              <w:t xml:space="preserve"> </w:t>
            </w:r>
            <w:r>
              <w:t xml:space="preserve">fact that forces</w:t>
            </w:r>
            <w:r>
              <w:t xml:space="preserve"> </w:t>
            </w:r>
            <w:r>
              <w:rPr>
                <w:rStyle w:val="VerbatimChar"/>
              </w:rPr>
              <w:t xml:space="preserve">not_determinable</w:t>
            </w:r>
            <w:r>
              <w:t xml:space="preserve">.</w:t>
            </w:r>
          </w:p>
        </w:tc>
      </w:tr>
      <w:tr>
        <w:tc>
          <w:tcPr/>
          <w:p>
            <w:pPr>
              <w:pStyle w:val="Compact"/>
            </w:pPr>
            <w:r>
              <w:t xml:space="preserve">R15</w:t>
            </w:r>
          </w:p>
        </w:tc>
        <w:tc>
          <w:tcPr/>
          <w:p>
            <w:pPr>
              <w:pStyle w:val="Compact"/>
            </w:pPr>
            <w:r>
              <w:rPr>
                <w:b/>
                <w:bCs/>
              </w:rPr>
              <w:t xml:space="preserve">Medicaid estate recovery.</w:t>
            </w:r>
          </w:p>
        </w:tc>
        <w:tc>
          <w:tcPr/>
          <w:p>
            <w:pPr>
              <w:pStyle w:val="Compact"/>
            </w:pPr>
            <w:r>
              <w:t xml:space="preserve">M</w:t>
            </w:r>
          </w:p>
        </w:tc>
        <w:tc>
          <w:tcPr/>
          <w:p>
            <w:pPr>
              <w:pStyle w:val="Compact"/>
            </w:pPr>
            <w:r>
              <w:t xml:space="preserve">M</w:t>
            </w:r>
          </w:p>
        </w:tc>
        <w:tc>
          <w:tcPr/>
          <w:p>
            <w:pPr>
              <w:pStyle w:val="Compact"/>
            </w:pPr>
            <w:r>
              <w:rPr>
                <w:b/>
                <w:bCs/>
              </w:rPr>
              <w:t xml:space="preserve">Statute says:</w:t>
            </w:r>
            <w:r>
              <w:t xml:space="preserve"> </w:t>
            </w:r>
            <w:r>
              <w:t xml:space="preserve">"estate" for recovery may include, "at the option of the State, … assets conveyed to a survivor … through joint tenancy, … survivorship, … living trust, or other arrangement" (42 U.S.C. § 1396p(b)(4)(B),</w:t>
            </w:r>
            <w:r>
              <w:t xml:space="preserve"> </w:t>
            </w:r>
            <w:hyperlink r:id="rId31">
              <w:r>
                <w:rPr>
                  <w:rStyle w:val="Hyperlink"/>
                </w:rPr>
                <w:t xml:space="preserve">https://www.govinfo.gov/link/uscode/42/1396p?link-type=html</w:t>
              </w:r>
            </w:hyperlink>
            <w:r>
              <w:t xml:space="preserve">).</w:t>
            </w:r>
            <w:r>
              <w:t xml:space="preserve"> </w:t>
            </w:r>
            <w:r>
              <w:rPr>
                <w:b/>
                <w:bCs/>
              </w:rPr>
              <w:t xml:space="preserve">WA</w:t>
            </w:r>
            <w:r>
              <w:t xml:space="preserve"> </w:t>
            </w:r>
            <w:r>
              <w:t xml:space="preserve">chose that option: recovery "from the individual's estate, and from nonprobate assets" (RCW 43.20B.080(3),</w:t>
            </w:r>
            <w:r>
              <w:t xml:space="preserve"> </w:t>
            </w:r>
            <w:hyperlink r:id="rId32">
              <w:r>
                <w:rPr>
                  <w:rStyle w:val="Hyperlink"/>
                </w:rPr>
                <w:t xml:space="preserve">https://app.leg.wa.gov/RCW/default.aspx?cite=43.20B.080&amp;full=true</w:t>
              </w:r>
            </w:hyperlink>
            <w:r>
              <w:t xml:space="preserve">).</w:t>
            </w:r>
            <w:r>
              <w:t xml:space="preserve"> </w:t>
            </w:r>
            <w:r>
              <w:rPr>
                <w:b/>
                <w:bCs/>
              </w:rPr>
              <w:t xml:space="preserve">CA</w:t>
            </w:r>
            <w:r>
              <w:t xml:space="preserve"> </w:t>
            </w:r>
            <w:r>
              <w:t xml:space="preserve">limits "Estate" to "the individual's probate estate" for deaths on or after 2017-01-01 (Welf. &amp; Inst. Code § 14009.5, mirror says updated 2016-06-27,</w:t>
            </w:r>
            <w:r>
              <w:t xml:space="preserve"> </w:t>
            </w:r>
            <w:hyperlink r:id="rId33">
              <w:r>
                <w:rPr>
                  <w:rStyle w:val="Hyperlink"/>
                </w:rPr>
                <w:t xml:space="preserve">https://california.public.law/codes/welfare_and_institutions_code_section_14009.5</w:t>
              </w:r>
            </w:hyperlink>
            <w:r>
              <w:t xml:space="preserve">).</w:t>
            </w:r>
            <w:r>
              <w:t xml:space="preserve"> </w:t>
            </w:r>
            <w:r>
              <w:rPr>
                <w:b/>
                <w:bCs/>
              </w:rPr>
              <w:t xml:space="preserve">CA notice duty:</w:t>
            </w:r>
            <w:r>
              <w:t xml:space="preserve"> </w:t>
            </w:r>
            <w:r>
              <w:t xml:space="preserve">for Medi-Cal decedents, "the beneficiary, the personal representative, or the person in possession of property of the decedent shall give the Director … notice … not later than 90 days after the date of death" (Prob. Code § 215,</w:t>
            </w:r>
            <w:r>
              <w:t xml:space="preserve"> </w:t>
            </w:r>
            <w:hyperlink r:id="rId34">
              <w:r>
                <w:rPr>
                  <w:rStyle w:val="Hyperlink"/>
                </w:rPr>
                <w:t xml:space="preserve">https://california.public.law/codes/probate_code_section_215</w:t>
              </w:r>
            </w:hyperlink>
            <w:r>
              <w:t xml:space="preserve">).</w:t>
            </w:r>
          </w:p>
        </w:tc>
        <w:tc>
          <w:tcPr/>
          <w:p>
            <w:pPr>
              <w:pStyle w:val="Compact"/>
            </w:pPr>
            <w:r>
              <w:t xml:space="preserve">Recovery runs mainly against the recipients, and the bank's discharges still apply.</w:t>
            </w:r>
            <w:r>
              <w:t xml:space="preserve"> </w:t>
            </w:r>
            <w:r>
              <w:rPr>
                <w:b/>
                <w:bCs/>
              </w:rPr>
              <w:t xml:space="preserve">Attorney question:</w:t>
            </w:r>
            <w:r>
              <w:t xml:space="preserve"> </w:t>
            </w:r>
            <w:r>
              <w:t xml:space="preserve">can a bank holding a CA decedent's account be "the person in possession" under § 215? If so, add a process step. WA: the DSHS mailing on Path B is already W6.</w:t>
            </w:r>
          </w:p>
        </w:tc>
      </w:tr>
      <w:tr>
        <w:tc>
          <w:tcPr/>
          <w:p>
            <w:pPr>
              <w:pStyle w:val="Compact"/>
            </w:pPr>
            <w:r>
              <w:t xml:space="preserve">R16</w:t>
            </w:r>
          </w:p>
        </w:tc>
        <w:tc>
          <w:tcPr/>
          <w:p>
            <w:pPr>
              <w:pStyle w:val="Compact"/>
            </w:pPr>
            <w:r>
              <w:rPr>
                <w:b/>
                <w:bCs/>
              </w:rPr>
              <w:t xml:space="preserve">Federal preemption</w:t>
            </w:r>
            <w:r>
              <w:t xml:space="preserve"> </w:t>
            </w:r>
            <w:r>
              <w:t xml:space="preserve">for national banks and federal savings associations.</w:t>
            </w:r>
          </w:p>
        </w:tc>
        <w:tc>
          <w:tcPr/>
          <w:p>
            <w:pPr>
              <w:pStyle w:val="Compact"/>
            </w:pPr>
            <w:r>
              <w:t xml:space="preserve">L</w:t>
            </w:r>
          </w:p>
        </w:tc>
        <w:tc>
          <w:tcPr/>
          <w:p>
            <w:pPr>
              <w:pStyle w:val="Compact"/>
            </w:pPr>
            <w:r>
              <w:t xml:space="preserve">L</w:t>
            </w:r>
          </w:p>
        </w:tc>
        <w:tc>
          <w:tcPr/>
          <w:p>
            <w:pPr>
              <w:pStyle w:val="Compact"/>
            </w:pPr>
            <w:r>
              <w:rPr>
                <w:b/>
                <w:bCs/>
              </w:rPr>
              <w:t xml:space="preserve">Regulation says:</w:t>
            </w:r>
            <w:r>
              <w:t xml:space="preserve"> </w:t>
            </w:r>
            <w:r>
              <w:t xml:space="preserve">state laws on "Contracts", "Torts", "Rights to collect debts", and "Acquisition and transfer of property" are "not inconsistent with the deposit-taking powers of national banks" (12 CFR § 7.4007(c)). Footnote 3 preserves state laws "which obligate a national bank to 'pay [deposits] to the persons entitled to demand payment according to the law of the state where it does business'" (</w:t>
            </w:r>
            <w:hyperlink r:id="rId17">
              <w:r>
                <w:rPr>
                  <w:rStyle w:val="Hyperlink"/>
                </w:rPr>
                <w:t xml:space="preserve">https://www.ecfr.gov/current/title-12/section-7.4007</w:t>
              </w:r>
            </w:hyperlink>
            <w:r>
              <w:t xml:space="preserve">). Federal savings associations follow the same standards (12 CFR § 7.4010(a)).</w:t>
            </w:r>
            <w:r>
              <w:t xml:space="preserve"> </w:t>
            </w:r>
            <w:r>
              <w:rPr>
                <w:b/>
                <w:bCs/>
              </w:rPr>
              <w:t xml:space="preserve">Statute says:</w:t>
            </w:r>
            <w:r>
              <w:t xml:space="preserve"> </w:t>
            </w:r>
            <w:r>
              <w:t xml:space="preserve">a "State consumer financial law" is preempted only if it is discriminatory, or "prevents or significantly interferes with the exercise by the national bank of its powers" under</w:t>
            </w:r>
            <w:r>
              <w:t xml:space="preserve"> </w:t>
            </w:r>
            <w:r>
              <w:rPr>
                <w:i/>
                <w:iCs/>
              </w:rPr>
              <w:t xml:space="preserve">Barnett</w:t>
            </w:r>
            <w:r>
              <w:t xml:space="preserve"> </w:t>
            </w:r>
            <w:r>
              <w:t xml:space="preserve">(12 U.S.C. § 25b(b)(1),</w:t>
            </w:r>
            <w:r>
              <w:t xml:space="preserve"> </w:t>
            </w:r>
            <w:hyperlink r:id="rId35">
              <w:r>
                <w:rPr>
                  <w:rStyle w:val="Hyperlink"/>
                </w:rPr>
                <w:t xml:space="preserve">https://www.govinfo.gov/link/uscode/12/25b?link-type=html</w:t>
              </w:r>
            </w:hyperlink>
            <w:r>
              <w:t xml:space="preserve">).</w:t>
            </w:r>
            <w:r>
              <w:t xml:space="preserve"> </w:t>
            </w:r>
            <w:r>
              <w:rPr>
                <w:i/>
                <w:iCs/>
              </w:rPr>
              <w:t xml:space="preserve">Cantero v. Bank of America</w:t>
            </w:r>
            <w:r>
              <w:t xml:space="preserve">, 602 U.S. 205 (2024), was located; its holding was not read (UNVERIFIED). No OCC interpretive letter on deceased-depositor payouts was located.</w:t>
            </w:r>
          </w:p>
        </w:tc>
        <w:tc>
          <w:tcPr/>
          <w:p>
            <w:pPr>
              <w:pStyle w:val="Compact"/>
            </w:pPr>
            <w:r>
              <w:t xml:space="preserve">Treat CA and WA account and succession statutes as applying to national banks and federal savings associations. Attorney to confirm, particularly for CA § 13105(b) fee-shifting.</w:t>
            </w:r>
          </w:p>
        </w:tc>
      </w:tr>
      <w:tr>
        <w:tc>
          <w:tcPr/>
          <w:p>
            <w:pPr>
              <w:pStyle w:val="Compact"/>
            </w:pPr>
            <w:r>
              <w:t xml:space="preserve">R17</w:t>
            </w:r>
          </w:p>
        </w:tc>
        <w:tc>
          <w:tcPr/>
          <w:p>
            <w:pPr>
              <w:pStyle w:val="Compact"/>
            </w:pPr>
            <w:r>
              <w:rPr>
                <w:b/>
                <w:bCs/>
              </w:rPr>
              <w:t xml:space="preserve">Federal credit unions.</w:t>
            </w:r>
          </w:p>
        </w:tc>
        <w:tc>
          <w:tcPr/>
          <w:p>
            <w:pPr>
              <w:pStyle w:val="Compact"/>
            </w:pPr>
            <w:r>
              <w:t xml:space="preserve">L</w:t>
            </w:r>
          </w:p>
        </w:tc>
        <w:tc>
          <w:tcPr/>
          <w:p>
            <w:pPr>
              <w:pStyle w:val="Compact"/>
            </w:pPr>
            <w:r>
              <w:t xml:space="preserve">L</w:t>
            </w:r>
          </w:p>
        </w:tc>
        <w:tc>
          <w:tcPr/>
          <w:p>
            <w:pPr>
              <w:pStyle w:val="Compact"/>
            </w:pPr>
            <w:r>
              <w:rPr>
                <w:b/>
                <w:bCs/>
              </w:rPr>
              <w:t xml:space="preserve">Regulation says:</w:t>
            </w:r>
            <w:r>
              <w:t xml:space="preserve"> </w:t>
            </w:r>
            <w:r>
              <w:t xml:space="preserve">12 CFR § 701.35 now contains only (a) authority and (b) accurate representation, amended 91 FR 34733 (June 9, 2026). No preemption statement appears (</w:t>
            </w:r>
            <w:hyperlink r:id="rId36">
              <w:r>
                <w:rPr>
                  <w:rStyle w:val="Hyperlink"/>
                </w:rPr>
                <w:t xml:space="preserve">https://www.ecfr.gov/current/title-12/section-701.35</w:t>
              </w:r>
            </w:hyperlink>
            <w:r>
              <w:t xml:space="preserve">).</w:t>
            </w:r>
            <w:r>
              <w:t xml:space="preserve"> </w:t>
            </w:r>
            <w:r>
              <w:rPr>
                <w:b/>
                <w:bCs/>
              </w:rPr>
              <w:t xml:space="preserve">Statute says (WA):</w:t>
            </w:r>
            <w:r>
              <w:t xml:space="preserve"> </w:t>
            </w:r>
            <w:r>
              <w:t xml:space="preserve">RCW 11.62.030 applies to "any credit union organized under chapter 31.12 RCW or federal law".</w:t>
            </w:r>
          </w:p>
        </w:tc>
        <w:tc>
          <w:tcPr/>
          <w:p>
            <w:pPr>
              <w:pStyle w:val="Compact"/>
            </w:pPr>
            <w:r>
              <w:t xml:space="preserve">Treat state law as applying to federal credit unions. Record the institution type in policy (W11 already tracks this).</w:t>
            </w:r>
          </w:p>
        </w:tc>
      </w:tr>
      <w:tr>
        <w:tc>
          <w:tcPr/>
          <w:p>
            <w:pPr>
              <w:pStyle w:val="Compact"/>
            </w:pPr>
            <w:r>
              <w:t xml:space="preserve">R18</w:t>
            </w:r>
          </w:p>
        </w:tc>
        <w:tc>
          <w:tcPr/>
          <w:p>
            <w:pPr>
              <w:pStyle w:val="Compact"/>
            </w:pPr>
            <w:r>
              <w:rPr>
                <w:b/>
                <w:bCs/>
              </w:rPr>
              <w:t xml:space="preserve">FDIC and NCUA ownership categories are not ownership.</w:t>
            </w:r>
          </w:p>
        </w:tc>
        <w:tc>
          <w:tcPr/>
          <w:p>
            <w:pPr>
              <w:pStyle w:val="Compact"/>
            </w:pPr>
            <w:r>
              <w:t xml:space="preserve">L</w:t>
            </w:r>
          </w:p>
        </w:tc>
        <w:tc>
          <w:tcPr/>
          <w:p>
            <w:pPr>
              <w:pStyle w:val="Compact"/>
            </w:pPr>
            <w:r>
              <w:t xml:space="preserve">L</w:t>
            </w:r>
          </w:p>
        </w:tc>
        <w:tc>
          <w:tcPr/>
          <w:p>
            <w:pPr>
              <w:pStyle w:val="Compact"/>
            </w:pPr>
            <w:r>
              <w:rPr>
                <w:b/>
                <w:bCs/>
              </w:rPr>
              <w:t xml:space="preserve">Regulation says:</w:t>
            </w:r>
            <w:r>
              <w:t xml:space="preserve"> </w:t>
            </w:r>
            <w:r>
              <w:t xml:space="preserve">"ownership under state law … is not sufficient for, or decisive in, determining deposit insurance coverage" (12 CFR § 330.3(h)). There is a six-month grace period after death "unless the deposit account is restructured" (§ 330.3(j),</w:t>
            </w:r>
            <w:r>
              <w:t xml:space="preserve"> </w:t>
            </w:r>
            <w:hyperlink r:id="rId37">
              <w:r>
                <w:rPr>
                  <w:rStyle w:val="Hyperlink"/>
                </w:rPr>
                <w:t xml:space="preserve">https://www.ecfr.gov/current/title-12/section-330.3</w:t>
              </w:r>
            </w:hyperlink>
            <w:r>
              <w:t xml:space="preserve">). Trust coverage is per beneficiary up to five (§ 330.10(b)(1), 87 FR 4470). NCUA's trust-account amendments (89 FR 79397) take effect</w:t>
            </w:r>
            <w:r>
              <w:t xml:space="preserve"> </w:t>
            </w:r>
            <w:r>
              <w:rPr>
                <w:b/>
                <w:bCs/>
              </w:rPr>
              <w:t xml:space="preserve">2026-12-01</w:t>
            </w:r>
            <w:r>
              <w:t xml:space="preserve"> </w:t>
            </w:r>
            <w:r>
              <w:t xml:space="preserve">(Federal Register API record for doc. 2024-21888).</w:t>
            </w:r>
          </w:p>
        </w:tc>
        <w:tc>
          <w:tcPr/>
          <w:p>
            <w:pPr>
              <w:pStyle w:val="Compact"/>
            </w:pPr>
            <w:r>
              <w:t xml:space="preserve">Never derive payees from insurance categories. No engine change.</w:t>
            </w:r>
          </w:p>
        </w:tc>
      </w:tr>
      <w:tr>
        <w:tc>
          <w:tcPr/>
          <w:p>
            <w:pPr>
              <w:pStyle w:val="Compact"/>
            </w:pPr>
            <w:r>
              <w:t xml:space="preserve">R19</w:t>
            </w:r>
          </w:p>
        </w:tc>
        <w:tc>
          <w:tcPr/>
          <w:p>
            <w:pPr>
              <w:pStyle w:val="Compact"/>
            </w:pPr>
            <w:r>
              <w:rPr>
                <w:b/>
                <w:bCs/>
              </w:rPr>
              <w:t xml:space="preserve">Bank Secrecy Act: CIP, SAR, CTR, and records</w:t>
            </w:r>
            <w:r>
              <w:t xml:space="preserve"> </w:t>
            </w:r>
            <w:r>
              <w:t xml:space="preserve">for successors and payees.</w:t>
            </w:r>
          </w:p>
        </w:tc>
        <w:tc>
          <w:tcPr/>
          <w:p>
            <w:pPr>
              <w:pStyle w:val="Compact"/>
            </w:pPr>
            <w:r>
              <w:t xml:space="preserve">M</w:t>
            </w:r>
          </w:p>
        </w:tc>
        <w:tc>
          <w:tcPr/>
          <w:p>
            <w:pPr>
              <w:pStyle w:val="Compact"/>
            </w:pPr>
            <w:r>
              <w:t xml:space="preserve">M</w:t>
            </w:r>
          </w:p>
        </w:tc>
        <w:tc>
          <w:tcPr/>
          <w:p>
            <w:pPr>
              <w:pStyle w:val="Compact"/>
            </w:pPr>
            <w:r>
              <w:rPr>
                <w:b/>
                <w:bCs/>
              </w:rPr>
              <w:t xml:space="preserve">Regulation says:</w:t>
            </w:r>
            <w:r>
              <w:t xml:space="preserve"> </w:t>
            </w:r>
            <w:r>
              <w:t xml:space="preserve">for CIP purposes a "Customer means: (i) A person that opens a new account" (31 CFR § 1020.100(b)(1),</w:t>
            </w:r>
            <w:r>
              <w:t xml:space="preserve"> </w:t>
            </w:r>
            <w:hyperlink r:id="rId38">
              <w:r>
                <w:rPr>
                  <w:rStyle w:val="Hyperlink"/>
                </w:rPr>
                <w:t xml:space="preserve">https://www.ecfr.gov/current/title-31/section-1020.100</w:t>
              </w:r>
            </w:hyperlink>
            <w:r>
              <w:t xml:space="preserve">).</w:t>
            </w:r>
            <w:r>
              <w:t xml:space="preserve"> </w:t>
            </w:r>
            <w:r>
              <w:rPr>
                <w:b/>
                <w:bCs/>
              </w:rPr>
              <w:t xml:space="preserve">Reviewer inference:</w:t>
            </w:r>
            <w:r>
              <w:t xml:space="preserve"> </w:t>
            </w:r>
            <w:r>
              <w:t xml:space="preserve">paying out to a successor without opening an account is outside CIP, but an estate or successor account opened to receive funds triggers it. Records must be kept "for a period of five years" (31 CFR § 1010.430(d)). Banks keep copies of each debit item "in excess of $100" (31 CFR § 1020.410(c)(4)). CA requires "Reasonable proof of the identity of each person executing the affidavit" (§ 13104, in the CA spec).</w:t>
            </w:r>
          </w:p>
        </w:tc>
        <w:tc>
          <w:tcPr/>
          <w:p>
            <w:pPr>
              <w:pStyle w:val="Compact"/>
            </w:pPr>
            <w:r>
              <w:t xml:space="preserve">Add a required institution step for identity verification of each payee, separate from CIP. The engine already lists identity for CA Path B. Note that SAR and CTR rules still apply to cash payouts.</w:t>
            </w:r>
          </w:p>
        </w:tc>
      </w:tr>
      <w:tr>
        <w:tc>
          <w:tcPr/>
          <w:p>
            <w:pPr>
              <w:pStyle w:val="Compact"/>
            </w:pPr>
            <w:r>
              <w:t xml:space="preserve">R20</w:t>
            </w:r>
          </w:p>
        </w:tc>
        <w:tc>
          <w:tcPr/>
          <w:p>
            <w:pPr>
              <w:pStyle w:val="Compact"/>
            </w:pPr>
            <w:r>
              <w:rPr>
                <w:b/>
                <w:bCs/>
              </w:rPr>
              <w:t xml:space="preserve">Electronic signatures and electronic affidavits.</w:t>
            </w:r>
          </w:p>
        </w:tc>
        <w:tc>
          <w:tcPr/>
          <w:p>
            <w:pPr>
              <w:pStyle w:val="Compact"/>
            </w:pPr>
            <w:r>
              <w:t xml:space="preserve">M</w:t>
            </w:r>
          </w:p>
        </w:tc>
        <w:tc>
          <w:tcPr/>
          <w:p>
            <w:pPr>
              <w:pStyle w:val="Compact"/>
            </w:pPr>
            <w:r>
              <w:t xml:space="preserve">M</w:t>
            </w:r>
          </w:p>
        </w:tc>
        <w:tc>
          <w:tcPr/>
          <w:p>
            <w:pPr>
              <w:pStyle w:val="Compact"/>
            </w:pPr>
            <w:r>
              <w:rPr>
                <w:b/>
                <w:bCs/>
              </w:rPr>
              <w:t xml:space="preserve">Statute says:</w:t>
            </w:r>
            <w:r>
              <w:t xml:space="preserve"> </w:t>
            </w:r>
            <w:r>
              <w:t xml:space="preserve">a record "may not be denied legal effect … solely because it is in electronic form" (15 U.S.C. § 7001(a)). An oath or verification requirement "is satisfied if the electronic signature of the person authorized to perform those acts … is attached" (§ 7001(g)). There is no duty "to agree to use or accept electronic records" (§ 7001(b)(2),</w:t>
            </w:r>
            <w:r>
              <w:t xml:space="preserve"> </w:t>
            </w:r>
            <w:hyperlink r:id="rId39">
              <w:r>
                <w:rPr>
                  <w:rStyle w:val="Hyperlink"/>
                </w:rPr>
                <w:t xml:space="preserve">https://www.govinfo.gov/link/uscode/15/7001?link-type=html</w:t>
              </w:r>
            </w:hyperlink>
            <w:r>
              <w:t xml:space="preserve">). The exception covers rules "governing the creation and execution of wills, codicils, or testamentary trusts" (§ 7003(a)(1)).</w:t>
            </w:r>
            <w:r>
              <w:t xml:space="preserve"> </w:t>
            </w:r>
            <w:r>
              <w:rPr>
                <w:b/>
                <w:bCs/>
              </w:rPr>
              <w:t xml:space="preserve">Reviewer inference:</w:t>
            </w:r>
            <w:r>
              <w:t xml:space="preserve"> </w:t>
            </w:r>
            <w:r>
              <w:t xml:space="preserve">small-estate affidavits are not wills, so E-SIGN likely applies.</w:t>
            </w:r>
            <w:r>
              <w:t xml:space="preserve"> </w:t>
            </w:r>
            <w:r>
              <w:rPr>
                <w:b/>
                <w:bCs/>
              </w:rPr>
              <w:t xml:space="preserve">CA:</w:t>
            </w:r>
            <w:r>
              <w:t xml:space="preserve"> </w:t>
            </w:r>
            <w:r>
              <w:t xml:space="preserve">UETA excludes the same wills category (Civ. Code § 1633.3(b)(1)). A declaration under penalty of perjury executed outside CA must recite "under the laws of the State of California" (CCP § 2015.5(b)).</w:t>
            </w:r>
            <w:r>
              <w:t xml:space="preserve"> </w:t>
            </w:r>
            <w:r>
              <w:rPr>
                <w:b/>
                <w:bCs/>
              </w:rPr>
              <w:t xml:space="preserve">WA:</w:t>
            </w:r>
            <w:r>
              <w:t xml:space="preserve"> </w:t>
            </w:r>
            <w:r>
              <w:t xml:space="preserve">an unsworn declaration "has the same effect as a sworn declaration" (RCW 5.50.030(1)). If a sworn declaration must be in a particular medium, "an unsworn declaration must be presented in that medium" (RCW 5.50.040). Chapter 5.50 "modifies, limits, and supersedes" E-SIGN except § 7001(c) (RCW 5.50.060).</w:t>
            </w:r>
          </w:p>
        </w:tc>
        <w:tc>
          <w:tcPr/>
          <w:p>
            <w:pPr>
              <w:pStyle w:val="Compact"/>
            </w:pPr>
            <w:r>
              <w:t xml:space="preserve">Document requirements should record the form the document took (paper or electronic, sworn or unsworn). Whether to accept electronic affidavits is an institution choice (§ 7001(b)(2)). Attorney to confirm that a WA "affidavit" under RCW 11.62.010 may be an unsworn RCW 5.50 declaration.</w:t>
            </w:r>
          </w:p>
        </w:tc>
      </w:tr>
      <w:tr>
        <w:tc>
          <w:tcPr/>
          <w:p>
            <w:pPr>
              <w:pStyle w:val="Compact"/>
            </w:pPr>
            <w:r>
              <w:t xml:space="preserve">R21</w:t>
            </w:r>
          </w:p>
        </w:tc>
        <w:tc>
          <w:tcPr/>
          <w:p>
            <w:pPr>
              <w:pStyle w:val="Compact"/>
            </w:pPr>
            <w:r>
              <w:rPr>
                <w:b/>
                <w:bCs/>
              </w:rPr>
              <w:t xml:space="preserve">GLBA privacy</w:t>
            </w:r>
            <w:r>
              <w:t xml:space="preserve"> </w:t>
            </w:r>
            <w:r>
              <w:t xml:space="preserve">for information about the decedent and successors.</w:t>
            </w:r>
          </w:p>
        </w:tc>
        <w:tc>
          <w:tcPr/>
          <w:p>
            <w:pPr>
              <w:pStyle w:val="Compact"/>
            </w:pPr>
            <w:r>
              <w:t xml:space="preserve">M</w:t>
            </w:r>
          </w:p>
        </w:tc>
        <w:tc>
          <w:tcPr/>
          <w:p>
            <w:pPr>
              <w:pStyle w:val="Compact"/>
            </w:pPr>
            <w:r>
              <w:t xml:space="preserve">M</w:t>
            </w:r>
          </w:p>
        </w:tc>
        <w:tc>
          <w:tcPr/>
          <w:p>
            <w:pPr>
              <w:pStyle w:val="Compact"/>
            </w:pPr>
            <w:r>
              <w:rPr>
                <w:b/>
                <w:bCs/>
              </w:rPr>
              <w:t xml:space="preserve">Statute says:</w:t>
            </w:r>
            <w:r>
              <w:t xml:space="preserve"> </w:t>
            </w:r>
            <w:r>
              <w:t xml:space="preserve">"consumer" includes "the legal representative of such an individual" (15 U.S.C. § 6809(9)).</w:t>
            </w:r>
            <w:r>
              <w:t xml:space="preserve"> </w:t>
            </w:r>
            <w:r>
              <w:rPr>
                <w:b/>
                <w:bCs/>
              </w:rPr>
              <w:t xml:space="preserve">Regulation says:</w:t>
            </w:r>
            <w:r>
              <w:t xml:space="preserve"> </w:t>
            </w:r>
            <w:r>
              <w:t xml:space="preserve">disclosure is permitted "(iv) To persons holding a legal or beneficial interest relating to the consumer; or (v) To persons acting in a fiduciary or representative capacity" (12 CFR § 1016.15(a)(2)). Sharing with a vendor needs a contract prohibiting use "other than to carry out the purposes for which you disclosed the information" (§ 1016.13(a)(1)(ii),</w:t>
            </w:r>
            <w:r>
              <w:t xml:space="preserve"> </w:t>
            </w:r>
            <w:hyperlink r:id="rId40">
              <w:r>
                <w:rPr>
                  <w:rStyle w:val="Hyperlink"/>
                </w:rPr>
                <w:t xml:space="preserve">https://www.ecfr.gov/current/title-12/section-1016.13</w:t>
              </w:r>
            </w:hyperlink>
            <w:r>
              <w:t xml:space="preserve">).</w:t>
            </w:r>
            <w:r>
              <w:t xml:space="preserve"> </w:t>
            </w:r>
            <w:r>
              <w:rPr>
                <w:b/>
                <w:bCs/>
              </w:rPr>
              <w:t xml:space="preserve">Reviewer inference:</w:t>
            </w:r>
            <w:r>
              <w:t xml:space="preserve"> </w:t>
            </w:r>
            <w:r>
              <w:t xml:space="preserve">the role-only fact schema limits exposure. Still, date of death plus balance plus relationships plus institution may be linkable, and the hosted decision log (output naming payee roles) is open question "PII in logged output".</w:t>
            </w:r>
          </w:p>
        </w:tc>
        <w:tc>
          <w:tcPr/>
          <w:p>
            <w:pPr>
              <w:pStyle w:val="Compact"/>
            </w:pPr>
            <w:r>
              <w:t xml:space="preserve">Before hosting: a GLBA service-provider clause in the customer contract, and attorney review of whether logged outputs are nonpublic personal information. Keep raw facts out of storage, as designed.</w:t>
            </w:r>
          </w:p>
        </w:tc>
      </w:tr>
    </w:tbl>
    <w:bookmarkEnd w:id="41"/>
    <w:bookmarkStart w:id="56" w:name="engine-edge-cases-and-fact-patterns"/>
    <w:p>
      <w:pPr>
        <w:pStyle w:val="Heading3"/>
      </w:pPr>
      <w:r>
        <w:t xml:space="preserve">Engine edge cases and fact patterns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 or edge case</w:t>
            </w:r>
          </w:p>
        </w:tc>
        <w:tc>
          <w:tcPr/>
          <w:p>
            <w:pPr>
              <w:pStyle w:val="Compact"/>
            </w:pPr>
            <w:r>
              <w:t xml:space="preserve">Sev</w:t>
            </w:r>
          </w:p>
        </w:tc>
        <w:tc>
          <w:tcPr/>
          <w:p>
            <w:pPr>
              <w:pStyle w:val="Compact"/>
            </w:pPr>
            <w:r>
              <w:t xml:space="preserve">Lik</w:t>
            </w:r>
          </w:p>
        </w:tc>
        <w:tc>
          <w:tcPr/>
          <w:p>
            <w:pPr>
              <w:pStyle w:val="Compact"/>
            </w:pPr>
            <w:r>
              <w:t xml:space="preserve">Authority (quote + URL) or Reviewer inference</w:t>
            </w:r>
          </w:p>
        </w:tc>
        <w:tc>
          <w:tcPr/>
          <w:p>
            <w:pPr>
              <w:pStyle w:val="Compact"/>
            </w:pPr>
            <w:r>
              <w:t xml:space="preserve">Recommended engine or product response</w:t>
            </w:r>
          </w:p>
        </w:tc>
      </w:tr>
      <w:tr>
        <w:tc>
          <w:tcPr/>
          <w:p>
            <w:pPr>
              <w:pStyle w:val="Compact"/>
            </w:pPr>
            <w:r>
              <w:t xml:space="preserve">R4</w:t>
            </w:r>
          </w:p>
        </w:tc>
        <w:tc>
          <w:tcPr/>
          <w:p>
            <w:pPr>
              <w:pStyle w:val="Compact"/>
            </w:pPr>
            <w:r>
              <w:rPr>
                <w:b/>
                <w:bCs/>
              </w:rPr>
              <w:t xml:space="preserve">Simultaneous death and the 120-hour rule.</w:t>
            </w:r>
          </w:p>
        </w:tc>
        <w:tc>
          <w:tcPr/>
          <w:p>
            <w:pPr>
              <w:pStyle w:val="Compact"/>
            </w:pPr>
            <w:r>
              <w:t xml:space="preserve">H</w:t>
            </w:r>
          </w:p>
        </w:tc>
        <w:tc>
          <w:tcPr/>
          <w:p>
            <w:pPr>
              <w:pStyle w:val="Compact"/>
            </w:pPr>
            <w:r>
              <w:t xml:space="preserve">M</w:t>
            </w:r>
          </w:p>
        </w:tc>
        <w:tc>
          <w:tcPr/>
          <w:p>
            <w:pPr>
              <w:pStyle w:val="Compact"/>
            </w:pPr>
            <w:r>
              <w:rPr>
                <w:b/>
                <w:bCs/>
              </w:rPr>
              <w:t xml:space="preserve">Statute says (WA):</w:t>
            </w:r>
            <w:r>
              <w:t xml:space="preserve"> </w:t>
            </w:r>
            <w:r>
              <w:t xml:space="preserve">for "a provision of a governing instrument" (defined to include an "account with pay on death designation"), an individual "not established by clear and convincing evidence to have survived the event by one hundred twenty hours is deemed to have predeceased" (RCW 11.05A.010(2), .030). For co-owners with right of survivorship (accounts included), the property splits "one-half as if one had survived … and one-half as if the other had survived" (.040). Payors are protected before "written notice of a claimed lack of entitlement", mailed to the main office by registered or certified mail (.070(1)) (</w:t>
            </w:r>
            <w:hyperlink r:id="rId42">
              <w:r>
                <w:rPr>
                  <w:rStyle w:val="Hyperlink"/>
                </w:rPr>
                <w:t xml:space="preserve">https://app.leg.wa.gov/RCW/default.aspx?cite=11.05A&amp;full=true</w:t>
              </w:r>
            </w:hyperlink>
            <w:r>
              <w:t xml:space="preserve">).</w:t>
            </w:r>
            <w:r>
              <w:t xml:space="preserve"> </w:t>
            </w:r>
            <w:r>
              <w:rPr>
                <w:b/>
                <w:bCs/>
              </w:rPr>
              <w:t xml:space="preserve">Statute says (CA):</w:t>
            </w:r>
            <w:r>
              <w:t xml:space="preserve"> </w:t>
            </w:r>
            <w:r>
              <w:t xml:space="preserve">§ 6403's 120-hour rule applies "for the purpose of intestate succession". For accounts, §§ 220, 222, and 223 require only proof "by clear and convincing evidence" that one survived the other ("joint tenants" includes owners entitled to the whole on death, § 223(a)). § 21109 applies to "an at-death transfer" under an instrument (</w:t>
            </w:r>
            <w:hyperlink r:id="rId43">
              <w:r>
                <w:rPr>
                  <w:rStyle w:val="Hyperlink"/>
                </w:rPr>
                <w:t xml:space="preserve">https://california.public.law/codes/probate_code_section_223</w:t>
              </w:r>
            </w:hyperlink>
            <w:r>
              <w:t xml:space="preserve">, …_6403, …_21109).</w:t>
            </w:r>
            <w:r>
              <w:t xml:space="preserve"> </w:t>
            </w:r>
            <w:r>
              <w:rPr>
                <w:b/>
                <w:bCs/>
              </w:rPr>
              <w:t xml:space="preserve">Open:</w:t>
            </w:r>
            <w:r>
              <w:t xml:space="preserve"> </w:t>
            </w:r>
            <w:r>
              <w:t xml:space="preserve">whether a CA POD designation is an "instrument" under § 21109 (UNVERIFIED).</w:t>
            </w:r>
          </w:p>
        </w:tc>
        <w:tc>
          <w:tcPr/>
          <w:p>
            <w:pPr>
              <w:pStyle w:val="Compact"/>
            </w:pPr>
            <w:r>
              <w:t xml:space="preserve">Replace</w:t>
            </w:r>
            <w:r>
              <w:t xml:space="preserve"> </w:t>
            </w:r>
            <w:r>
              <w:rPr>
                <w:rStyle w:val="VerbatimChar"/>
              </w:rPr>
              <w:t xml:space="preserve">survived_decedent: bool</w:t>
            </w:r>
            <w:r>
              <w:t xml:space="preserve"> </w:t>
            </w:r>
            <w:r>
              <w:t xml:space="preserve">with</w:t>
            </w:r>
            <w:r>
              <w:t xml:space="preserve"> </w:t>
            </w:r>
            <w:r>
              <w:rPr>
                <w:rStyle w:val="VerbatimChar"/>
              </w:rPr>
              <w:t xml:space="preserve">survival_hours_after_decedent</w:t>
            </w:r>
            <w:r>
              <w:t xml:space="preserve"> </w:t>
            </w:r>
            <w:r>
              <w:t xml:space="preserve">(or the payee's date and time of death or null). WA: a payee who died within 120 hours is treated as predeceased unless the account terms say otherwise (RCW 11.05A.060). CA:</w:t>
            </w:r>
            <w:r>
              <w:t xml:space="preserve"> </w:t>
            </w:r>
            <w:r>
              <w:rPr>
                <w:rStyle w:val="VerbatimChar"/>
              </w:rPr>
              <w:t xml:space="preserve">not_determinable</w:t>
            </w:r>
            <w:r>
              <w:t xml:space="preserve"> </w:t>
            </w:r>
            <w:r>
              <w:t xml:space="preserve">when survival is close (for example, the same day) until the attorney confirms the rule. Add a fact for a written notice of claimed lack of entitlement (WA .070).</w:t>
            </w:r>
          </w:p>
        </w:tc>
      </w:tr>
      <w:tr>
        <w:tc>
          <w:tcPr/>
          <w:p>
            <w:pPr>
              <w:pStyle w:val="Compact"/>
            </w:pPr>
            <w:r>
              <w:t xml:space="preserve">R5</w:t>
            </w:r>
          </w:p>
        </w:tc>
        <w:tc>
          <w:tcPr/>
          <w:p>
            <w:pPr>
              <w:pStyle w:val="Compact"/>
            </w:pPr>
            <w:r>
              <w:rPr>
                <w:b/>
                <w:bCs/>
              </w:rPr>
              <w:t xml:space="preserve">Slayer.</w:t>
            </w:r>
          </w:p>
        </w:tc>
        <w:tc>
          <w:tcPr/>
          <w:p>
            <w:pPr>
              <w:pStyle w:val="Compact"/>
            </w:pPr>
            <w:r>
              <w:t xml:space="preserve">H</w:t>
            </w:r>
          </w:p>
        </w:tc>
        <w:tc>
          <w:tcPr/>
          <w:p>
            <w:pPr>
              <w:pStyle w:val="Compact"/>
            </w:pPr>
            <w:r>
              <w:t xml:space="preserve">L</w:t>
            </w:r>
          </w:p>
        </w:tc>
        <w:tc>
          <w:tcPr/>
          <w:p>
            <w:pPr>
              <w:pStyle w:val="Compact"/>
            </w:pPr>
            <w:r>
              <w:rPr>
                <w:b/>
                <w:bCs/>
              </w:rPr>
              <w:t xml:space="preserve">Statute says (CA):</w:t>
            </w:r>
            <w:r>
              <w:t xml:space="preserve"> </w:t>
            </w:r>
            <w:r>
              <w:t xml:space="preserve">"A joint tenant who feloniously and intentionally kills another joint tenant thereby effects a severance … This section applies to … joint and multiple-party accounts in financial institutions" (§ 251). A killer takes nothing under Division 5 (§ 250(a)(4)). A financial institution "is not liable by reason of this part, unless prior to payment it has received at its home office or principal address written notice of a claim" (§ 256,</w:t>
            </w:r>
            <w:r>
              <w:t xml:space="preserve"> </w:t>
            </w:r>
            <w:hyperlink r:id="rId44">
              <w:r>
                <w:rPr>
                  <w:rStyle w:val="Hyperlink"/>
                </w:rPr>
                <w:t xml:space="preserve">https://california.public.law/codes/probate_code_section_256</w:t>
              </w:r>
            </w:hyperlink>
            <w:r>
              <w:t xml:space="preserve">).</w:t>
            </w:r>
            <w:r>
              <w:t xml:space="preserve"> </w:t>
            </w:r>
            <w:r>
              <w:rPr>
                <w:b/>
                <w:bCs/>
              </w:rPr>
              <w:t xml:space="preserve">Statute says (WA):</w:t>
            </w:r>
            <w:r>
              <w:t xml:space="preserve"> </w:t>
            </w:r>
            <w:r>
              <w:t xml:space="preserve">"No slayer or abuser shall in any way acquire any property" (RCW 11.84.020). Joint property: "One-half … shall pass upon the death of the decedent to his or her estate" (11.84.050(1)). A bank paying "without written notice, at its home office … of the killing" faces no additional liability (11.84.110,</w:t>
            </w:r>
            <w:r>
              <w:t xml:space="preserve"> </w:t>
            </w:r>
            <w:hyperlink r:id="rId45">
              <w:r>
                <w:rPr>
                  <w:rStyle w:val="Hyperlink"/>
                </w:rPr>
                <w:t xml:space="preserve">https://app.leg.wa.gov/RCW/default.aspx?cite=11.84&amp;full=true</w:t>
              </w:r>
            </w:hyperlink>
            <w:r>
              <w:t xml:space="preserve">).</w:t>
            </w:r>
          </w:p>
        </w:tc>
        <w:tc>
          <w:tcPr/>
          <w:p>
            <w:pPr>
              <w:pStyle w:val="Compact"/>
            </w:pPr>
            <w:r>
              <w:t xml:space="preserve">Add</w:t>
            </w:r>
            <w:r>
              <w:t xml:space="preserve"> </w:t>
            </w:r>
            <w:r>
              <w:rPr>
                <w:rStyle w:val="VerbatimChar"/>
              </w:rPr>
              <w:t xml:space="preserve">slayer_or_abuser_notice_received</w:t>
            </w:r>
            <w:r>
              <w:t xml:space="preserve">. If true, return</w:t>
            </w:r>
            <w:r>
              <w:t xml:space="preserve"> </w:t>
            </w:r>
            <w:r>
              <w:rPr>
                <w:rStyle w:val="VerbatimChar"/>
              </w:rPr>
              <w:t xml:space="preserve">not_determinable</w:t>
            </w:r>
            <w:r>
              <w:t xml:space="preserve">. See R42.</w:t>
            </w:r>
          </w:p>
        </w:tc>
      </w:tr>
      <w:tr>
        <w:tc>
          <w:tcPr/>
          <w:p>
            <w:pPr>
              <w:pStyle w:val="Compact"/>
            </w:pPr>
            <w:r>
              <w:t xml:space="preserve">R42</w:t>
            </w:r>
          </w:p>
        </w:tc>
        <w:tc>
          <w:tcPr/>
          <w:p>
            <w:pPr>
              <w:pStyle w:val="Compact"/>
            </w:pPr>
            <w:r>
              <w:rPr>
                <w:b/>
                <w:bCs/>
              </w:rPr>
              <w:t xml:space="preserve">Two CA protections conflict:</w:t>
            </w:r>
            <w:r>
              <w:t xml:space="preserve"> </w:t>
            </w:r>
            <w:r>
              <w:t xml:space="preserve">§ 256 (written notice defeats protection) versus § 5405(b) (only a court order does).</w:t>
            </w:r>
          </w:p>
        </w:tc>
        <w:tc>
          <w:tcPr/>
          <w:p>
            <w:pPr>
              <w:pStyle w:val="Compact"/>
            </w:pPr>
            <w:r>
              <w:t xml:space="preserve">M</w:t>
            </w:r>
          </w:p>
        </w:tc>
        <w:tc>
          <w:tcPr/>
          <w:p>
            <w:pPr>
              <w:pStyle w:val="Compact"/>
            </w:pPr>
            <w:r>
              <w:t xml:space="preserve">L</w:t>
            </w:r>
          </w:p>
        </w:tc>
        <w:tc>
          <w:tcPr/>
          <w:p>
            <w:pPr>
              <w:pStyle w:val="Compact"/>
            </w:pPr>
            <w:r>
              <w:rPr>
                <w:b/>
                <w:bCs/>
              </w:rPr>
              <w:t xml:space="preserve">Statute says:</w:t>
            </w:r>
            <w:r>
              <w:t xml:space="preserve"> </w:t>
            </w:r>
            <w:r>
              <w:t xml:space="preserve">"No other notice or any other information shown to have been available to a financial institution shall affect its right to the protection provided by subdivision (a)" (§ 5405(b),</w:t>
            </w:r>
            <w:r>
              <w:t xml:space="preserve"> </w:t>
            </w:r>
            <w:hyperlink r:id="rId20">
              <w:r>
                <w:rPr>
                  <w:rStyle w:val="Hyperlink"/>
                </w:rPr>
                <w:t xml:space="preserve">https://california.public.law/codes/probate_code_section_5405</w:t>
              </w:r>
            </w:hyperlink>
            <w:r>
              <w:t xml:space="preserve">). Compare § 256 above.</w:t>
            </w:r>
            <w:r>
              <w:t xml:space="preserve"> </w:t>
            </w:r>
            <w:r>
              <w:rPr>
                <w:b/>
                <w:bCs/>
              </w:rPr>
              <w:t xml:space="preserve">Reviewer inference:</w:t>
            </w:r>
            <w:r>
              <w:t xml:space="preserve"> </w:t>
            </w:r>
            <w:r>
              <w:t xml:space="preserve">the specific slayer provision may control, but no case was located.</w:t>
            </w:r>
          </w:p>
        </w:tc>
        <w:tc>
          <w:tcPr/>
          <w:p>
            <w:pPr>
              <w:pStyle w:val="Compact"/>
            </w:pPr>
            <w:r>
              <w:t xml:space="preserve">Attorney to resolve. Until then, treat a § 256 notice as</w:t>
            </w:r>
            <w:r>
              <w:t xml:space="preserve"> </w:t>
            </w:r>
            <w:r>
              <w:rPr>
                <w:rStyle w:val="VerbatimChar"/>
              </w:rPr>
              <w:t xml:space="preserve">not_determinable</w:t>
            </w:r>
            <w:r>
              <w:t xml:space="preserve"> </w:t>
            </w:r>
            <w:r>
              <w:t xml:space="preserve">(the conservative choice).</w:t>
            </w:r>
          </w:p>
        </w:tc>
      </w:tr>
      <w:tr>
        <w:tc>
          <w:tcPr/>
          <w:p>
            <w:pPr>
              <w:pStyle w:val="Compact"/>
            </w:pPr>
            <w:r>
              <w:t xml:space="preserve">R6</w:t>
            </w:r>
          </w:p>
        </w:tc>
        <w:tc>
          <w:tcPr/>
          <w:p>
            <w:pPr>
              <w:pStyle w:val="Compact"/>
            </w:pPr>
            <w:r>
              <w:rPr>
                <w:b/>
                <w:bCs/>
              </w:rPr>
              <w:t xml:space="preserve">Joint account where the survivor is a non-spouse caregiver</w:t>
            </w:r>
            <w:r>
              <w:t xml:space="preserve"> </w:t>
            </w:r>
            <w:r>
              <w:t xml:space="preserve">who may be an abuser or exerted undue influence.</w:t>
            </w:r>
          </w:p>
        </w:tc>
        <w:tc>
          <w:tcPr/>
          <w:p>
            <w:pPr>
              <w:pStyle w:val="Compact"/>
            </w:pPr>
            <w:r>
              <w:t xml:space="preserve">M</w:t>
            </w:r>
          </w:p>
        </w:tc>
        <w:tc>
          <w:tcPr/>
          <w:p>
            <w:pPr>
              <w:pStyle w:val="Compact"/>
            </w:pPr>
            <w:r>
              <w:t xml:space="preserve">M</w:t>
            </w:r>
          </w:p>
        </w:tc>
        <w:tc>
          <w:tcPr/>
          <w:p>
            <w:pPr>
              <w:pStyle w:val="Compact"/>
            </w:pPr>
            <w:r>
              <w:rPr>
                <w:b/>
                <w:bCs/>
              </w:rPr>
              <w:t xml:space="preserve">Statute says (WA):</w:t>
            </w:r>
            <w:r>
              <w:t xml:space="preserve"> </w:t>
            </w:r>
            <w:r>
              <w:t xml:space="preserve">"Abuser" covers anyone participating in "financial exploitation of a vulnerable adult" (RCW 11.84.010(1)). Joint property passes as in the slayer rule (11.84.050). This requires a conviction or "a superior court finding by clear, cogent, and convincing evidence" (11.84.150). It is excused if the decedent "Knew of the financial exploitation; and … ratified" (11.84.170).</w:t>
            </w:r>
            <w:r>
              <w:t xml:space="preserve"> </w:t>
            </w:r>
            <w:r>
              <w:rPr>
                <w:b/>
                <w:bCs/>
              </w:rPr>
              <w:t xml:space="preserve">Statute says (CA):</w:t>
            </w:r>
            <w:r>
              <w:t xml:space="preserve"> </w:t>
            </w:r>
            <w:r>
              <w:t xml:space="preserve">the elder-abuse forfeiture covers only "property, damages, or costs that are awarded to the decedent's estate in an action" (§ 259(c),</w:t>
            </w:r>
            <w:r>
              <w:t xml:space="preserve"> </w:t>
            </w:r>
            <w:hyperlink r:id="rId46">
              <w:r>
                <w:rPr>
                  <w:rStyle w:val="Hyperlink"/>
                </w:rPr>
                <w:t xml:space="preserve">https://california.public.law/codes/probate_code_section_259</w:t>
              </w:r>
            </w:hyperlink>
            <w:r>
              <w:t xml:space="preserve">).</w:t>
            </w:r>
            <w:r>
              <w:t xml:space="preserve"> </w:t>
            </w:r>
            <w:r>
              <w:rPr>
                <w:b/>
                <w:bCs/>
              </w:rPr>
              <w:t xml:space="preserve">Reviewer inference:</w:t>
            </w:r>
            <w:r>
              <w:t xml:space="preserve"> </w:t>
            </w:r>
            <w:r>
              <w:t xml:space="preserve">CA has no general forfeiture of survivorship for abusers, and § 5405 protection holds absent a court order.</w:t>
            </w:r>
          </w:p>
        </w:tc>
        <w:tc>
          <w:tcPr/>
          <w:p>
            <w:pPr>
              <w:pStyle w:val="Compact"/>
            </w:pPr>
            <w:r>
              <w:t xml:space="preserve">The institution stays protected until notice (WA 11.84.110) or a restraining order (CA § 5405(b)). Add the R5 fact. The engine should not try to judge undue influence.</w:t>
            </w:r>
          </w:p>
        </w:tc>
      </w:tr>
      <w:tr>
        <w:tc>
          <w:tcPr/>
          <w:p>
            <w:pPr>
              <w:pStyle w:val="Compact"/>
            </w:pPr>
            <w:r>
              <w:t xml:space="preserve">R7</w:t>
            </w:r>
          </w:p>
        </w:tc>
        <w:tc>
          <w:tcPr/>
          <w:p>
            <w:pPr>
              <w:pStyle w:val="Compact"/>
            </w:pPr>
            <w:r>
              <w:rPr>
                <w:b/>
                <w:bCs/>
              </w:rPr>
              <w:t xml:space="preserve">Elder or vulnerable-adult exploitation holds.</w:t>
            </w:r>
          </w:p>
        </w:tc>
        <w:tc>
          <w:tcPr/>
          <w:p>
            <w:pPr>
              <w:pStyle w:val="Compact"/>
            </w:pPr>
            <w:r>
              <w:t xml:space="preserve">M</w:t>
            </w:r>
          </w:p>
        </w:tc>
        <w:tc>
          <w:tcPr/>
          <w:p>
            <w:pPr>
              <w:pStyle w:val="Compact"/>
            </w:pPr>
            <w:r>
              <w:t xml:space="preserve">M</w:t>
            </w:r>
          </w:p>
        </w:tc>
        <w:tc>
          <w:tcPr/>
          <w:p>
            <w:pPr>
              <w:pStyle w:val="Compact"/>
            </w:pPr>
            <w:r>
              <w:rPr>
                <w:b/>
                <w:bCs/>
              </w:rPr>
              <w:t xml:space="preserve">Statute says (WA):</w:t>
            </w:r>
            <w:r>
              <w:t xml:space="preserve"> </w:t>
            </w:r>
            <w:r>
              <w:t xml:space="preserve">"the financial institution may, but is not required to, refuse a transaction requiring disbursal of funds", including on an account "Of a person suspected of perpetrating financial exploitation" (RCW 74.34.215(1)(c)). The hold expires after "Five business days" unless a court extends it (.215(5)(b), (6)). Good-faith decisions are immune (.215(7),</w:t>
            </w:r>
            <w:r>
              <w:t xml:space="preserve"> </w:t>
            </w:r>
            <w:hyperlink r:id="rId47">
              <w:r>
                <w:rPr>
                  <w:rStyle w:val="Hyperlink"/>
                </w:rPr>
                <w:t xml:space="preserve">https://app.leg.wa.gov/RCW/default.aspx?cite=74.34.215&amp;full=true</w:t>
              </w:r>
            </w:hyperlink>
            <w:r>
              <w:t xml:space="preserve">).</w:t>
            </w:r>
            <w:r>
              <w:t xml:space="preserve"> </w:t>
            </w:r>
            <w:r>
              <w:rPr>
                <w:b/>
                <w:bCs/>
              </w:rPr>
              <w:t xml:space="preserve">Statute says (CA):</w:t>
            </w:r>
            <w:r>
              <w:t xml:space="preserve"> </w:t>
            </w:r>
            <w:r>
              <w:t xml:space="preserve">"all officers and employees of financial institutions" are mandated reporters (Welf. &amp; Inst. Code § 15630.1(a)).</w:t>
            </w:r>
            <w:r>
              <w:t xml:space="preserve"> </w:t>
            </w:r>
            <w:r>
              <w:rPr>
                <w:b/>
                <w:bCs/>
              </w:rPr>
              <w:t xml:space="preserve">Federal:</w:t>
            </w:r>
            <w:r>
              <w:t xml:space="preserve"> </w:t>
            </w:r>
            <w:r>
              <w:t xml:space="preserve">trained individuals "shall not be liable … for disclosing the suspected exploitation of a senior citizen" (12 U.S.C. § 3423).</w:t>
            </w:r>
            <w:r>
              <w:t xml:space="preserve"> </w:t>
            </w:r>
            <w:r>
              <w:rPr>
                <w:b/>
                <w:bCs/>
              </w:rPr>
              <w:t xml:space="preserve">Reviewer inference:</w:t>
            </w:r>
            <w:r>
              <w:t xml:space="preserve"> </w:t>
            </w:r>
            <w:r>
              <w:t xml:space="preserve">these protect living elders. Whether they apply after the elder's death (for example, to a surviving co-owner's withdrawal) is unclear.</w:t>
            </w:r>
          </w:p>
        </w:tc>
        <w:tc>
          <w:tcPr/>
          <w:p>
            <w:pPr>
              <w:pStyle w:val="Compact"/>
            </w:pPr>
            <w:r>
              <w:t xml:space="preserve">Add</w:t>
            </w:r>
            <w:r>
              <w:t xml:space="preserve"> </w:t>
            </w:r>
            <w:r>
              <w:rPr>
                <w:rStyle w:val="VerbatimChar"/>
              </w:rPr>
              <w:t xml:space="preserve">exploitation_hold_active</w:t>
            </w:r>
            <w:r>
              <w:t xml:space="preserve"> </w:t>
            </w:r>
            <w:r>
              <w:t xml:space="preserve">and return</w:t>
            </w:r>
            <w:r>
              <w:t xml:space="preserve"> </w:t>
            </w:r>
            <w:r>
              <w:rPr>
                <w:rStyle w:val="VerbatimChar"/>
              </w:rPr>
              <w:t xml:space="preserve">not_determinable</w:t>
            </w:r>
            <w:r>
              <w:t xml:space="preserve"> </w:t>
            </w:r>
            <w:r>
              <w:t xml:space="preserve">while it is active. Use</w:t>
            </w:r>
            <w:r>
              <w:t xml:space="preserve"> </w:t>
            </w:r>
            <w:r>
              <w:rPr>
                <w:rStyle w:val="VerbatimChar"/>
              </w:rPr>
              <w:t xml:space="preserve">as_of_date</w:t>
            </w:r>
            <w:r>
              <w:t xml:space="preserve"> </w:t>
            </w:r>
            <w:r>
              <w:t xml:space="preserve">to compute when the hold expires.</w:t>
            </w:r>
          </w:p>
        </w:tc>
      </w:tr>
      <w:tr>
        <w:tc>
          <w:tcPr/>
          <w:p>
            <w:pPr>
              <w:pStyle w:val="Compact"/>
            </w:pPr>
            <w:r>
              <w:t xml:space="preserve">R12</w:t>
            </w:r>
          </w:p>
        </w:tc>
        <w:tc>
          <w:tcPr/>
          <w:p>
            <w:pPr>
              <w:pStyle w:val="Compact"/>
            </w:pPr>
            <w:r>
              <w:rPr>
                <w:b/>
                <w:bCs/>
              </w:rPr>
              <w:t xml:space="preserve">Account pledged as collateral, or subject to a lien, security interest, or setoff.</w:t>
            </w:r>
          </w:p>
        </w:tc>
        <w:tc>
          <w:tcPr/>
          <w:p>
            <w:pPr>
              <w:pStyle w:val="Compact"/>
            </w:pPr>
            <w:r>
              <w:t xml:space="preserve">H</w:t>
            </w:r>
          </w:p>
        </w:tc>
        <w:tc>
          <w:tcPr/>
          <w:p>
            <w:pPr>
              <w:pStyle w:val="Compact"/>
            </w:pPr>
            <w:r>
              <w:t xml:space="preserve">M</w:t>
            </w:r>
          </w:p>
        </w:tc>
        <w:tc>
          <w:tcPr/>
          <w:p>
            <w:pPr>
              <w:pStyle w:val="Compact"/>
            </w:pPr>
            <w:r>
              <w:rPr>
                <w:b/>
                <w:bCs/>
              </w:rPr>
              <w:t xml:space="preserve">Statute says (CA):</w:t>
            </w:r>
            <w:r>
              <w:t xml:space="preserve"> </w:t>
            </w:r>
            <w:r>
              <w:t xml:space="preserve">"All funds in an account … remain subject to liens, security interests, rights of setoff, and charges" (§ 5401(d),</w:t>
            </w:r>
            <w:r>
              <w:t xml:space="preserve"> </w:t>
            </w:r>
            <w:hyperlink r:id="rId48">
              <w:r>
                <w:rPr>
                  <w:rStyle w:val="Hyperlink"/>
                </w:rPr>
                <w:t xml:space="preserve">https://california.public.law/codes/probate_code_section_5401</w:t>
              </w:r>
            </w:hyperlink>
            <w:r>
              <w:t xml:space="preserve">).</w:t>
            </w:r>
            <w:r>
              <w:t xml:space="preserve"> </w:t>
            </w:r>
            <w:r>
              <w:rPr>
                <w:b/>
                <w:bCs/>
              </w:rPr>
              <w:t xml:space="preserve">Statute says (WA):</w:t>
            </w:r>
            <w:r>
              <w:t xml:space="preserve"> </w:t>
            </w:r>
            <w:r>
              <w:t xml:space="preserve">"Payment(s)" of sums on deposit includes "any pledge of sums on deposit … any set-off or reduction" (RCW 30A.22.040(12)).</w:t>
            </w:r>
            <w:r>
              <w:t xml:space="preserve"> </w:t>
            </w:r>
            <w:r>
              <w:rPr>
                <w:b/>
                <w:bCs/>
              </w:rPr>
              <w:t xml:space="preserve">Reviewer inference:</w:t>
            </w:r>
            <w:r>
              <w:t xml:space="preserve"> </w:t>
            </w:r>
            <w:r>
              <w:t xml:space="preserve">the payable amount is the balance minus perfected security interests and permitted setoff. That makes it a balance question, not just a "who" question.</w:t>
            </w:r>
          </w:p>
        </w:tc>
        <w:tc>
          <w:tcPr/>
          <w:p>
            <w:pPr>
              <w:pStyle w:val="Compact"/>
            </w:pPr>
            <w:r>
              <w:t xml:space="preserve">Add</w:t>
            </w:r>
            <w:r>
              <w:t xml:space="preserve"> </w:t>
            </w:r>
            <w:r>
              <w:rPr>
                <w:rStyle w:val="VerbatimChar"/>
              </w:rPr>
              <w:t xml:space="preserve">encumbered_amount</w:t>
            </w:r>
            <w:r>
              <w:t xml:space="preserve"> </w:t>
            </w:r>
            <w:r>
              <w:t xml:space="preserve">(secured or pledged) and</w:t>
            </w:r>
            <w:r>
              <w:t xml:space="preserve"> </w:t>
            </w:r>
            <w:r>
              <w:rPr>
                <w:rStyle w:val="VerbatimChar"/>
              </w:rPr>
              <w:t xml:space="preserve">setoff_amount</w:t>
            </w:r>
            <w:r>
              <w:t xml:space="preserve">. The payment output should state that shares apply to the net available balance. If the setoff is disputed, return</w:t>
            </w:r>
            <w:r>
              <w:t xml:space="preserve"> </w:t>
            </w:r>
            <w:r>
              <w:rPr>
                <w:rStyle w:val="VerbatimChar"/>
              </w:rPr>
              <w:t xml:space="preserve">not_determinable</w:t>
            </w:r>
            <w:r>
              <w:t xml:space="preserve">. The CA spec already excludes § 13106.5.</w:t>
            </w:r>
          </w:p>
        </w:tc>
      </w:tr>
      <w:tr>
        <w:tc>
          <w:tcPr/>
          <w:p>
            <w:pPr>
              <w:pStyle w:val="Compact"/>
            </w:pPr>
            <w:r>
              <w:t xml:space="preserve">R13</w:t>
            </w:r>
          </w:p>
        </w:tc>
        <w:tc>
          <w:tcPr/>
          <w:p>
            <w:pPr>
              <w:pStyle w:val="Compact"/>
            </w:pPr>
            <w:r>
              <w:rPr>
                <w:b/>
                <w:bCs/>
              </w:rPr>
              <w:t xml:space="preserve">Garnishment or judgment creditor</w:t>
            </w:r>
            <w:r>
              <w:t xml:space="preserve"> </w:t>
            </w:r>
            <w:r>
              <w:t xml:space="preserve">of the decedent, served before or after death.</w:t>
            </w:r>
          </w:p>
        </w:tc>
        <w:tc>
          <w:tcPr/>
          <w:p>
            <w:pPr>
              <w:pStyle w:val="Compact"/>
            </w:pPr>
            <w:r>
              <w:t xml:space="preserve">M</w:t>
            </w:r>
          </w:p>
        </w:tc>
        <w:tc>
          <w:tcPr/>
          <w:p>
            <w:pPr>
              <w:pStyle w:val="Compact"/>
            </w:pPr>
            <w:r>
              <w:t xml:space="preserve">L</w:t>
            </w:r>
          </w:p>
        </w:tc>
        <w:tc>
          <w:tcPr/>
          <w:p>
            <w:pPr>
              <w:pStyle w:val="Compact"/>
            </w:pPr>
            <w:r>
              <w:rPr>
                <w:b/>
                <w:bCs/>
              </w:rPr>
              <w:t xml:space="preserve">Statute says (CA):</w:t>
            </w:r>
            <w:r>
              <w:t xml:space="preserve"> </w:t>
            </w:r>
            <w:r>
              <w:t xml:space="preserve">"After the death of the judgment debtor, enforcement of a judgment against property in the judgment debtor's estate is governed by the Probate Code" (CCP § 686.020,</w:t>
            </w:r>
            <w:r>
              <w:t xml:space="preserve"> </w:t>
            </w:r>
            <w:hyperlink r:id="rId49">
              <w:r>
                <w:rPr>
                  <w:rStyle w:val="Hyperlink"/>
                </w:rPr>
                <w:t xml:space="preserve">https://california.public.law/codes/code_of_civil_procedure_section_686.020</w:t>
              </w:r>
            </w:hyperlink>
            <w:r>
              <w:t xml:space="preserve">).</w:t>
            </w:r>
            <w:r>
              <w:t xml:space="preserve"> </w:t>
            </w:r>
            <w:r>
              <w:rPr>
                <w:b/>
                <w:bCs/>
              </w:rPr>
              <w:t xml:space="preserve">Regulation says:</w:t>
            </w:r>
            <w:r>
              <w:t xml:space="preserve"> </w:t>
            </w:r>
            <w:r>
              <w:t xml:space="preserve">for garnishment of accounts with federal benefits, a 2-month "lookback period" and "protected amount" apply (31 CFR § 212.3, .6,</w:t>
            </w:r>
            <w:r>
              <w:t xml:space="preserve"> </w:t>
            </w:r>
            <w:hyperlink r:id="rId50">
              <w:r>
                <w:rPr>
                  <w:rStyle w:val="Hyperlink"/>
                </w:rPr>
                <w:t xml:space="preserve">https://www.ecfr.gov/current/title-31/part-212</w:t>
              </w:r>
            </w:hyperlink>
            <w:r>
              <w:t xml:space="preserve">). Whether Part 212 applies to an account of a deceased holder is UNVERIFIED.</w:t>
            </w:r>
          </w:p>
        </w:tc>
        <w:tc>
          <w:tcPr/>
          <w:p>
            <w:pPr>
              <w:pStyle w:val="Compact"/>
            </w:pPr>
            <w:r>
              <w:t xml:space="preserve">Add</w:t>
            </w:r>
            <w:r>
              <w:t xml:space="preserve"> </w:t>
            </w:r>
            <w:r>
              <w:rPr>
                <w:rStyle w:val="VerbatimChar"/>
              </w:rPr>
              <w:t xml:space="preserve">garnishment_or_levy_served</w:t>
            </w:r>
            <w:r>
              <w:t xml:space="preserve">. If true, return</w:t>
            </w:r>
            <w:r>
              <w:t xml:space="preserve"> </w:t>
            </w:r>
            <w:r>
              <w:rPr>
                <w:rStyle w:val="VerbatimChar"/>
              </w:rPr>
              <w:t xml:space="preserve">not_determinable</w:t>
            </w:r>
            <w:r>
              <w:t xml:space="preserve">.</w:t>
            </w:r>
          </w:p>
        </w:tc>
      </w:tr>
      <w:tr>
        <w:tc>
          <w:tcPr/>
          <w:p>
            <w:pPr>
              <w:pStyle w:val="Compact"/>
            </w:pPr>
            <w:r>
              <w:t xml:space="preserve">R14</w:t>
            </w:r>
          </w:p>
        </w:tc>
        <w:tc>
          <w:tcPr/>
          <w:p>
            <w:pPr>
              <w:pStyle w:val="Compact"/>
            </w:pPr>
            <w:r>
              <w:rPr>
                <w:b/>
                <w:bCs/>
              </w:rPr>
              <w:t xml:space="preserve">Bankruptcy</w:t>
            </w:r>
            <w:r>
              <w:t xml:space="preserve"> </w:t>
            </w:r>
            <w:r>
              <w:t xml:space="preserve">of the decedent (a pending case) or of a payee.</w:t>
            </w:r>
          </w:p>
        </w:tc>
        <w:tc>
          <w:tcPr/>
          <w:p>
            <w:pPr>
              <w:pStyle w:val="Compact"/>
            </w:pPr>
            <w:r>
              <w:t xml:space="preserve">M</w:t>
            </w:r>
          </w:p>
        </w:tc>
        <w:tc>
          <w:tcPr/>
          <w:p>
            <w:pPr>
              <w:pStyle w:val="Compact"/>
            </w:pPr>
            <w:r>
              <w:t xml:space="preserve">L</w:t>
            </w:r>
          </w:p>
        </w:tc>
        <w:tc>
          <w:tcPr/>
          <w:p>
            <w:pPr>
              <w:pStyle w:val="Compact"/>
            </w:pPr>
            <w:r>
              <w:rPr>
                <w:b/>
                <w:bCs/>
              </w:rPr>
              <w:t xml:space="preserve">Statute says:</w:t>
            </w:r>
            <w:r>
              <w:t xml:space="preserve"> </w:t>
            </w:r>
            <w:r>
              <w:t xml:space="preserve">a payee's estate includes interests acquired "within 180 days after such date — (A) by bequest, devise, or inheritance" (11 U.S.C. § 541(a)(5)(A)). The automatic stay bars "any act to obtain possession of property of the estate" and "the setoff of any debt" (§ 362(a)(3), (7),</w:t>
            </w:r>
            <w:r>
              <w:t xml:space="preserve"> </w:t>
            </w:r>
            <w:hyperlink r:id="rId51">
              <w:r>
                <w:rPr>
                  <w:rStyle w:val="Hyperlink"/>
                </w:rPr>
                <w:t xml:space="preserve">https://www.govinfo.gov/link/uscode/11/362?link-type=html</w:t>
              </w:r>
            </w:hyperlink>
            <w:r>
              <w:t xml:space="preserve">).</w:t>
            </w:r>
            <w:r>
              <w:t xml:space="preserve"> </w:t>
            </w:r>
            <w:r>
              <w:rPr>
                <w:b/>
                <w:bCs/>
              </w:rPr>
              <w:t xml:space="preserve">Reviewer inference:</w:t>
            </w:r>
            <w:r>
              <w:t xml:space="preserve"> </w:t>
            </w:r>
            <w:r>
              <w:t xml:space="preserve">whether a POD or survivorship receipt counts as "inheritance" under § 541(a)(5)(A) is not settled by the text.</w:t>
            </w:r>
          </w:p>
        </w:tc>
        <w:tc>
          <w:tcPr/>
          <w:p>
            <w:pPr>
              <w:pStyle w:val="Compact"/>
            </w:pPr>
            <w:r>
              <w:t xml:space="preserve">Add</w:t>
            </w:r>
            <w:r>
              <w:t xml:space="preserve"> </w:t>
            </w:r>
            <w:r>
              <w:rPr>
                <w:rStyle w:val="VerbatimChar"/>
              </w:rPr>
              <w:t xml:space="preserve">bankruptcy_notice</w:t>
            </w:r>
            <w:r>
              <w:t xml:space="preserve"> </w:t>
            </w:r>
            <w:r>
              <w:t xml:space="preserve">(decedent or payee). If true, return</w:t>
            </w:r>
            <w:r>
              <w:t xml:space="preserve"> </w:t>
            </w:r>
            <w:r>
              <w:rPr>
                <w:rStyle w:val="VerbatimChar"/>
              </w:rPr>
              <w:t xml:space="preserve">not_determinable</w:t>
            </w:r>
            <w:r>
              <w:t xml:space="preserve">. The institution's own setoff is stayed in the decedent's pending case.</w:t>
            </w:r>
          </w:p>
        </w:tc>
      </w:tr>
      <w:tr>
        <w:tc>
          <w:tcPr/>
          <w:p>
            <w:pPr>
              <w:pStyle w:val="Compact"/>
            </w:pPr>
            <w:r>
              <w:t xml:space="preserve">R33</w:t>
            </w:r>
          </w:p>
        </w:tc>
        <w:tc>
          <w:tcPr/>
          <w:p>
            <w:pPr>
              <w:pStyle w:val="Compact"/>
            </w:pPr>
            <w:r>
              <w:rPr>
                <w:b/>
                <w:bCs/>
              </w:rPr>
              <w:t xml:space="preserve">Fraudulent affidavits, conflicting affidavits, and identity fraud.</w:t>
            </w:r>
          </w:p>
        </w:tc>
        <w:tc>
          <w:tcPr/>
          <w:p>
            <w:pPr>
              <w:pStyle w:val="Compact"/>
            </w:pPr>
            <w:r>
              <w:t xml:space="preserve">H</w:t>
            </w:r>
          </w:p>
        </w:tc>
        <w:tc>
          <w:tcPr/>
          <w:p>
            <w:pPr>
              <w:pStyle w:val="Compact"/>
            </w:pPr>
            <w:r>
              <w:t xml:space="preserve">M</w:t>
            </w:r>
          </w:p>
        </w:tc>
        <w:tc>
          <w:tcPr/>
          <w:p>
            <w:pPr>
              <w:pStyle w:val="Compact"/>
            </w:pPr>
            <w:r>
              <w:rPr>
                <w:b/>
                <w:bCs/>
              </w:rPr>
              <w:t xml:space="preserve">Statute says (CA):</w:t>
            </w:r>
            <w:r>
              <w:t xml:space="preserve"> </w:t>
            </w:r>
            <w:r>
              <w:t xml:space="preserve">the holder "may rely in good faith on the statements … and has no duty to inquire" (§ 13106(a)). A person who "fraudulently secures the payment" is liable "for three times the fair market value" (§ 13110(b)). The action is barred three years after presentation "or three years after the discovery of the fraud, whichever is later" (§ 13110(c),</w:t>
            </w:r>
            <w:r>
              <w:t xml:space="preserve"> </w:t>
            </w:r>
            <w:hyperlink r:id="rId52">
              <w:r>
                <w:rPr>
                  <w:rStyle w:val="Hyperlink"/>
                </w:rPr>
                <w:t xml:space="preserve">https://california.public.law/codes/probate_code_section_13110</w:t>
              </w:r>
            </w:hyperlink>
            <w:r>
              <w:t xml:space="preserve">).</w:t>
            </w:r>
            <w:r>
              <w:t xml:space="preserve"> </w:t>
            </w:r>
            <w:r>
              <w:rPr>
                <w:b/>
                <w:bCs/>
              </w:rPr>
              <w:t xml:space="preserve">Statute says (WA):</w:t>
            </w:r>
            <w:r>
              <w:t xml:space="preserve"> </w:t>
            </w:r>
            <w:r>
              <w:t xml:space="preserve">the discharge is lost on "actual knowledge of the falsity". An organization has knowledge only once it reaches "the personal attention of the individual making the transfer". With more than one affidavit the holder "may pay … the first affidavit received … or alternately implead" (RCW 11.62.020,</w:t>
            </w:r>
            <w:r>
              <w:t xml:space="preserve"> </w:t>
            </w:r>
            <w:hyperlink r:id="rId53">
              <w:r>
                <w:rPr>
                  <w:rStyle w:val="Hyperlink"/>
                </w:rPr>
                <w:t xml:space="preserve">https://app.leg.wa.gov/RCW/default.aspx?cite=11.62&amp;full=true</w:t>
              </w:r>
            </w:hyperlink>
            <w:r>
              <w:t xml:space="preserve">).</w:t>
            </w:r>
          </w:p>
        </w:tc>
        <w:tc>
          <w:tcPr/>
          <w:p>
            <w:pPr>
              <w:pStyle w:val="Compact"/>
            </w:pPr>
            <w:r>
              <w:t xml:space="preserve">Add</w:t>
            </w:r>
            <w:r>
              <w:t xml:space="preserve"> </w:t>
            </w:r>
            <w:r>
              <w:rPr>
                <w:rStyle w:val="VerbatimChar"/>
              </w:rPr>
              <w:t xml:space="preserve">knowledge_affidavit_false</w:t>
            </w:r>
            <w:r>
              <w:t xml:space="preserve"> </w:t>
            </w:r>
            <w:r>
              <w:t xml:space="preserve">(bool or null) and</w:t>
            </w:r>
            <w:r>
              <w:t xml:space="preserve"> </w:t>
            </w:r>
            <w:r>
              <w:rPr>
                <w:rStyle w:val="VerbatimChar"/>
              </w:rPr>
              <w:t xml:space="preserve">competing_affidavit_count</w:t>
            </w:r>
            <w:r>
              <w:t xml:space="preserve">. Knowledge returns</w:t>
            </w:r>
            <w:r>
              <w:t xml:space="preserve"> </w:t>
            </w:r>
            <w:r>
              <w:rPr>
                <w:rStyle w:val="VerbatimChar"/>
              </w:rPr>
              <w:t xml:space="preserve">not_determinable</w:t>
            </w:r>
            <w:r>
              <w:t xml:space="preserve"> </w:t>
            </w:r>
            <w:r>
              <w:t xml:space="preserve">(CA "good faith"; WA "actual knowledge"). WA with competing affidavits: return</w:t>
            </w:r>
            <w:r>
              <w:t xml:space="preserve"> </w:t>
            </w:r>
            <w:r>
              <w:rPr>
                <w:rStyle w:val="VerbatimChar"/>
              </w:rPr>
              <w:t xml:space="preserve">determined</w:t>
            </w:r>
            <w:r>
              <w:t xml:space="preserve"> </w:t>
            </w:r>
            <w:r>
              <w:t xml:space="preserve">for the first received, or route to interpleader per policy. CA:</w:t>
            </w:r>
            <w:r>
              <w:t xml:space="preserve"> </w:t>
            </w:r>
            <w:r>
              <w:rPr>
                <w:rStyle w:val="VerbatimChar"/>
              </w:rPr>
              <w:t xml:space="preserve">not_determinable</w:t>
            </w:r>
            <w:r>
              <w:t xml:space="preserve">.</w:t>
            </w:r>
          </w:p>
        </w:tc>
      </w:tr>
      <w:tr>
        <w:tc>
          <w:tcPr/>
          <w:p>
            <w:pPr>
              <w:pStyle w:val="Compact"/>
            </w:pPr>
            <w:r>
              <w:t xml:space="preserve">R29</w:t>
            </w:r>
          </w:p>
        </w:tc>
        <w:tc>
          <w:tcPr/>
          <w:p>
            <w:pPr>
              <w:pStyle w:val="Compact"/>
            </w:pPr>
            <w:r>
              <w:rPr>
                <w:b/>
                <w:bCs/>
              </w:rPr>
              <w:t xml:space="preserve">Missing or presumed-dead person</w:t>
            </w:r>
            <w:r>
              <w:t xml:space="preserve"> </w:t>
            </w:r>
            <w:r>
              <w:t xml:space="preserve">(the decedent or a payee).</w:t>
            </w:r>
          </w:p>
        </w:tc>
        <w:tc>
          <w:tcPr/>
          <w:p>
            <w:pPr>
              <w:pStyle w:val="Compact"/>
            </w:pPr>
            <w:r>
              <w:t xml:space="preserve">M</w:t>
            </w:r>
          </w:p>
        </w:tc>
        <w:tc>
          <w:tcPr/>
          <w:p>
            <w:pPr>
              <w:pStyle w:val="Compact"/>
            </w:pPr>
            <w:r>
              <w:t xml:space="preserve">L</w:t>
            </w:r>
          </w:p>
        </w:tc>
        <w:tc>
          <w:tcPr/>
          <w:p>
            <w:pPr>
              <w:pStyle w:val="Compact"/>
            </w:pPr>
            <w:r>
              <w:rPr>
                <w:b/>
                <w:bCs/>
              </w:rPr>
              <w:t xml:space="preserve">Statute says (CA):</w:t>
            </w:r>
            <w:r>
              <w:t xml:space="preserve"> </w:t>
            </w:r>
            <w:r>
              <w:t xml:space="preserve">"A person not heard from in five years is presumed to be dead" (Evid. Code § 667). Prob. Code § 12401 applies the 5-year presumption "In proceedings under this part".</w:t>
            </w:r>
            <w:r>
              <w:t xml:space="preserve"> </w:t>
            </w:r>
            <w:r>
              <w:rPr>
                <w:b/>
                <w:bCs/>
              </w:rPr>
              <w:t xml:space="preserve">Statute says (WA):</w:t>
            </w:r>
            <w:r>
              <w:t xml:space="preserve"> </w:t>
            </w:r>
            <w:r>
              <w:t xml:space="preserve">a person "absent for a continuous period of seven years … is presumed to be dead" (RCW 11.05A.050(5)). A death certificate is "prima facie evidence of the fact, place, date, and time of death" (.050(2)).</w:t>
            </w:r>
            <w:r>
              <w:t xml:space="preserve"> </w:t>
            </w:r>
            <w:r>
              <w:rPr>
                <w:b/>
                <w:bCs/>
              </w:rPr>
              <w:t xml:space="preserve">Regulation says:</w:t>
            </w:r>
            <w:r>
              <w:t xml:space="preserve"> </w:t>
            </w:r>
            <w:r>
              <w:t xml:space="preserve">if a decedent turns out alive, there is an agency error process (31 CFR § 210.14).</w:t>
            </w:r>
          </w:p>
        </w:tc>
        <w:tc>
          <w:tcPr/>
          <w:p>
            <w:pPr>
              <w:pStyle w:val="Compact"/>
            </w:pPr>
            <w:r>
              <w:t xml:space="preserve">Require a certified death certificate, or a court order fixing the date of death. A presumed death without a court determination returns</w:t>
            </w:r>
            <w:r>
              <w:t xml:space="preserve"> </w:t>
            </w:r>
            <w:r>
              <w:rPr>
                <w:rStyle w:val="VerbatimChar"/>
              </w:rPr>
              <w:t xml:space="preserve">not_determinable</w:t>
            </w:r>
            <w:r>
              <w:t xml:space="preserve">.</w:t>
            </w:r>
          </w:p>
        </w:tc>
      </w:tr>
      <w:tr>
        <w:tc>
          <w:tcPr/>
          <w:p>
            <w:pPr>
              <w:pStyle w:val="Compact"/>
            </w:pPr>
            <w:r>
              <w:t xml:space="preserve">R30</w:t>
            </w:r>
          </w:p>
        </w:tc>
        <w:tc>
          <w:tcPr/>
          <w:p>
            <w:pPr>
              <w:pStyle w:val="Compact"/>
            </w:pPr>
            <w:r>
              <w:rPr>
                <w:b/>
                <w:bCs/>
              </w:rPr>
              <w:t xml:space="preserve">Minor payee.</w:t>
            </w:r>
          </w:p>
        </w:tc>
        <w:tc>
          <w:tcPr/>
          <w:p>
            <w:pPr>
              <w:pStyle w:val="Compact"/>
            </w:pPr>
            <w:r>
              <w:t xml:space="preserve">M</w:t>
            </w:r>
          </w:p>
        </w:tc>
        <w:tc>
          <w:tcPr/>
          <w:p>
            <w:pPr>
              <w:pStyle w:val="Compact"/>
            </w:pPr>
            <w:r>
              <w:t xml:space="preserve">M</w:t>
            </w:r>
          </w:p>
        </w:tc>
        <w:tc>
          <w:tcPr/>
          <w:p>
            <w:pPr>
              <w:pStyle w:val="Compact"/>
            </w:pPr>
            <w:r>
              <w:rPr>
                <w:b/>
                <w:bCs/>
              </w:rPr>
              <w:t xml:space="preserve">Statute says (CA):</w:t>
            </w:r>
            <w:r>
              <w:t xml:space="preserve"> </w:t>
            </w:r>
            <w:r>
              <w:t xml:space="preserve">money may be paid to a custodial parent only if "The total estate of the minor … does not exceed five thousand dollars ($5,000)" with a verified written assurance (§ 3401(c)). The parent's receipt "shall be an acquittance" (§ 3402). An obligor may transfer to an adult family member as UTMA custodian "unless the property exceeds ten thousand dollars" (§ 3907(c)).</w:t>
            </w:r>
            <w:r>
              <w:t xml:space="preserve"> </w:t>
            </w:r>
            <w:r>
              <w:rPr>
                <w:b/>
                <w:bCs/>
              </w:rPr>
              <w:t xml:space="preserve">Statute says (WA):</w:t>
            </w:r>
            <w:r>
              <w:t xml:space="preserve"> </w:t>
            </w:r>
            <w:r>
              <w:t xml:space="preserve">the same UTMA obligor rule with "thirty thousand dollars" (RCW 11.114.070(3),</w:t>
            </w:r>
            <w:r>
              <w:t xml:space="preserve"> </w:t>
            </w:r>
            <w:hyperlink r:id="rId54">
              <w:r>
                <w:rPr>
                  <w:rStyle w:val="Hyperlink"/>
                </w:rPr>
                <w:t xml:space="preserve">https://app.leg.wa.gov/RCW/default.aspx?cite=11.114&amp;full=true</w:t>
              </w:r>
            </w:hyperlink>
            <w:r>
              <w:t xml:space="preserve">). Note: RCW 30A.22.150 concerns minor</w:t>
            </w:r>
            <w:r>
              <w:t xml:space="preserve"> </w:t>
            </w:r>
            <w:r>
              <w:rPr>
                <w:b/>
                <w:bCs/>
              </w:rPr>
              <w:t xml:space="preserve">depositors</w:t>
            </w:r>
            <w:r>
              <w:t xml:space="preserve">, not payees.</w:t>
            </w:r>
          </w:p>
        </w:tc>
        <w:tc>
          <w:tcPr/>
          <w:p>
            <w:pPr>
              <w:pStyle w:val="Compact"/>
            </w:pPr>
            <w:r>
              <w:t xml:space="preserve">Add</w:t>
            </w:r>
            <w:r>
              <w:t xml:space="preserve"> </w:t>
            </w:r>
            <w:r>
              <w:rPr>
                <w:rStyle w:val="VerbatimChar"/>
              </w:rPr>
              <w:t xml:space="preserve">payee_is_minor</w:t>
            </w:r>
            <w:r>
              <w:t xml:space="preserve"> </w:t>
            </w:r>
            <w:r>
              <w:t xml:space="preserve">(and the minor's total estate for CA). Encode §§ 3401/3907 and RCW 11.114.070 as payment-form variants only after attorney approval. Until then, return</w:t>
            </w:r>
            <w:r>
              <w:t xml:space="preserve"> </w:t>
            </w:r>
            <w:r>
              <w:rPr>
                <w:rStyle w:val="VerbatimChar"/>
              </w:rPr>
              <w:t xml:space="preserve">not_determinable</w:t>
            </w:r>
            <w:r>
              <w:t xml:space="preserve">.</w:t>
            </w:r>
          </w:p>
        </w:tc>
      </w:tr>
      <w:tr>
        <w:tc>
          <w:tcPr/>
          <w:p>
            <w:pPr>
              <w:pStyle w:val="Compact"/>
            </w:pPr>
            <w:r>
              <w:t xml:space="preserve">R31</w:t>
            </w:r>
          </w:p>
        </w:tc>
        <w:tc>
          <w:tcPr/>
          <w:p>
            <w:pPr>
              <w:pStyle w:val="Compact"/>
            </w:pPr>
            <w:r>
              <w:rPr>
                <w:b/>
                <w:bCs/>
              </w:rPr>
              <w:t xml:space="preserve">Incapacitated payee.</w:t>
            </w:r>
          </w:p>
        </w:tc>
        <w:tc>
          <w:tcPr/>
          <w:p>
            <w:pPr>
              <w:pStyle w:val="Compact"/>
            </w:pPr>
            <w:r>
              <w:t xml:space="preserve">M</w:t>
            </w:r>
          </w:p>
        </w:tc>
        <w:tc>
          <w:tcPr/>
          <w:p>
            <w:pPr>
              <w:pStyle w:val="Compact"/>
            </w:pPr>
            <w:r>
              <w:t xml:space="preserve">M</w:t>
            </w:r>
          </w:p>
        </w:tc>
        <w:tc>
          <w:tcPr/>
          <w:p>
            <w:pPr>
              <w:pStyle w:val="Compact"/>
            </w:pPr>
            <w:r>
              <w:rPr>
                <w:b/>
                <w:bCs/>
              </w:rPr>
              <w:t xml:space="preserve">Statute says (CA):</w:t>
            </w:r>
            <w:r>
              <w:t xml:space="preserve"> </w:t>
            </w:r>
            <w:r>
              <w:t xml:space="preserve">an affidavit may be signed by a person "authorized under § 13051" (CA spec).</w:t>
            </w:r>
            <w:r>
              <w:t xml:space="preserve"> </w:t>
            </w:r>
            <w:r>
              <w:rPr>
                <w:b/>
                <w:bCs/>
              </w:rPr>
              <w:t xml:space="preserve">Statute says (WA):</w:t>
            </w:r>
            <w:r>
              <w:t xml:space="preserve"> </w:t>
            </w:r>
            <w:r>
              <w:t xml:space="preserve">an agent's authority "terminates with the death or incompetency of the agent's principal", unless the instrument provides otherwise under ch. 11.125 (RCW 30A.22.170).</w:t>
            </w:r>
          </w:p>
        </w:tc>
        <w:tc>
          <w:tcPr/>
          <w:p>
            <w:pPr>
              <w:pStyle w:val="Compact"/>
            </w:pPr>
            <w:r>
              <w:t xml:space="preserve">Payment goes to the guardian or conservator (with letters) or the agent (with a power of attorney). Add</w:t>
            </w:r>
            <w:r>
              <w:t xml:space="preserve"> </w:t>
            </w:r>
            <w:r>
              <w:rPr>
                <w:rStyle w:val="VerbatimChar"/>
              </w:rPr>
              <w:t xml:space="preserve">payee_has_legal_capacity</w:t>
            </w:r>
            <w:r>
              <w:t xml:space="preserve"> </w:t>
            </w:r>
            <w:r>
              <w:t xml:space="preserve">(null returns</w:t>
            </w:r>
            <w:r>
              <w:t xml:space="preserve"> </w:t>
            </w:r>
            <w:r>
              <w:rPr>
                <w:rStyle w:val="VerbatimChar"/>
              </w:rPr>
              <w:t xml:space="preserve">not_determinable</w:t>
            </w:r>
            <w:r>
              <w:t xml:space="preserve">) and a "letters/POA" document requirement.</w:t>
            </w:r>
          </w:p>
        </w:tc>
      </w:tr>
      <w:tr>
        <w:tc>
          <w:tcPr/>
          <w:p>
            <w:pPr>
              <w:pStyle w:val="Compact"/>
            </w:pPr>
            <w:r>
              <w:t xml:space="preserve">R32</w:t>
            </w:r>
          </w:p>
        </w:tc>
        <w:tc>
          <w:tcPr/>
          <w:p>
            <w:pPr>
              <w:pStyle w:val="Compact"/>
            </w:pPr>
            <w:r>
              <w:rPr>
                <w:b/>
                <w:bCs/>
              </w:rPr>
              <w:t xml:space="preserve">Payee survived the decedent but died before payment.</w:t>
            </w:r>
          </w:p>
        </w:tc>
        <w:tc>
          <w:tcPr/>
          <w:p>
            <w:pPr>
              <w:pStyle w:val="Compact"/>
            </w:pPr>
            <w:r>
              <w:t xml:space="preserve">M</w:t>
            </w:r>
          </w:p>
        </w:tc>
        <w:tc>
          <w:tcPr/>
          <w:p>
            <w:pPr>
              <w:pStyle w:val="Compact"/>
            </w:pPr>
            <w:r>
              <w:t xml:space="preserve">M</w:t>
            </w:r>
          </w:p>
        </w:tc>
        <w:tc>
          <w:tcPr/>
          <w:p>
            <w:pPr>
              <w:pStyle w:val="Compact"/>
            </w:pPr>
            <w:r>
              <w:rPr>
                <w:b/>
                <w:bCs/>
              </w:rPr>
              <w:t xml:space="preserve">Statute says (CA):</w:t>
            </w:r>
            <w:r>
              <w:t xml:space="preserve"> </w:t>
            </w:r>
            <w:r>
              <w:t xml:space="preserve">surviving POD payees take "equal and undivided shares" with "no right of survivorship in the event of death of a P.O.D. payee thereafter unless the terms … expressly provide" (§ 5302(b)(2)(C),</w:t>
            </w:r>
            <w:r>
              <w:t xml:space="preserve"> </w:t>
            </w:r>
            <w:hyperlink r:id="rId55">
              <w:r>
                <w:rPr>
                  <w:rStyle w:val="Hyperlink"/>
                </w:rPr>
                <w:t xml:space="preserve">https://california.public.law/codes/probate_code_section_5302</w:t>
              </w:r>
            </w:hyperlink>
            <w:r>
              <w:t xml:space="preserve">).</w:t>
            </w:r>
            <w:r>
              <w:t xml:space="preserve"> </w:t>
            </w:r>
            <w:r>
              <w:rPr>
                <w:b/>
                <w:bCs/>
              </w:rPr>
              <w:t xml:space="preserve">Statute says (WA):</w:t>
            </w:r>
            <w:r>
              <w:t xml:space="preserve"> </w:t>
            </w:r>
            <w:r>
              <w:t xml:space="preserve">the institution may pay "the personal representative" when "the decedent was a beneficiary of a P.O.D. or trust account" with proofs of death (RCW 30A.22.180(3)).</w:t>
            </w:r>
          </w:p>
        </w:tc>
        <w:tc>
          <w:tcPr/>
          <w:p>
            <w:pPr>
              <w:pStyle w:val="Compact"/>
            </w:pPr>
            <w:r>
              <w:t xml:space="preserve">Add</w:t>
            </w:r>
            <w:r>
              <w:t xml:space="preserve"> </w:t>
            </w:r>
            <w:r>
              <w:rPr>
                <w:rStyle w:val="VerbatimChar"/>
              </w:rPr>
              <w:t xml:space="preserve">payee_living_on_as_of_date</w:t>
            </w:r>
            <w:r>
              <w:t xml:space="preserve">. If false, the payee's share goes to that payee's personal representative (with letters) or successor. Return</w:t>
            </w:r>
            <w:r>
              <w:t xml:space="preserve"> </w:t>
            </w:r>
            <w:r>
              <w:rPr>
                <w:rStyle w:val="VerbatimChar"/>
              </w:rPr>
              <w:t xml:space="preserve">not_determinable</w:t>
            </w:r>
            <w:r>
              <w:t xml:space="preserve"> </w:t>
            </w:r>
            <w:r>
              <w:t xml:space="preserve">until encoded.</w:t>
            </w:r>
          </w:p>
        </w:tc>
      </w:tr>
      <w:tr>
        <w:tc>
          <w:tcPr/>
          <w:p>
            <w:pPr>
              <w:pStyle w:val="Compact"/>
            </w:pPr>
            <w:r>
              <w:t xml:space="preserve">R34</w:t>
            </w:r>
          </w:p>
        </w:tc>
        <w:tc>
          <w:tcPr/>
          <w:p>
            <w:pPr>
              <w:pStyle w:val="Compact"/>
            </w:pPr>
            <w:r>
              <w:rPr>
                <w:b/>
                <w:bCs/>
              </w:rPr>
              <w:t xml:space="preserve">Multiple accounts at the same institution</w:t>
            </w:r>
            <w:r>
              <w:t xml:space="preserve"> </w:t>
            </w:r>
            <w:r>
              <w:t xml:space="preserve">(aggregation for limits).</w:t>
            </w:r>
          </w:p>
        </w:tc>
        <w:tc>
          <w:tcPr/>
          <w:p>
            <w:pPr>
              <w:pStyle w:val="Compact"/>
            </w:pPr>
            <w:r>
              <w:t xml:space="preserve">M</w:t>
            </w:r>
          </w:p>
        </w:tc>
        <w:tc>
          <w:tcPr/>
          <w:p>
            <w:pPr>
              <w:pStyle w:val="Compact"/>
            </w:pPr>
            <w:r>
              <w:t xml:space="preserve">M</w:t>
            </w:r>
          </w:p>
        </w:tc>
        <w:tc>
          <w:tcPr/>
          <w:p>
            <w:pPr>
              <w:pStyle w:val="Compact"/>
            </w:pPr>
            <w:r>
              <w:rPr>
                <w:b/>
                <w:bCs/>
              </w:rPr>
              <w:t xml:space="preserve">Statute says:</w:t>
            </w:r>
            <w:r>
              <w:t xml:space="preserve"> </w:t>
            </w:r>
            <w:r>
              <w:t xml:space="preserve">CA's limit measures "gross value of the decedent's real and personal property in this state" (§ 13100). WA measures the "entire probate estate, wherever located" (spec, RCW 11.62.010(2)(c)). WA's credit-union shortcut applies where "the member had on deposit in said credit union money not exceeding … one thousand dollars" (RCW 11.62.030).</w:t>
            </w:r>
            <w:r>
              <w:t xml:space="preserve"> </w:t>
            </w:r>
            <w:r>
              <w:rPr>
                <w:b/>
                <w:bCs/>
              </w:rPr>
              <w:t xml:space="preserve">Reviewer inference:</w:t>
            </w:r>
            <w:r>
              <w:t xml:space="preserve"> </w:t>
            </w:r>
            <w:r>
              <w:t xml:space="preserve">the engine evaluates one account, so balance-based limits (</w:t>
            </w:r>
            <w:r>
              <w:rPr>
                <w:rStyle w:val="VerbatimChar"/>
              </w:rPr>
              <w:t xml:space="preserve">decline_balance_above</w:t>
            </w:r>
            <w:r>
              <w:t xml:space="preserve">, the RCW 30A.22.190 $2,500 path, RCW 11.62.030) can be gamed by splitting accounts.</w:t>
            </w:r>
          </w:p>
        </w:tc>
        <w:tc>
          <w:tcPr/>
          <w:p>
            <w:pPr>
              <w:pStyle w:val="Compact"/>
            </w:pPr>
            <w:r>
              <w:t xml:space="preserve">Add</w:t>
            </w:r>
            <w:r>
              <w:t xml:space="preserve"> </w:t>
            </w:r>
            <w:r>
              <w:rPr>
                <w:rStyle w:val="VerbatimChar"/>
              </w:rPr>
              <w:t xml:space="preserve">aggregate_balance_at_institution</w:t>
            </w:r>
            <w:r>
              <w:t xml:space="preserve"> </w:t>
            </w:r>
            <w:r>
              <w:t xml:space="preserve">and apply balance-based thresholds to it. Batch evaluation should flag the same decedent appearing across fact sets.</w:t>
            </w:r>
          </w:p>
        </w:tc>
      </w:tr>
      <w:tr>
        <w:tc>
          <w:tcPr/>
          <w:p>
            <w:pPr>
              <w:pStyle w:val="Compact"/>
            </w:pPr>
            <w:r>
              <w:t xml:space="preserve">R35</w:t>
            </w:r>
          </w:p>
        </w:tc>
        <w:tc>
          <w:tcPr/>
          <w:p>
            <w:pPr>
              <w:pStyle w:val="Compact"/>
            </w:pPr>
            <w:r>
              <w:rPr>
                <w:b/>
                <w:bCs/>
              </w:rPr>
              <w:t xml:space="preserve">A trust as POD beneficiary.</w:t>
            </w:r>
          </w:p>
        </w:tc>
        <w:tc>
          <w:tcPr/>
          <w:p>
            <w:pPr>
              <w:pStyle w:val="Compact"/>
            </w:pPr>
            <w:r>
              <w:t xml:space="preserve">M</w:t>
            </w:r>
          </w:p>
        </w:tc>
        <w:tc>
          <w:tcPr/>
          <w:p>
            <w:pPr>
              <w:pStyle w:val="Compact"/>
            </w:pPr>
            <w:r>
              <w:t xml:space="preserve">M</w:t>
            </w:r>
          </w:p>
        </w:tc>
        <w:tc>
          <w:tcPr/>
          <w:p>
            <w:pPr>
              <w:pStyle w:val="Compact"/>
            </w:pPr>
            <w:r>
              <w:rPr>
                <w:b/>
                <w:bCs/>
              </w:rPr>
              <w:t xml:space="preserve">Regulation says:</w:t>
            </w:r>
            <w:r>
              <w:t xml:space="preserve"> </w:t>
            </w:r>
            <w:r>
              <w:t xml:space="preserve">"If an informal revocable trust designates the depositor's formal trust as its beneficiary, the informal revocable trust account will be treated as if titled in the name of the formal trust" (12 CFR § 330.10(c)(4); insurance purposes only). The CA definition of "P.O.D. payee" and any certification-of-trust statute were</w:t>
            </w:r>
            <w:r>
              <w:t xml:space="preserve"> </w:t>
            </w:r>
            <w:r>
              <w:rPr>
                <w:b/>
                <w:bCs/>
              </w:rPr>
              <w:t xml:space="preserve">not retrieved (UNVERIFIED)</w:t>
            </w:r>
            <w:r>
              <w:t xml:space="preserve">.</w:t>
            </w:r>
          </w:p>
        </w:tc>
        <w:tc>
          <w:tcPr/>
          <w:p>
            <w:pPr>
              <w:pStyle w:val="Compact"/>
            </w:pPr>
            <w:r>
              <w:t xml:space="preserve">The schema allows</w:t>
            </w:r>
            <w:r>
              <w:t xml:space="preserve"> </w:t>
            </w:r>
            <w:r>
              <w:rPr>
                <w:rStyle w:val="VerbatimChar"/>
              </w:rPr>
              <w:t xml:space="preserve">TRUST</w:t>
            </w:r>
            <w:r>
              <w:t xml:space="preserve"> </w:t>
            </w:r>
            <w:r>
              <w:t xml:space="preserve">acting via a trustee affiant. Require the trustee's identity plus proof of trust existence and trustee authority. Return</w:t>
            </w:r>
            <w:r>
              <w:t xml:space="preserve"> </w:t>
            </w:r>
            <w:r>
              <w:rPr>
                <w:rStyle w:val="VerbatimChar"/>
              </w:rPr>
              <w:t xml:space="preserve">not_determinable</w:t>
            </w:r>
            <w:r>
              <w:t xml:space="preserve"> </w:t>
            </w:r>
            <w:r>
              <w:t xml:space="preserve">until the attorney confirms CA and WA authority.</w:t>
            </w:r>
          </w:p>
        </w:tc>
      </w:tr>
      <w:tr>
        <w:tc>
          <w:tcPr/>
          <w:p>
            <w:pPr>
              <w:pStyle w:val="Compact"/>
            </w:pPr>
            <w:r>
              <w:t xml:space="preserve">R36</w:t>
            </w:r>
          </w:p>
        </w:tc>
        <w:tc>
          <w:tcPr/>
          <w:p>
            <w:pPr>
              <w:pStyle w:val="Compact"/>
            </w:pPr>
            <w:r>
              <w:rPr>
                <w:b/>
                <w:bCs/>
              </w:rPr>
              <w:t xml:space="preserve">Foreign heirs or payees.</w:t>
            </w:r>
          </w:p>
        </w:tc>
        <w:tc>
          <w:tcPr/>
          <w:p>
            <w:pPr>
              <w:pStyle w:val="Compact"/>
            </w:pPr>
            <w:r>
              <w:t xml:space="preserve">M</w:t>
            </w:r>
          </w:p>
        </w:tc>
        <w:tc>
          <w:tcPr/>
          <w:p>
            <w:pPr>
              <w:pStyle w:val="Compact"/>
            </w:pPr>
            <w:r>
              <w:t xml:space="preserve">L</w:t>
            </w:r>
          </w:p>
        </w:tc>
        <w:tc>
          <w:tcPr/>
          <w:p>
            <w:pPr>
              <w:pStyle w:val="Compact"/>
            </w:pPr>
            <w:r>
              <w:rPr>
                <w:b/>
                <w:bCs/>
              </w:rPr>
              <w:t xml:space="preserve">Statute says (CA):</w:t>
            </w:r>
            <w:r>
              <w:t xml:space="preserve"> </w:t>
            </w:r>
            <w:r>
              <w:t xml:space="preserve">"No person is disqualified to take as an heir because that person … is or has been a person who is not a citizen or national of the United States" (§ 6411). OFAC (R11) and transfer certificates (R10) apply. WA unsworn declarations apply to a declarant "physically located within or outside the boundaries of the United States" (RCW 5.50.020).</w:t>
            </w:r>
          </w:p>
        </w:tc>
        <w:tc>
          <w:tcPr/>
          <w:p>
            <w:pPr>
              <w:pStyle w:val="Compact"/>
            </w:pPr>
            <w:r>
              <w:t xml:space="preserve">Allow foreign payees. Require OFAC screening. Require the § 2015.5(b) form of declaration for CA affidavits signed abroad. Tax withholding on interest (IRS W-8 forms) is an institution process item and was not researched.</w:t>
            </w:r>
          </w:p>
        </w:tc>
      </w:tr>
    </w:tbl>
    <w:bookmarkEnd w:id="56"/>
    <w:bookmarkStart w:id="65" w:name="system-level-risks"/>
    <w:p>
      <w:pPr>
        <w:pStyle w:val="Heading3"/>
      </w:pPr>
      <w:r>
        <w:t xml:space="preserve">System-level risks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Risk or edge case</w:t>
            </w:r>
          </w:p>
        </w:tc>
        <w:tc>
          <w:tcPr/>
          <w:p>
            <w:pPr>
              <w:pStyle w:val="Compact"/>
            </w:pPr>
            <w:r>
              <w:t xml:space="preserve">Sev</w:t>
            </w:r>
          </w:p>
        </w:tc>
        <w:tc>
          <w:tcPr/>
          <w:p>
            <w:pPr>
              <w:pStyle w:val="Compact"/>
            </w:pPr>
            <w:r>
              <w:t xml:space="preserve">Lik</w:t>
            </w:r>
          </w:p>
        </w:tc>
        <w:tc>
          <w:tcPr/>
          <w:p>
            <w:pPr>
              <w:pStyle w:val="Compact"/>
            </w:pPr>
            <w:r>
              <w:t xml:space="preserve">Authority (quote + URL) or Reviewer inference</w:t>
            </w:r>
          </w:p>
        </w:tc>
        <w:tc>
          <w:tcPr/>
          <w:p>
            <w:pPr>
              <w:pStyle w:val="Compact"/>
            </w:pPr>
            <w:r>
              <w:t xml:space="preserve">Recommended engine or product response</w:t>
            </w:r>
          </w:p>
        </w:tc>
      </w:tr>
      <w:tr>
        <w:tc>
          <w:tcPr/>
          <w:p>
            <w:pPr>
              <w:pStyle w:val="Compact"/>
            </w:pPr>
            <w:r>
              <w:t xml:space="preserve">R3</w:t>
            </w:r>
          </w:p>
        </w:tc>
        <w:tc>
          <w:tcPr/>
          <w:p>
            <w:pPr>
              <w:pStyle w:val="Compact"/>
            </w:pPr>
            <w:r>
              <w:rPr>
                <w:b/>
                <w:bCs/>
              </w:rPr>
              <w:t xml:space="preserve">Stricter-only policy creates liability:</w:t>
            </w:r>
            <w:r>
              <w:t xml:space="preserve"> </w:t>
            </w:r>
            <w:r>
              <w:t xml:space="preserve">delay or refusal against a statutory right to be paid.</w:t>
            </w:r>
          </w:p>
        </w:tc>
        <w:tc>
          <w:tcPr/>
          <w:p>
            <w:pPr>
              <w:pStyle w:val="Compact"/>
            </w:pPr>
            <w:r>
              <w:t xml:space="preserve">H</w:t>
            </w:r>
          </w:p>
        </w:tc>
        <w:tc>
          <w:tcPr/>
          <w:p>
            <w:pPr>
              <w:pStyle w:val="Compact"/>
            </w:pPr>
            <w:r>
              <w:t xml:space="preserve">M</w:t>
            </w:r>
          </w:p>
        </w:tc>
        <w:tc>
          <w:tcPr/>
          <w:p>
            <w:pPr>
              <w:pStyle w:val="Compact"/>
            </w:pPr>
            <w:r>
              <w:rPr>
                <w:b/>
                <w:bCs/>
              </w:rPr>
              <w:t xml:space="preserve">Statute says (CA):</w:t>
            </w:r>
            <w:r>
              <w:t xml:space="preserve"> </w:t>
            </w:r>
            <w:r>
              <w:t xml:space="preserve">if the holder "refuses to pay … within a reasonable time", the court "shall award reasonable attorney's fees … if the court finds that the holder … acted unreasonably in refusing to pay" (§ 13105(b),</w:t>
            </w:r>
            <w:r>
              <w:t xml:space="preserve"> </w:t>
            </w:r>
            <w:hyperlink r:id="rId57">
              <w:r>
                <w:rPr>
                  <w:rStyle w:val="Hyperlink"/>
                </w:rPr>
                <w:t xml:space="preserve">https://california.public.law/codes/probate_code_section_13105</w:t>
              </w:r>
            </w:hyperlink>
            <w:r>
              <w:t xml:space="preserve">).</w:t>
            </w:r>
            <w:r>
              <w:t xml:space="preserve"> </w:t>
            </w:r>
            <w:r>
              <w:rPr>
                <w:b/>
                <w:bCs/>
              </w:rPr>
              <w:t xml:space="preserve">Statute says (WA):</w:t>
            </w:r>
            <w:r>
              <w:t xml:space="preserve"> </w:t>
            </w:r>
            <w:r>
              <w:t xml:space="preserve">the holder "shall pay such indebtedness … upon receipt of proof of death and of an affidavit" (RCW 11.62.010(1)). Refusal may be "compelled … in a proceeding" (11.62.020).</w:t>
            </w:r>
            <w:r>
              <w:t xml:space="preserve"> </w:t>
            </w:r>
            <w:r>
              <w:rPr>
                <w:b/>
                <w:bCs/>
              </w:rPr>
              <w:t xml:space="preserve">Statute says (CA multiple-party accounts):</w:t>
            </w:r>
            <w:r>
              <w:t xml:space="preserve"> </w:t>
            </w:r>
            <w:r>
              <w:t xml:space="preserve">"Any multiple-party account may be paid, on request and according to its terms" (§ 5401(a)).</w:t>
            </w:r>
            <w:r>
              <w:t xml:space="preserve"> </w:t>
            </w:r>
            <w:r>
              <w:rPr>
                <w:b/>
                <w:bCs/>
              </w:rPr>
              <w:t xml:space="preserve">UDAAP:</w:t>
            </w:r>
            <w:r>
              <w:t xml:space="preserve"> </w:t>
            </w:r>
            <w:r>
              <w:t xml:space="preserve">see R27.</w:t>
            </w:r>
          </w:p>
        </w:tc>
        <w:tc>
          <w:tcPr/>
          <w:p>
            <w:pPr>
              <w:pStyle w:val="Compact"/>
            </w:pPr>
            <w:r>
              <w:t xml:space="preserve">Cap</w:t>
            </w:r>
            <w:r>
              <w:t xml:space="preserve"> </w:t>
            </w:r>
            <w:r>
              <w:rPr>
                <w:rStyle w:val="VerbatimChar"/>
              </w:rPr>
              <w:t xml:space="preserve">additional_waiting_days</w:t>
            </w:r>
            <w:r>
              <w:t xml:space="preserve"> </w:t>
            </w:r>
            <w:r>
              <w:t xml:space="preserve">well below 3,650, with the cap set by the attorney. Require a stated reason code for each policy field. Show on each decision that policy days, documents, or declines may be challenged as "unreasonable" under § 13105(b). Rename "stricter-only" in user documents to "statute-floor-preserving" so readers don't assume it is legally safe.</w:t>
            </w:r>
          </w:p>
        </w:tc>
      </w:tr>
      <w:tr>
        <w:tc>
          <w:tcPr/>
          <w:p>
            <w:pPr>
              <w:pStyle w:val="Compact"/>
            </w:pPr>
            <w:r>
              <w:t xml:space="preserve">R22</w:t>
            </w:r>
          </w:p>
        </w:tc>
        <w:tc>
          <w:tcPr/>
          <w:p>
            <w:pPr>
              <w:pStyle w:val="Compact"/>
            </w:pPr>
            <w:r>
              <w:rPr>
                <w:b/>
                <w:bCs/>
              </w:rPr>
              <w:t xml:space="preserve">Unauthorized practice of law.</w:t>
            </w:r>
          </w:p>
        </w:tc>
        <w:tc>
          <w:tcPr/>
          <w:p>
            <w:pPr>
              <w:pStyle w:val="Compact"/>
            </w:pPr>
            <w:r>
              <w:t xml:space="preserve">M</w:t>
            </w:r>
          </w:p>
        </w:tc>
        <w:tc>
          <w:tcPr/>
          <w:p>
            <w:pPr>
              <w:pStyle w:val="Compact"/>
            </w:pPr>
            <w:r>
              <w:t xml:space="preserve">L–M</w:t>
            </w:r>
          </w:p>
        </w:tc>
        <w:tc>
          <w:tcPr/>
          <w:p>
            <w:pPr>
              <w:pStyle w:val="Compact"/>
            </w:pPr>
            <w:r>
              <w:rPr>
                <w:b/>
                <w:bCs/>
              </w:rPr>
              <w:t xml:space="preserve">Statute says (CA):</w:t>
            </w:r>
            <w:r>
              <w:t xml:space="preserve"> </w:t>
            </w:r>
            <w:r>
              <w:t xml:space="preserve">"No person shall practice law in California unless the person is an active licensee of the State Bar" (Bus. &amp; Prof. Code § 6125). Violation is a misdemeanor (§ 6126(a)).</w:t>
            </w:r>
            <w:r>
              <w:t xml:space="preserve"> </w:t>
            </w:r>
            <w:r>
              <w:rPr>
                <w:b/>
                <w:bCs/>
              </w:rPr>
              <w:t xml:space="preserve">Case law holds (9th Cir., applying CA law):</w:t>
            </w:r>
            <w:r>
              <w:t xml:space="preserve"> </w:t>
            </w:r>
            <w:r>
              <w:t xml:space="preserve">describing software as "an expert system" that "selected exemptions … and supplied relevant legal citations" was "personalized — albeit automated — counsel" and UPL. But the court "express[es] no view as to whether software alone … would constitute the practice of law" (</w:t>
            </w:r>
            <w:r>
              <w:rPr>
                <w:i/>
                <w:iCs/>
              </w:rPr>
              <w:t xml:space="preserve">In re Reynoso</w:t>
            </w:r>
            <w:r>
              <w:t xml:space="preserve">, 477 F.3d 1117 (9th Cir. 2007),</w:t>
            </w:r>
            <w:r>
              <w:t xml:space="preserve"> </w:t>
            </w:r>
            <w:hyperlink r:id="rId58">
              <w:r>
                <w:rPr>
                  <w:rStyle w:val="Hyperlink"/>
                </w:rPr>
                <w:t xml:space="preserve">https://law.resource.org/pub/us/case/reporter/F3/477/477.F3d.1117.04-17190.html</w:t>
              </w:r>
            </w:hyperlink>
            <w:r>
              <w:t xml:space="preserve">). CA's definition: "includes legal advice and counsel and the preparation of legal instruments" (</w:t>
            </w:r>
            <w:r>
              <w:rPr>
                <w:i/>
                <w:iCs/>
              </w:rPr>
              <w:t xml:space="preserve">Baron v. City of L.A.</w:t>
            </w:r>
            <w:r>
              <w:t xml:space="preserve">, 2 Cal.3d 535, quoted in</w:t>
            </w:r>
            <w:r>
              <w:t xml:space="preserve"> </w:t>
            </w:r>
            <w:r>
              <w:rPr>
                <w:i/>
                <w:iCs/>
              </w:rPr>
              <w:t xml:space="preserve">Reynoso</w:t>
            </w:r>
            <w:r>
              <w:t xml:space="preserve">).</w:t>
            </w:r>
            <w:r>
              <w:t xml:space="preserve"> </w:t>
            </w:r>
            <w:r>
              <w:rPr>
                <w:b/>
                <w:bCs/>
              </w:rPr>
              <w:t xml:space="preserve">Rule says (WA):</w:t>
            </w:r>
            <w:r>
              <w:t xml:space="preserve"> </w:t>
            </w:r>
            <w:r>
              <w:t xml:space="preserve">practice of law is "the application of legal principles and judgment with regard to the circumstances or objectives of another entity or person(s)". Permitted: "(8) Sale of legal forms in any format" and "(d) … information of a general nature about the law" (GR 24, amended eff. Sept. 1, 2025,</w:t>
            </w:r>
            <w:r>
              <w:t xml:space="preserve"> </w:t>
            </w:r>
            <w:hyperlink r:id="rId59">
              <w:r>
                <w:rPr>
                  <w:rStyle w:val="Hyperlink"/>
                </w:rPr>
                <w:t xml:space="preserve">https://www.courts.wa.gov/court_rules/pdf/GR/GA_GR_24_00_00.pdf</w:t>
              </w:r>
            </w:hyperlink>
            <w:r>
              <w:t xml:space="preserve">). Unlawful practice "is a crime" (RCW 2.48.180(3)(a)).</w:t>
            </w:r>
            <w:r>
              <w:t xml:space="preserve"> </w:t>
            </w:r>
            <w:r>
              <w:rPr>
                <w:i/>
                <w:iCs/>
              </w:rPr>
              <w:t xml:space="preserve">Perkins v. CTX Mortgage Co.</w:t>
            </w:r>
            <w:r>
              <w:t xml:space="preserve">, 137 Wn.2d 93, 969 P.2d 93 (1999) was located; holding UNVERIFIED.</w:t>
            </w:r>
            <w:r>
              <w:t xml:space="preserve"> </w:t>
            </w:r>
            <w:r>
              <w:rPr>
                <w:b/>
                <w:bCs/>
              </w:rPr>
              <w:t xml:space="preserve">Reviewer inference:</w:t>
            </w:r>
            <w:r>
              <w:t xml:space="preserve"> </w:t>
            </w:r>
            <w:r>
              <w:t xml:space="preserve">an institution deciding its own payment obligations is acting for itself, not "for another". The risk rises if outputs reach claimants as advice, or if the product drafts affidavits for families.</w:t>
            </w:r>
          </w:p>
        </w:tc>
        <w:tc>
          <w:tcPr/>
          <w:p>
            <w:pPr>
              <w:pStyle w:val="Compact"/>
            </w:pPr>
            <w:r>
              <w:t xml:space="preserve">Sell business-to-business only. Never expose decisions to claimants as advice about their rights. Don't generate affidavits or claimant-facing guidance. Keep rules attorney-approved, with attorney sign-off recorded (currently "TO BE DECIDED"). Avoid "expert system" or "replaces a lawyer" marketing. Get a formal opinion from CA and WA counsel before any consumer channel.</w:t>
            </w:r>
          </w:p>
        </w:tc>
      </w:tr>
      <w:tr>
        <w:tc>
          <w:tcPr/>
          <w:p>
            <w:pPr>
              <w:pStyle w:val="Compact"/>
            </w:pPr>
            <w:r>
              <w:t xml:space="preserve">R23</w:t>
            </w:r>
          </w:p>
        </w:tc>
        <w:tc>
          <w:tcPr/>
          <w:p>
            <w:pPr>
              <w:pStyle w:val="Compact"/>
            </w:pPr>
            <w:r>
              <w:rPr>
                <w:b/>
                <w:bCs/>
              </w:rPr>
              <w:t xml:space="preserve">Engine error and loss of the statutory discharge.</w:t>
            </w:r>
          </w:p>
        </w:tc>
        <w:tc>
          <w:tcPr/>
          <w:p>
            <w:pPr>
              <w:pStyle w:val="Compact"/>
            </w:pPr>
            <w:r>
              <w:t xml:space="preserve">H</w:t>
            </w:r>
          </w:p>
        </w:tc>
        <w:tc>
          <w:tcPr/>
          <w:p>
            <w:pPr>
              <w:pStyle w:val="Compact"/>
            </w:pPr>
            <w:r>
              <w:t xml:space="preserve">M</w:t>
            </w:r>
          </w:p>
        </w:tc>
        <w:tc>
          <w:tcPr/>
          <w:p>
            <w:pPr>
              <w:pStyle w:val="Compact"/>
            </w:pPr>
            <w:r>
              <w:rPr>
                <w:b/>
                <w:bCs/>
              </w:rPr>
              <w:t xml:space="preserve">Statute says:</w:t>
            </w:r>
            <w:r>
              <w:t xml:space="preserve"> </w:t>
            </w:r>
            <w:r>
              <w:t xml:space="preserve">"If the requirements of Section 13100 to 13104, inclusive, are satisfied, receipt by the holder … discharges the holder" (CA § 13106(a)). "Payment made pursuant to Section 5401, 5402, 5403, or 5404 discharges" (§ 5405(a)). WA: "discharged … unless … actual knowledge of the falsity" (RCW 11.62.020). The institution "may rely conclusively and entirely upon the form of the account and the terms of the contract of deposit" (RCW 30A.22.120).</w:t>
            </w:r>
            <w:r>
              <w:t xml:space="preserve"> </w:t>
            </w:r>
            <w:r>
              <w:rPr>
                <w:b/>
                <w:bCs/>
              </w:rPr>
              <w:t xml:space="preserve">Reviewer inference:</w:t>
            </w:r>
            <w:r>
              <w:t xml:space="preserve"> </w:t>
            </w:r>
            <w:r>
              <w:t xml:space="preserve">none of these mention the institution's reliance on a vendor or its software. A payment that does not meet the statute is unprotected, whatever the engine said.</w:t>
            </w:r>
          </w:p>
        </w:tc>
        <w:tc>
          <w:tcPr/>
          <w:p>
            <w:pPr>
              <w:pStyle w:val="Compact"/>
            </w:pPr>
            <w:r>
              <w:t xml:space="preserve">State on every</w:t>
            </w:r>
            <w:r>
              <w:t xml:space="preserve"> </w:t>
            </w:r>
            <w:r>
              <w:rPr>
                <w:rStyle w:val="VerbatimChar"/>
              </w:rPr>
              <w:t xml:space="preserve">determined</w:t>
            </w:r>
            <w:r>
              <w:t xml:space="preserve"> </w:t>
            </w:r>
            <w:r>
              <w:t xml:space="preserve">decision: "Protection applies only if the documents actually received match these facts." Attach a document-to-fact checklist. Prefer</w:t>
            </w:r>
            <w:r>
              <w:t xml:space="preserve"> </w:t>
            </w:r>
            <w:r>
              <w:rPr>
                <w:rStyle w:val="VerbatimChar"/>
              </w:rPr>
              <w:t xml:space="preserve">not_determinable</w:t>
            </w:r>
            <w:r>
              <w:t xml:space="preserve"> </w:t>
            </w:r>
            <w:r>
              <w:t xml:space="preserve">on any doubt, as now.</w:t>
            </w:r>
          </w:p>
        </w:tc>
      </w:tr>
      <w:tr>
        <w:tc>
          <w:tcPr/>
          <w:p>
            <w:pPr>
              <w:pStyle w:val="Compact"/>
            </w:pPr>
            <w:r>
              <w:t xml:space="preserve">R24</w:t>
            </w:r>
          </w:p>
        </w:tc>
        <w:tc>
          <w:tcPr/>
          <w:p>
            <w:pPr>
              <w:pStyle w:val="Compact"/>
            </w:pPr>
            <w:r>
              <w:rPr>
                <w:b/>
                <w:bCs/>
              </w:rPr>
              <w:t xml:space="preserve">Contract allocation: warranties, indemnity, exculpation.</w:t>
            </w:r>
          </w:p>
        </w:tc>
        <w:tc>
          <w:tcPr/>
          <w:p>
            <w:pPr>
              <w:pStyle w:val="Compact"/>
            </w:pPr>
            <w:r>
              <w:t xml:space="preserve">M</w:t>
            </w:r>
          </w:p>
        </w:tc>
        <w:tc>
          <w:tcPr/>
          <w:p>
            <w:pPr>
              <w:pStyle w:val="Compact"/>
            </w:pPr>
            <w:r>
              <w:t xml:space="preserve">M</w:t>
            </w:r>
          </w:p>
        </w:tc>
        <w:tc>
          <w:tcPr/>
          <w:p>
            <w:pPr>
              <w:pStyle w:val="Compact"/>
            </w:pPr>
            <w:r>
              <w:rPr>
                <w:b/>
                <w:bCs/>
              </w:rPr>
              <w:t xml:space="preserve">Statute says (CA):</w:t>
            </w:r>
            <w:r>
              <w:t xml:space="preserve"> </w:t>
            </w:r>
            <w:r>
              <w:t xml:space="preserve">contracts "which have for their object … to exempt any one from responsibility for his own fraud, or willful injury … or violation of law, whether willful or negligent, are against the policy of the law" (Civ. Code § 1668,</w:t>
            </w:r>
            <w:r>
              <w:t xml:space="preserve"> </w:t>
            </w:r>
            <w:hyperlink r:id="rId60">
              <w:r>
                <w:rPr>
                  <w:rStyle w:val="Hyperlink"/>
                </w:rPr>
                <w:t xml:space="preserve">https://california.public.law/codes/civil_code_section_1668</w:t>
              </w:r>
            </w:hyperlink>
            <w:r>
              <w:t xml:space="preserve">).</w:t>
            </w:r>
            <w:r>
              <w:t xml:space="preserve"> </w:t>
            </w:r>
            <w:r>
              <w:rPr>
                <w:b/>
                <w:bCs/>
              </w:rPr>
              <w:t xml:space="preserve">Reviewer inference:</w:t>
            </w:r>
            <w:r>
              <w:t xml:space="preserve"> </w:t>
            </w:r>
            <w:r>
              <w:t xml:space="preserve">WA enforceability of liability caps was not researched. Negligence and economic-loss-rule exposure to non-customer claimants was not researched.</w:t>
            </w:r>
          </w:p>
        </w:tc>
        <w:tc>
          <w:tcPr/>
          <w:p>
            <w:pPr>
              <w:pStyle w:val="Compact"/>
            </w:pPr>
            <w:r>
              <w:t xml:space="preserve">Customer agreement terms: no warranty of legal correctness; institution retains decision authority; rule-version transparency; a reasonable cap with carve-outs consistent with § 1668; errors-and-omissions insurance. Attorney to draft.</w:t>
            </w:r>
          </w:p>
        </w:tc>
      </w:tr>
      <w:tr>
        <w:tc>
          <w:tcPr/>
          <w:p>
            <w:pPr>
              <w:pStyle w:val="Compact"/>
            </w:pPr>
            <w:r>
              <w:t xml:space="preserve">R25</w:t>
            </w:r>
          </w:p>
        </w:tc>
        <w:tc>
          <w:tcPr/>
          <w:p>
            <w:pPr>
              <w:pStyle w:val="Compact"/>
            </w:pPr>
            <w:r>
              <w:rPr>
                <w:b/>
                <w:bCs/>
              </w:rPr>
              <w:t xml:space="preserve">Third-party risk management and the Bank Service Company Act.</w:t>
            </w:r>
          </w:p>
        </w:tc>
        <w:tc>
          <w:tcPr/>
          <w:p>
            <w:pPr>
              <w:pStyle w:val="Compact"/>
            </w:pPr>
            <w:r>
              <w:t xml:space="preserve">M</w:t>
            </w:r>
          </w:p>
        </w:tc>
        <w:tc>
          <w:tcPr/>
          <w:p>
            <w:pPr>
              <w:pStyle w:val="Compact"/>
            </w:pPr>
            <w:r>
              <w:t xml:space="preserve">H</w:t>
            </w:r>
          </w:p>
        </w:tc>
        <w:tc>
          <w:tcPr/>
          <w:p>
            <w:pPr>
              <w:pStyle w:val="Compact"/>
            </w:pPr>
            <w:r>
              <w:rPr>
                <w:b/>
                <w:bCs/>
              </w:rPr>
              <w:t xml:space="preserve">Regulator guidance:</w:t>
            </w:r>
            <w:r>
              <w:t xml:space="preserve"> </w:t>
            </w:r>
            <w:r>
              <w:t xml:space="preserve">"A banking organization's use of third parties does not diminish its responsibility to meet these requirements to the same extent as if its activities were performed by the banking organization in-house" (Interagency Guidance, 88 FR 37920 (June 9, 2023),</w:t>
            </w:r>
            <w:r>
              <w:t xml:space="preserve"> </w:t>
            </w:r>
            <w:hyperlink r:id="rId61">
              <w:r>
                <w:rPr>
                  <w:rStyle w:val="Hyperlink"/>
                </w:rPr>
                <w:t xml:space="preserve">https://www.federalregister.gov/documents/2023/06/09/2023-12340</w:t>
              </w:r>
            </w:hyperlink>
            <w:r>
              <w:t xml:space="preserve">). Proposed replacement guidance (OCC, Board, FDIC,</w:t>
            </w:r>
            <w:r>
              <w:t xml:space="preserve"> </w:t>
            </w:r>
            <w:r>
              <w:rPr>
                <w:b/>
                <w:bCs/>
              </w:rPr>
              <w:t xml:space="preserve">and NCUA</w:t>
            </w:r>
            <w:r>
              <w:t xml:space="preserve">) would "replace the 2023 Guidance"; comments close 2026-11-16 (91 FR 58536,</w:t>
            </w:r>
            <w:r>
              <w:t xml:space="preserve"> </w:t>
            </w:r>
            <w:hyperlink r:id="rId62">
              <w:r>
                <w:rPr>
                  <w:rStyle w:val="Hyperlink"/>
                </w:rPr>
                <w:t xml:space="preserve">https://www.federalregister.gov/documents/2026/09/15/2026-18859</w:t>
              </w:r>
            </w:hyperlink>
            <w:r>
              <w:t xml:space="preserve">).</w:t>
            </w:r>
            <w:r>
              <w:t xml:space="preserve"> </w:t>
            </w:r>
            <w:r>
              <w:rPr>
                <w:b/>
                <w:bCs/>
              </w:rPr>
              <w:t xml:space="preserve">Statute says:</w:t>
            </w:r>
            <w:r>
              <w:t xml:space="preserve"> </w:t>
            </w:r>
            <w:r>
              <w:t xml:space="preserve">services performed by contract for an examined depository institution "shall be subject to regulation and examination … as if such services were being performed by the depository institution itself", with notice "within thirty days" (12 U.S.C. § 1867(c)). Whether this software is a § 1867 "service" is Reviewer inference.</w:t>
            </w:r>
          </w:p>
        </w:tc>
        <w:tc>
          <w:tcPr/>
          <w:p>
            <w:pPr>
              <w:pStyle w:val="Compact"/>
            </w:pPr>
            <w:r>
              <w:t xml:space="preserve">Prepare a due-diligence package: security controls, SOC report plan, rule-change governance, attorney review evidence, business continuity, exit plan. Track the 2026 proposal.</w:t>
            </w:r>
          </w:p>
        </w:tc>
      </w:tr>
      <w:tr>
        <w:tc>
          <w:tcPr/>
          <w:p>
            <w:pPr>
              <w:pStyle w:val="Compact"/>
            </w:pPr>
            <w:r>
              <w:t xml:space="preserve">R26</w:t>
            </w:r>
          </w:p>
        </w:tc>
        <w:tc>
          <w:tcPr/>
          <w:p>
            <w:pPr>
              <w:pStyle w:val="Compact"/>
            </w:pPr>
            <w:r>
              <w:rPr>
                <w:b/>
                <w:bCs/>
              </w:rPr>
              <w:t xml:space="preserve">Model risk management.</w:t>
            </w:r>
          </w:p>
        </w:tc>
        <w:tc>
          <w:tcPr/>
          <w:p>
            <w:pPr>
              <w:pStyle w:val="Compact"/>
            </w:pPr>
            <w:r>
              <w:t xml:space="preserve">L</w:t>
            </w:r>
          </w:p>
        </w:tc>
        <w:tc>
          <w:tcPr/>
          <w:p>
            <w:pPr>
              <w:pStyle w:val="Compact"/>
            </w:pPr>
            <w:r>
              <w:t xml:space="preserve">L</w:t>
            </w:r>
          </w:p>
        </w:tc>
        <w:tc>
          <w:tcPr/>
          <w:p>
            <w:pPr>
              <w:pStyle w:val="Compact"/>
            </w:pPr>
            <w:r>
              <w:rPr>
                <w:b/>
                <w:bCs/>
              </w:rPr>
              <w:t xml:space="preserve">Regulator guidance:</w:t>
            </w:r>
            <w:r>
              <w:t xml:space="preserve"> </w:t>
            </w:r>
            <w:r>
              <w:t xml:space="preserve">"The term 'model' in this guidance excludes simple arithmetic calculations … as well as deterministic rule-based processes and software where there are no statistical, economic, or financial theories underpinning their design" (SR 26-2 attachment, Apr. 17, 2026,</w:t>
            </w:r>
            <w:r>
              <w:t xml:space="preserve"> </w:t>
            </w:r>
            <w:hyperlink r:id="rId63">
              <w:r>
                <w:rPr>
                  <w:rStyle w:val="Hyperlink"/>
                </w:rPr>
                <w:t xml:space="preserve">https://www.federalreserve.gov/supervisionreg/srletters/SR2602a1.pdf</w:t>
              </w:r>
            </w:hyperlink>
            <w:r>
              <w:t xml:space="preserve">). SR 26-2 "supersedes and replaces" SR 11-7 and SR 21-8 (</w:t>
            </w:r>
            <w:hyperlink r:id="rId64">
              <w:r>
                <w:rPr>
                  <w:rStyle w:val="Hyperlink"/>
                </w:rPr>
                <w:t xml:space="preserve">https://www.federalreserve.gov/supervisionreg/srletters/SR2602.htm</w:t>
              </w:r>
            </w:hyperlink>
            <w:r>
              <w:t xml:space="preserve">). The OCC counterpart, reported as Bulletin 2026-13 in secondary sources, was</w:t>
            </w:r>
            <w:r>
              <w:t xml:space="preserve"> </w:t>
            </w:r>
            <w:r>
              <w:rPr>
                <w:b/>
                <w:bCs/>
              </w:rPr>
              <w:t xml:space="preserve">not retrieved</w:t>
            </w:r>
            <w:r>
              <w:t xml:space="preserve">.</w:t>
            </w:r>
          </w:p>
        </w:tc>
        <w:tc>
          <w:tcPr/>
          <w:p>
            <w:pPr>
              <w:pStyle w:val="Compact"/>
            </w:pPr>
            <w:r>
              <w:t xml:space="preserve">Document in product materials that the engine is deterministic and contains no statistical model. Keep change control and golden-scenario testing as the validation evidence.</w:t>
            </w:r>
          </w:p>
        </w:tc>
      </w:tr>
      <w:tr>
        <w:tc>
          <w:tcPr/>
          <w:p>
            <w:pPr>
              <w:pStyle w:val="Compact"/>
            </w:pPr>
            <w:r>
              <w:t xml:space="preserve">R27</w:t>
            </w:r>
          </w:p>
        </w:tc>
        <w:tc>
          <w:tcPr/>
          <w:p>
            <w:pPr>
              <w:pStyle w:val="Compact"/>
            </w:pPr>
            <w:r>
              <w:rPr>
                <w:b/>
                <w:bCs/>
              </w:rPr>
              <w:t xml:space="preserve">UDAAP:</w:t>
            </w:r>
            <w:r>
              <w:t xml:space="preserve"> </w:t>
            </w:r>
            <w:r>
              <w:t xml:space="preserve">delays or denials to grieving families, and the vendor's own exposure.</w:t>
            </w:r>
          </w:p>
        </w:tc>
        <w:tc>
          <w:tcPr/>
          <w:p>
            <w:pPr>
              <w:pStyle w:val="Compact"/>
            </w:pPr>
            <w:r>
              <w:t xml:space="preserve">M</w:t>
            </w:r>
          </w:p>
        </w:tc>
        <w:tc>
          <w:tcPr/>
          <w:p>
            <w:pPr>
              <w:pStyle w:val="Compact"/>
            </w:pPr>
            <w:r>
              <w:t xml:space="preserve">L–M</w:t>
            </w:r>
          </w:p>
        </w:tc>
        <w:tc>
          <w:tcPr/>
          <w:p>
            <w:pPr>
              <w:pStyle w:val="Compact"/>
            </w:pPr>
            <w:r>
              <w:rPr>
                <w:b/>
                <w:bCs/>
              </w:rPr>
              <w:t xml:space="preserve">Statute says:</w:t>
            </w:r>
            <w:r>
              <w:t xml:space="preserve"> </w:t>
            </w:r>
            <w:r>
              <w:t xml:space="preserve">"consumer financial product or service" includes "engaging in deposit-taking activities" (12 U.S.C. § 5481(15)(A)(iv)). An unfair practice is one that "causes or is likely to cause substantial injury to consumers which is not reasonably avoidable" (§ 5531(c)(1)). It is unlawful for "any covered person or service provider … to engage in any unfair, deceptive, or abusive act or practice" (§ 5536(a)(1)(B)). A "service provider" includes one who "participates in designing, operating, or maintaining the consumer financial product or service" (§ 5481(26)(A)(i)), excluding "a support service of a type provided to businesses generally" (§ 5481(26)(B)(i)). "Consumer" includes "an agent, trustee, or representative acting on behalf of an individual" (§ 5481(4)).</w:t>
            </w:r>
          </w:p>
        </w:tc>
        <w:tc>
          <w:tcPr/>
          <w:p>
            <w:pPr>
              <w:pStyle w:val="Compact"/>
            </w:pPr>
            <w:r>
              <w:t xml:space="preserve">Give</w:t>
            </w:r>
            <w:r>
              <w:t xml:space="preserve"> </w:t>
            </w:r>
            <w:r>
              <w:rPr>
                <w:rStyle w:val="VerbatimChar"/>
              </w:rPr>
              <w:t xml:space="preserve">not_determinable</w:t>
            </w:r>
            <w:r>
              <w:t xml:space="preserve"> </w:t>
            </w:r>
            <w:r>
              <w:t xml:space="preserve">outcomes a human-review service-level target. Make reason codes understandable. Keep policy days and documents tied to stated risk reasons. Get attorney review of whether the vendor is a "service provider".</w:t>
            </w:r>
          </w:p>
        </w:tc>
      </w:tr>
      <w:tr>
        <w:tc>
          <w:tcPr/>
          <w:p>
            <w:pPr>
              <w:pStyle w:val="Compact"/>
            </w:pPr>
            <w:r>
              <w:t xml:space="preserve">R28</w:t>
            </w:r>
          </w:p>
        </w:tc>
        <w:tc>
          <w:tcPr/>
          <w:p>
            <w:pPr>
              <w:pStyle w:val="Compact"/>
            </w:pPr>
            <w:r>
              <w:rPr>
                <w:b/>
                <w:bCs/>
              </w:rPr>
              <w:t xml:space="preserve">Recordkeeping, audit, and reproducibility.</w:t>
            </w:r>
          </w:p>
        </w:tc>
        <w:tc>
          <w:tcPr/>
          <w:p>
            <w:pPr>
              <w:pStyle w:val="Compact"/>
            </w:pPr>
            <w:r>
              <w:t xml:space="preserve">M</w:t>
            </w:r>
          </w:p>
        </w:tc>
        <w:tc>
          <w:tcPr/>
          <w:p>
            <w:pPr>
              <w:pStyle w:val="Compact"/>
            </w:pPr>
            <w:r>
              <w:t xml:space="preserve">M</w:t>
            </w:r>
          </w:p>
        </w:tc>
        <w:tc>
          <w:tcPr/>
          <w:p>
            <w:pPr>
              <w:pStyle w:val="Compact"/>
            </w:pPr>
            <w:r>
              <w:rPr>
                <w:b/>
                <w:bCs/>
              </w:rPr>
              <w:t xml:space="preserve">Regulation says:</w:t>
            </w:r>
            <w:r>
              <w:t xml:space="preserve"> </w:t>
            </w:r>
            <w:r>
              <w:t xml:space="preserve">BSA records are kept "for a period of five years" (31 CFR § 1010.430(d)). Reclamation certifications need withdrawer identities (31 CFR § 210.11(b)(3)). CA fraud claims can be brought up to "three years after the discovery of the fraud" and are "not tolled for any reason" (§ 13110(c)).</w:t>
            </w:r>
            <w:r>
              <w:t xml:space="preserve"> </w:t>
            </w:r>
            <w:r>
              <w:rPr>
                <w:b/>
                <w:bCs/>
              </w:rPr>
              <w:t xml:space="preserve">Reviewer inference:</w:t>
            </w:r>
            <w:r>
              <w:t xml:space="preserve"> </w:t>
            </w:r>
            <w:r>
              <w:t xml:space="preserve">the planned log stores only a facts hash. Without the raw facts, which the institution must keep, a decision cannot be re-derived later.</w:t>
            </w:r>
          </w:p>
        </w:tc>
        <w:tc>
          <w:tcPr/>
          <w:p>
            <w:pPr>
              <w:pStyle w:val="Compact"/>
            </w:pPr>
            <w:r>
              <w:t xml:space="preserve">Give the institution a downloadable decision record that includes the facts (the UI already offers one), and tell institutions to keep it with the claim file. Keep the rule-set hash and version permanently. Retention: at least 5 years, or longer as counsel advises.</w:t>
            </w:r>
          </w:p>
        </w:tc>
      </w:tr>
    </w:tbl>
    <w:bookmarkEnd w:id="65"/>
    <w:bookmarkEnd w:id="66"/>
    <w:bookmarkStart w:id="67" w:name="gaps-and-omissions-cross-cutting"/>
    <w:p>
      <w:pPr>
        <w:pStyle w:val="Heading2"/>
      </w:pPr>
      <w:r>
        <w:t xml:space="preserve">Gaps and omissions (cross-cutting)</w:t>
      </w:r>
    </w:p>
    <w:p>
      <w:pPr>
        <w:numPr>
          <w:ilvl w:val="0"/>
          <w:numId w:val="1016"/>
        </w:numPr>
      </w:pPr>
      <w:r>
        <w:rPr>
          <w:b/>
          <w:bCs/>
        </w:rPr>
        <w:t xml:space="preserve">No federal-overlay preconditions on decisions.</w:t>
      </w:r>
      <w:r>
        <w:t xml:space="preserve"> </w:t>
      </w:r>
      <w:r>
        <w:t xml:space="preserve">A</w:t>
      </w:r>
      <w:r>
        <w:t xml:space="preserve"> </w:t>
      </w:r>
      <w:r>
        <w:rPr>
          <w:rStyle w:val="VerbatimChar"/>
        </w:rPr>
        <w:t xml:space="preserve">determined</w:t>
      </w:r>
      <w:r>
        <w:t xml:space="preserve"> </w:t>
      </w:r>
      <w:r>
        <w:t xml:space="preserve">decision implies a payout can proceed. In fact several federal steps come first:</w:t>
      </w:r>
    </w:p>
    <w:p>
      <w:pPr>
        <w:pStyle w:val="Compact"/>
        <w:numPr>
          <w:ilvl w:val="1"/>
          <w:numId w:val="1017"/>
        </w:numPr>
      </w:pPr>
      <w:r>
        <w:t xml:space="preserve">reclamation review (R2);</w:t>
      </w:r>
    </w:p>
    <w:p>
      <w:pPr>
        <w:pStyle w:val="Compact"/>
        <w:numPr>
          <w:ilvl w:val="1"/>
          <w:numId w:val="1017"/>
        </w:numPr>
      </w:pPr>
      <w:r>
        <w:t xml:space="preserve">OFAC screening (R11);</w:t>
      </w:r>
    </w:p>
    <w:p>
      <w:pPr>
        <w:pStyle w:val="Compact"/>
        <w:numPr>
          <w:ilvl w:val="1"/>
          <w:numId w:val="1017"/>
        </w:numPr>
      </w:pPr>
      <w:r>
        <w:t xml:space="preserve">levy check (R8);</w:t>
      </w:r>
    </w:p>
    <w:p>
      <w:pPr>
        <w:pStyle w:val="Compact"/>
        <w:numPr>
          <w:ilvl w:val="1"/>
          <w:numId w:val="1017"/>
        </w:numPr>
      </w:pPr>
      <w:r>
        <w:t xml:space="preserve">a transfer certificate where needed (R10);</w:t>
      </w:r>
    </w:p>
    <w:p>
      <w:pPr>
        <w:pStyle w:val="Compact"/>
        <w:numPr>
          <w:ilvl w:val="1"/>
          <w:numId w:val="1017"/>
        </w:numPr>
      </w:pPr>
      <w:r>
        <w:t xml:space="preserve">BSA identity verification (R19).</w:t>
      </w:r>
    </w:p>
    <w:p>
      <w:pPr>
        <w:numPr>
          <w:ilvl w:val="0"/>
          <w:numId w:val="1000"/>
        </w:numPr>
      </w:pPr>
      <w:r>
        <w:t xml:space="preserve">Add a fixed "institution pre-payment checks" list to every determined decision.</w:t>
      </w:r>
    </w:p>
    <w:p>
      <w:pPr>
        <w:numPr>
          <w:ilvl w:val="0"/>
          <w:numId w:val="1016"/>
        </w:numPr>
      </w:pPr>
      <w:r>
        <w:rPr>
          <w:b/>
          <w:bCs/>
        </w:rPr>
        <w:t xml:space="preserve">Payment-blocking facts are incomplete.</w:t>
      </w:r>
      <w:r>
        <w:t xml:space="preserve"> </w:t>
      </w:r>
      <w:r>
        <w:t xml:space="preserve">Schema v4 has a restraining order, a withdrawal notice, a dispute notice, and a testamentary-disposition notice. It is missing:</w:t>
      </w:r>
    </w:p>
    <w:p>
      <w:pPr>
        <w:pStyle w:val="Compact"/>
        <w:numPr>
          <w:ilvl w:val="1"/>
          <w:numId w:val="1018"/>
        </w:numPr>
      </w:pPr>
      <w:r>
        <w:t xml:space="preserve">slayer or abuser notice;</w:t>
      </w:r>
    </w:p>
    <w:p>
      <w:pPr>
        <w:pStyle w:val="Compact"/>
        <w:numPr>
          <w:ilvl w:val="1"/>
          <w:numId w:val="1018"/>
        </w:numPr>
      </w:pPr>
      <w:r>
        <w:t xml:space="preserve">exploitation hold;</w:t>
      </w:r>
    </w:p>
    <w:p>
      <w:pPr>
        <w:pStyle w:val="Compact"/>
        <w:numPr>
          <w:ilvl w:val="1"/>
          <w:numId w:val="1018"/>
        </w:numPr>
      </w:pPr>
      <w:r>
        <w:t xml:space="preserve">tax levy or garnishment;</w:t>
      </w:r>
    </w:p>
    <w:p>
      <w:pPr>
        <w:pStyle w:val="Compact"/>
        <w:numPr>
          <w:ilvl w:val="1"/>
          <w:numId w:val="1018"/>
        </w:numPr>
      </w:pPr>
      <w:r>
        <w:t xml:space="preserve">bankruptcy;</w:t>
      </w:r>
    </w:p>
    <w:p>
      <w:pPr>
        <w:pStyle w:val="Compact"/>
        <w:numPr>
          <w:ilvl w:val="1"/>
          <w:numId w:val="1018"/>
        </w:numPr>
      </w:pPr>
      <w:r>
        <w:t xml:space="preserve">OFAC hit;</w:t>
      </w:r>
    </w:p>
    <w:p>
      <w:pPr>
        <w:pStyle w:val="Compact"/>
        <w:numPr>
          <w:ilvl w:val="1"/>
          <w:numId w:val="1018"/>
        </w:numPr>
      </w:pPr>
      <w:r>
        <w:t xml:space="preserve">knowledge of a false affidavit;</w:t>
      </w:r>
    </w:p>
    <w:p>
      <w:pPr>
        <w:pStyle w:val="Compact"/>
        <w:numPr>
          <w:ilvl w:val="1"/>
          <w:numId w:val="1018"/>
        </w:numPr>
      </w:pPr>
      <w:r>
        <w:t xml:space="preserve">competing affidavits;</w:t>
      </w:r>
    </w:p>
    <w:p>
      <w:pPr>
        <w:pStyle w:val="Compact"/>
        <w:numPr>
          <w:ilvl w:val="1"/>
          <w:numId w:val="1018"/>
        </w:numPr>
      </w:pPr>
      <w:r>
        <w:t xml:space="preserve">encumbrance or setoff;</w:t>
      </w:r>
    </w:p>
    <w:p>
      <w:pPr>
        <w:pStyle w:val="Compact"/>
        <w:numPr>
          <w:ilvl w:val="1"/>
          <w:numId w:val="1018"/>
        </w:numPr>
      </w:pPr>
      <w:r>
        <w:t xml:space="preserve">post-death federal credits;</w:t>
      </w:r>
    </w:p>
    <w:p>
      <w:pPr>
        <w:pStyle w:val="Compact"/>
        <w:numPr>
          <w:ilvl w:val="1"/>
          <w:numId w:val="1018"/>
        </w:numPr>
      </w:pPr>
      <w:r>
        <w:t xml:space="preserve">reclamation notice;</w:t>
      </w:r>
    </w:p>
    <w:p>
      <w:pPr>
        <w:pStyle w:val="Compact"/>
        <w:numPr>
          <w:ilvl w:val="1"/>
          <w:numId w:val="1018"/>
        </w:numPr>
      </w:pPr>
      <w:r>
        <w:t xml:space="preserve">a 120-hour survival measure;</w:t>
      </w:r>
    </w:p>
    <w:p>
      <w:pPr>
        <w:pStyle w:val="Compact"/>
        <w:numPr>
          <w:ilvl w:val="1"/>
          <w:numId w:val="1018"/>
        </w:numPr>
      </w:pPr>
      <w:r>
        <w:t xml:space="preserve">payee alive at payment;</w:t>
      </w:r>
    </w:p>
    <w:p>
      <w:pPr>
        <w:pStyle w:val="Compact"/>
        <w:numPr>
          <w:ilvl w:val="1"/>
          <w:numId w:val="1018"/>
        </w:numPr>
      </w:pPr>
      <w:r>
        <w:t xml:space="preserve">payee is a minor or lacks capacity;</w:t>
      </w:r>
    </w:p>
    <w:p>
      <w:pPr>
        <w:pStyle w:val="Compact"/>
        <w:numPr>
          <w:ilvl w:val="1"/>
          <w:numId w:val="1018"/>
        </w:numPr>
      </w:pPr>
      <w:r>
        <w:t xml:space="preserve">the decedent's estate-tax residency;</w:t>
      </w:r>
    </w:p>
    <w:p>
      <w:pPr>
        <w:pStyle w:val="Compact"/>
        <w:numPr>
          <w:ilvl w:val="1"/>
          <w:numId w:val="1018"/>
        </w:numPr>
      </w:pPr>
      <w:r>
        <w:t xml:space="preserve">an aggregate balance;</w:t>
      </w:r>
    </w:p>
    <w:p>
      <w:pPr>
        <w:pStyle w:val="Compact"/>
        <w:numPr>
          <w:ilvl w:val="1"/>
          <w:numId w:val="1018"/>
        </w:numPr>
      </w:pPr>
      <w:r>
        <w:t xml:space="preserve">separate domicile, account-office, and governing-law states.</w:t>
      </w:r>
    </w:p>
    <w:p>
      <w:pPr>
        <w:numPr>
          <w:ilvl w:val="0"/>
          <w:numId w:val="1016"/>
        </w:numPr>
      </w:pPr>
      <w:r>
        <w:rPr>
          <w:b/>
          <w:bCs/>
        </w:rPr>
        <w:t xml:space="preserve">The policy model has no upper bound tied to law</w:t>
      </w:r>
      <w:r>
        <w:t xml:space="preserve"> </w:t>
      </w:r>
      <w:r>
        <w:t xml:space="preserve">(R3).</w:t>
      </w:r>
    </w:p>
    <w:p>
      <w:pPr>
        <w:numPr>
          <w:ilvl w:val="0"/>
          <w:numId w:val="1016"/>
        </w:numPr>
      </w:pPr>
      <w:r>
        <w:rPr>
          <w:b/>
          <w:bCs/>
        </w:rPr>
        <w:t xml:space="preserve">No statement of what the engine does not check.</w:t>
      </w:r>
      <w:r>
        <w:t xml:space="preserve"> </w:t>
      </w:r>
      <w:r>
        <w:t xml:space="preserve">Facts are taken as given, and the statutory discharges depend on the documents. Users need that explained.</w:t>
      </w:r>
    </w:p>
    <w:bookmarkEnd w:id="67"/>
    <w:bookmarkStart w:id="68" w:name="open-questions-research-notes"/>
    <w:p>
      <w:pPr>
        <w:pStyle w:val="Heading2"/>
      </w:pPr>
      <w:r>
        <w:t xml:space="preserve">Open questions: research notes</w:t>
      </w:r>
    </w:p>
    <w:p>
      <w:pPr>
        <w:numPr>
          <w:ilvl w:val="0"/>
          <w:numId w:val="1019"/>
        </w:numPr>
      </w:pPr>
      <w:r>
        <w:rPr>
          <w:b/>
          <w:bCs/>
        </w:rPr>
        <w:t xml:space="preserve">ARCHITECTURE open question "PII in logged output":</w:t>
      </w:r>
      <w:r>
        <w:t xml:space="preserve"> </w:t>
      </w:r>
      <w:r>
        <w:t xml:space="preserve">GLBA's definitions (R21) suggest that payee roles combined with dates of death and balances, once linked to an institution's records, may be nonpublic personal information held by a service provider. This can't be answered without the hosting design. It needs a § 1016.13 contract either way.</w:t>
      </w:r>
    </w:p>
    <w:p>
      <w:pPr>
        <w:numPr>
          <w:ilvl w:val="0"/>
          <w:numId w:val="1019"/>
        </w:numPr>
      </w:pPr>
      <w:r>
        <w:rPr>
          <w:b/>
          <w:bCs/>
        </w:rPr>
        <w:t xml:space="preserve">Effective dates relevant to deaths on or after 2022-04-01:</w:t>
      </w:r>
    </w:p>
    <w:p>
      <w:pPr>
        <w:pStyle w:val="Compact"/>
        <w:numPr>
          <w:ilvl w:val="1"/>
          <w:numId w:val="1020"/>
        </w:numPr>
      </w:pPr>
      <w:r>
        <w:t xml:space="preserve">RCW 11.84 was last amended 2016 (c 211).</w:t>
      </w:r>
    </w:p>
    <w:p>
      <w:pPr>
        <w:pStyle w:val="Compact"/>
        <w:numPr>
          <w:ilvl w:val="1"/>
          <w:numId w:val="1020"/>
        </w:numPr>
      </w:pPr>
      <w:r>
        <w:t xml:space="preserve">RCW 11.05A dates from 2007.</w:t>
      </w:r>
    </w:p>
    <w:p>
      <w:pPr>
        <w:pStyle w:val="Compact"/>
        <w:numPr>
          <w:ilvl w:val="1"/>
          <w:numId w:val="1020"/>
        </w:numPr>
      </w:pPr>
      <w:r>
        <w:t xml:space="preserve">RCW 74.34.215 dates from 2010.</w:t>
      </w:r>
    </w:p>
    <w:p>
      <w:pPr>
        <w:pStyle w:val="Compact"/>
        <w:numPr>
          <w:ilvl w:val="1"/>
          <w:numId w:val="1020"/>
        </w:numPr>
      </w:pPr>
      <w:r>
        <w:t xml:space="preserve">GR 24 was amended effective 2025-09-01.</w:t>
      </w:r>
    </w:p>
    <w:p>
      <w:pPr>
        <w:pStyle w:val="Compact"/>
        <w:numPr>
          <w:ilvl w:val="1"/>
          <w:numId w:val="1020"/>
        </w:numPr>
      </w:pPr>
      <w:r>
        <w:t xml:space="preserve">CA § 259 shows a mirror update of 2012-01-01; § 256 and § 5405 show 1990.</w:t>
      </w:r>
    </w:p>
    <w:p>
      <w:pPr>
        <w:pStyle w:val="Compact"/>
        <w:numPr>
          <w:ilvl w:val="1"/>
          <w:numId w:val="1020"/>
        </w:numPr>
      </w:pPr>
      <w:r>
        <w:t xml:space="preserve">31 CFR § 210.10 was last amended 85 FR 15721 (Mar. 19, 2020).</w:t>
      </w:r>
    </w:p>
    <w:p>
      <w:pPr>
        <w:pStyle w:val="Compact"/>
        <w:numPr>
          <w:ilvl w:val="1"/>
          <w:numId w:val="1020"/>
        </w:numPr>
      </w:pPr>
      <w:r>
        <w:t xml:space="preserve">12 CFR § 330.10 (87 FR 4470) has a stated rule effective date of 2024-04-01, which I did not separately confirm.</w:t>
      </w:r>
    </w:p>
    <w:p>
      <w:pPr>
        <w:pStyle w:val="Compact"/>
        <w:numPr>
          <w:ilvl w:val="1"/>
          <w:numId w:val="1020"/>
        </w:numPr>
      </w:pPr>
      <w:r>
        <w:t xml:space="preserve">NCUA § 745.4 amendments take effect 2026-12-01.</w:t>
      </w:r>
    </w:p>
    <w:p>
      <w:pPr>
        <w:pStyle w:val="Compact"/>
        <w:numPr>
          <w:ilvl w:val="1"/>
          <w:numId w:val="1020"/>
        </w:numPr>
      </w:pPr>
      <w:r>
        <w:t xml:space="preserve">SR 26-2 is dated 2026-04-17.</w:t>
      </w:r>
    </w:p>
    <w:p>
      <w:pPr>
        <w:pStyle w:val="Compact"/>
        <w:numPr>
          <w:ilvl w:val="1"/>
          <w:numId w:val="1020"/>
        </w:numPr>
      </w:pPr>
      <w:r>
        <w:t xml:space="preserve">The TPRM proposal is dated 2026-09-15.</w:t>
      </w:r>
    </w:p>
    <w:p>
      <w:pPr>
        <w:numPr>
          <w:ilvl w:val="0"/>
          <w:numId w:val="1000"/>
        </w:numPr>
      </w:pPr>
      <w:r>
        <w:t xml:space="preserve">A rule set covering deaths before and after these dates may need versioned handling of the federal overlay too, if the engine encodes any of it.</w:t>
      </w:r>
    </w:p>
    <w:bookmarkEnd w:id="68"/>
    <w:bookmarkStart w:id="70" w:name="X9a1a29430ffb567989861d0d8852b8750b050b5"/>
    <w:p>
      <w:pPr>
        <w:pStyle w:val="Heading2"/>
      </w:pPr>
      <w:r>
        <w:t xml:space="preserve">Industry practice (secondary; not authority)</w:t>
      </w:r>
    </w:p>
    <w:p>
      <w:pPr>
        <w:pStyle w:val="Compact"/>
        <w:numPr>
          <w:ilvl w:val="0"/>
          <w:numId w:val="1021"/>
        </w:numPr>
      </w:pPr>
      <w:r>
        <w:rPr>
          <w:b/>
          <w:bCs/>
        </w:rPr>
        <w:t xml:space="preserve">PNC consumer article (secondary):</w:t>
      </w:r>
      <w:r>
        <w:t xml:space="preserve"> </w:t>
      </w:r>
      <w:r>
        <w:t xml:space="preserve">banks typically require a "certified copy of the death certificate". POD and TOD beneficiaries provide "a valid ID and a properly completed claim form". Sole-owner accounts need the executor's "legal proof of their authority". "Some banks may also require additional paperwork" (</w:t>
      </w:r>
      <w:hyperlink r:id="rId69">
        <w:r>
          <w:rPr>
            <w:rStyle w:val="Hyperlink"/>
          </w:rPr>
          <w:t xml:space="preserve">https://www.pnc.com/insights/es/personal-finance/spend/what-happens-to-a-bank-account-when-someone-dies.html</w:t>
        </w:r>
      </w:hyperlink>
      <w:r>
        <w:t xml:space="preserve">, Spanish page, translated by the fetch tool).</w:t>
      </w:r>
    </w:p>
    <w:p>
      <w:pPr>
        <w:pStyle w:val="Compact"/>
        <w:numPr>
          <w:ilvl w:val="0"/>
          <w:numId w:val="1021"/>
        </w:numPr>
      </w:pPr>
      <w:r>
        <w:rPr>
          <w:b/>
          <w:bCs/>
        </w:rPr>
        <w:t xml:space="preserve">Secondary web search summaries</w:t>
      </w:r>
      <w:r>
        <w:t xml:space="preserve"> </w:t>
      </w:r>
      <w:r>
        <w:t xml:space="preserve">(not read in full: Compliance Alliance and BankersOnline training listings) describe common steps:</w:t>
      </w:r>
    </w:p>
    <w:p>
      <w:pPr>
        <w:pStyle w:val="Compact"/>
        <w:numPr>
          <w:ilvl w:val="1"/>
          <w:numId w:val="1022"/>
        </w:numPr>
      </w:pPr>
      <w:r>
        <w:t xml:space="preserve">flag or freeze the account on notice of death;</w:t>
      </w:r>
    </w:p>
    <w:p>
      <w:pPr>
        <w:pStyle w:val="Compact"/>
        <w:numPr>
          <w:ilvl w:val="1"/>
          <w:numId w:val="1022"/>
        </w:numPr>
      </w:pPr>
      <w:r>
        <w:t xml:space="preserve">return post-death federal benefits;</w:t>
      </w:r>
    </w:p>
    <w:p>
      <w:pPr>
        <w:pStyle w:val="Compact"/>
        <w:numPr>
          <w:ilvl w:val="1"/>
          <w:numId w:val="1022"/>
        </w:numPr>
      </w:pPr>
      <w:r>
        <w:t xml:space="preserve">certified death certificate plus ID;</w:t>
      </w:r>
    </w:p>
    <w:p>
      <w:pPr>
        <w:pStyle w:val="Compact"/>
        <w:numPr>
          <w:ilvl w:val="1"/>
          <w:numId w:val="1022"/>
        </w:numPr>
      </w:pPr>
      <w:r>
        <w:t xml:space="preserve">letters testamentary or small-estate affidavit for sole accounts.</w:t>
      </w:r>
    </w:p>
    <w:p>
      <w:pPr>
        <w:pStyle w:val="Compact"/>
        <w:numPr>
          <w:ilvl w:val="0"/>
          <w:numId w:val="1021"/>
        </w:numPr>
      </w:pPr>
      <w:r>
        <w:rPr>
          <w:b/>
          <w:bCs/>
        </w:rPr>
        <w:t xml:space="preserve">Reviewer inference:</w:t>
      </w:r>
      <w:r>
        <w:t xml:space="preserve"> </w:t>
      </w:r>
      <w:r>
        <w:t xml:space="preserve">institutions commonly add indemnity or waiver forms for the WA $2,500 path (RCW 30A.22.190 expressly allows "waivers, indemnity and other proofs"; see the WA spec).</w:t>
      </w:r>
    </w:p>
    <w:p>
      <w:pPr>
        <w:pStyle w:val="FirstParagraph"/>
      </w:pPr>
      <w:r>
        <w:t xml:space="preserve">This section should be supplemented with real institution procedures before any policy defaults are set.</w:t>
      </w:r>
    </w:p>
    <w:bookmarkEnd w:id="70"/>
    <w:bookmarkStart w:id="71" w:name="X19afa4e342e1970e2272440be880fbd0cc9e9c3"/>
    <w:p>
      <w:pPr>
        <w:pStyle w:val="Heading2"/>
      </w:pPr>
      <w:r>
        <w:t xml:space="preserve">Sources consulted (accessed 2026-10-09 unless noted; P = primary, S = secondary)</w:t>
      </w:r>
    </w:p>
    <w:p>
      <w:pPr>
        <w:pStyle w:val="FirstParagraph"/>
      </w:pPr>
      <w:r>
        <w:rPr>
          <w:b/>
          <w:bCs/>
        </w:rPr>
        <w:t xml:space="preserve">Federal regulations (P):</w:t>
      </w:r>
      <w:r>
        <w:t xml:space="preserve"> </w:t>
      </w:r>
      <w:r>
        <w:t xml:space="preserve">eCFR versioner API, data date 2026-10-07. Human URLs:</w:t>
      </w:r>
      <w:r>
        <w:t xml:space="preserve"> </w:t>
      </w:r>
      <w:r>
        <w:rPr>
          <w:rStyle w:val="VerbatimChar"/>
        </w:rPr>
        <w:t xml:space="preserve">https://www.ecfr.gov/current/title-&lt;t&gt;/section-&lt;s&gt;</w:t>
      </w:r>
      <w:r>
        <w:t xml:space="preserve">.</w:t>
      </w:r>
    </w:p>
    <w:p>
      <w:pPr>
        <w:pStyle w:val="Compact"/>
        <w:numPr>
          <w:ilvl w:val="0"/>
          <w:numId w:val="1023"/>
        </w:numPr>
      </w:pPr>
      <w:r>
        <w:t xml:space="preserve">31 CFR Part 210 (§§ 210.9–210.14)</w:t>
      </w:r>
    </w:p>
    <w:p>
      <w:pPr>
        <w:pStyle w:val="Compact"/>
        <w:numPr>
          <w:ilvl w:val="0"/>
          <w:numId w:val="1023"/>
        </w:numPr>
      </w:pPr>
      <w:r>
        <w:t xml:space="preserve">31 CFR Part 212</w:t>
      </w:r>
    </w:p>
    <w:p>
      <w:pPr>
        <w:pStyle w:val="Compact"/>
        <w:numPr>
          <w:ilvl w:val="0"/>
          <w:numId w:val="1023"/>
        </w:numPr>
      </w:pPr>
      <w:r>
        <w:t xml:space="preserve">31 CFR §§ 501.603, 501.604, 594.201</w:t>
      </w:r>
    </w:p>
    <w:p>
      <w:pPr>
        <w:pStyle w:val="Compact"/>
        <w:numPr>
          <w:ilvl w:val="0"/>
          <w:numId w:val="1023"/>
        </w:numPr>
      </w:pPr>
      <w:r>
        <w:t xml:space="preserve">31 CFR §§ 1010.430, 1020.100, 1020.220, 1020.410</w:t>
      </w:r>
    </w:p>
    <w:p>
      <w:pPr>
        <w:pStyle w:val="Compact"/>
        <w:numPr>
          <w:ilvl w:val="0"/>
          <w:numId w:val="1023"/>
        </w:numPr>
      </w:pPr>
      <w:r>
        <w:t xml:space="preserve">12 CFR §§ 330.1, 330.3, 330.10, 330.15</w:t>
      </w:r>
    </w:p>
    <w:p>
      <w:pPr>
        <w:pStyle w:val="Compact"/>
        <w:numPr>
          <w:ilvl w:val="0"/>
          <w:numId w:val="1023"/>
        </w:numPr>
      </w:pPr>
      <w:r>
        <w:t xml:space="preserve">12 CFR §§ 745.2, 745.4</w:t>
      </w:r>
    </w:p>
    <w:p>
      <w:pPr>
        <w:pStyle w:val="Compact"/>
        <w:numPr>
          <w:ilvl w:val="0"/>
          <w:numId w:val="1023"/>
        </w:numPr>
      </w:pPr>
      <w:r>
        <w:t xml:space="preserve">12 CFR §§ 7.4007, 7.4008, 7.4010</w:t>
      </w:r>
    </w:p>
    <w:p>
      <w:pPr>
        <w:pStyle w:val="Compact"/>
        <w:numPr>
          <w:ilvl w:val="0"/>
          <w:numId w:val="1023"/>
        </w:numPr>
      </w:pPr>
      <w:r>
        <w:t xml:space="preserve">12 CFR § 701.35</w:t>
      </w:r>
    </w:p>
    <w:p>
      <w:pPr>
        <w:pStyle w:val="Compact"/>
        <w:numPr>
          <w:ilvl w:val="0"/>
          <w:numId w:val="1023"/>
        </w:numPr>
      </w:pPr>
      <w:r>
        <w:t xml:space="preserve">12 CFR §§ 1016.3, 1016.13, 1016.15</w:t>
      </w:r>
    </w:p>
    <w:p>
      <w:pPr>
        <w:pStyle w:val="Compact"/>
        <w:numPr>
          <w:ilvl w:val="0"/>
          <w:numId w:val="1023"/>
        </w:numPr>
      </w:pPr>
      <w:r>
        <w:t xml:space="preserve">26 CFR §§ 20.6325-1, 301.6332-1</w:t>
      </w:r>
    </w:p>
    <w:p>
      <w:pPr>
        <w:pStyle w:val="FirstParagraph"/>
      </w:pPr>
      <w:r>
        <w:rPr>
          <w:b/>
          <w:bCs/>
        </w:rPr>
        <w:t xml:space="preserve">U.S. Code (P):</w:t>
      </w:r>
      <w:r>
        <w:t xml:space="preserve"> </w:t>
      </w:r>
      <w:r>
        <w:t xml:space="preserve">govinfo.gov, USC 2024 edition,</w:t>
      </w:r>
      <w:r>
        <w:t xml:space="preserve"> </w:t>
      </w:r>
      <w:r>
        <w:rPr>
          <w:rStyle w:val="VerbatimChar"/>
        </w:rPr>
        <w:t xml:space="preserve">https://www.govinfo.gov/link/uscode/&lt;title&gt;/&lt;section&gt;?link-type=html</w:t>
      </w:r>
      <w:r>
        <w:t xml:space="preserve">. uscode.house.gov was under maintenance.</w:t>
      </w:r>
    </w:p>
    <w:p>
      <w:pPr>
        <w:pStyle w:val="Compact"/>
        <w:numPr>
          <w:ilvl w:val="0"/>
          <w:numId w:val="1024"/>
        </w:numPr>
      </w:pPr>
      <w:r>
        <w:t xml:space="preserve">26 U.S.C. §§ 2203, 6321, 6324, 6331, 6332</w:t>
      </w:r>
    </w:p>
    <w:p>
      <w:pPr>
        <w:pStyle w:val="Compact"/>
        <w:numPr>
          <w:ilvl w:val="0"/>
          <w:numId w:val="1024"/>
        </w:numPr>
      </w:pPr>
      <w:r>
        <w:t xml:space="preserve">42 U.S.C. § 1396p</w:t>
      </w:r>
    </w:p>
    <w:p>
      <w:pPr>
        <w:pStyle w:val="Compact"/>
        <w:numPr>
          <w:ilvl w:val="0"/>
          <w:numId w:val="1024"/>
        </w:numPr>
      </w:pPr>
      <w:r>
        <w:t xml:space="preserve">15 U.S.C. §§ 6801, 6802, 6809, 7001, 7003</w:t>
      </w:r>
    </w:p>
    <w:p>
      <w:pPr>
        <w:pStyle w:val="Compact"/>
        <w:numPr>
          <w:ilvl w:val="0"/>
          <w:numId w:val="1024"/>
        </w:numPr>
      </w:pPr>
      <w:r>
        <w:t xml:space="preserve">12 U.S.C. §§ 24, 25b, 1757, 1867, 3423, 5481, 5531, 5536</w:t>
      </w:r>
    </w:p>
    <w:p>
      <w:pPr>
        <w:pStyle w:val="Compact"/>
        <w:numPr>
          <w:ilvl w:val="0"/>
          <w:numId w:val="1024"/>
        </w:numPr>
      </w:pPr>
      <w:r>
        <w:t xml:space="preserve">11 U.S.C. §§ 362, 541</w:t>
      </w:r>
    </w:p>
    <w:p>
      <w:pPr>
        <w:pStyle w:val="Compact"/>
        <w:numPr>
          <w:ilvl w:val="0"/>
          <w:numId w:val="1024"/>
        </w:numPr>
      </w:pPr>
      <w:r>
        <w:t xml:space="preserve">1 U.S.C. § 7</w:t>
      </w:r>
    </w:p>
    <w:p>
      <w:pPr>
        <w:pStyle w:val="Compact"/>
        <w:numPr>
          <w:ilvl w:val="0"/>
          <w:numId w:val="1024"/>
        </w:numPr>
      </w:pPr>
      <w:r>
        <w:t xml:space="preserve">28 U.S.C. § 1738C</w:t>
      </w:r>
    </w:p>
    <w:p>
      <w:pPr>
        <w:pStyle w:val="FirstParagraph"/>
      </w:pPr>
      <w:r>
        <w:rPr>
          <w:b/>
          <w:bCs/>
        </w:rPr>
        <w:t xml:space="preserve">California (P, via mirror):</w:t>
      </w:r>
      <w:r>
        <w:t xml:space="preserve"> </w:t>
      </w:r>
      <w:r>
        <w:rPr>
          <w:rStyle w:val="VerbatimChar"/>
        </w:rPr>
        <w:t xml:space="preserve">https://california.public.law/codes/&lt;code&gt;_section_&lt;n&gt;</w:t>
      </w:r>
      <w:r>
        <w:t xml:space="preserve">, accessed by the mirror Oct. 5, 2026. Confirm each on leginfo.</w:t>
      </w:r>
    </w:p>
    <w:p>
      <w:pPr>
        <w:pStyle w:val="Compact"/>
        <w:numPr>
          <w:ilvl w:val="0"/>
          <w:numId w:val="1025"/>
        </w:numPr>
      </w:pPr>
      <w:r>
        <w:t xml:space="preserve">Prob. Code §§ 37, 66, 101, 215, 220–224, 230, 231, 250–259, 3401, 3402, 3906, 3907, 5140, 5301, 5302, 5303, 5305, 5401, 5405, 6403, 6411, 12401, 13100, 13105, 13106, 13109, 13110, 13111, 21109</w:t>
      </w:r>
    </w:p>
    <w:p>
      <w:pPr>
        <w:pStyle w:val="Compact"/>
        <w:numPr>
          <w:ilvl w:val="0"/>
          <w:numId w:val="1025"/>
        </w:numPr>
      </w:pPr>
      <w:r>
        <w:t xml:space="preserve">Civ. Code §§ 946, 1633.3, 1668</w:t>
      </w:r>
    </w:p>
    <w:p>
      <w:pPr>
        <w:pStyle w:val="Compact"/>
        <w:numPr>
          <w:ilvl w:val="0"/>
          <w:numId w:val="1025"/>
        </w:numPr>
      </w:pPr>
      <w:r>
        <w:t xml:space="preserve">Fam. Code §§ 297.5, 299.2, 308</w:t>
      </w:r>
    </w:p>
    <w:p>
      <w:pPr>
        <w:pStyle w:val="Compact"/>
        <w:numPr>
          <w:ilvl w:val="0"/>
          <w:numId w:val="1025"/>
        </w:numPr>
      </w:pPr>
      <w:r>
        <w:t xml:space="preserve">Bus. &amp; Prof. Code §§ 6125, 6126</w:t>
      </w:r>
    </w:p>
    <w:p>
      <w:pPr>
        <w:pStyle w:val="Compact"/>
        <w:numPr>
          <w:ilvl w:val="0"/>
          <w:numId w:val="1025"/>
        </w:numPr>
      </w:pPr>
      <w:r>
        <w:t xml:space="preserve">Welf. &amp; Inst. Code §§ 14009.5, 15630.1</w:t>
      </w:r>
    </w:p>
    <w:p>
      <w:pPr>
        <w:pStyle w:val="Compact"/>
        <w:numPr>
          <w:ilvl w:val="0"/>
          <w:numId w:val="1025"/>
        </w:numPr>
      </w:pPr>
      <w:r>
        <w:t xml:space="preserve">Code Civ. Proc. §§ 686.020, 2015.5</w:t>
      </w:r>
    </w:p>
    <w:p>
      <w:pPr>
        <w:pStyle w:val="Compact"/>
        <w:numPr>
          <w:ilvl w:val="0"/>
          <w:numId w:val="1025"/>
        </w:numPr>
      </w:pPr>
      <w:r>
        <w:t xml:space="preserve">Evid. Code § 667</w:t>
      </w:r>
    </w:p>
    <w:p>
      <w:pPr>
        <w:pStyle w:val="FirstParagraph"/>
      </w:pPr>
      <w:r>
        <w:rPr>
          <w:b/>
          <w:bCs/>
        </w:rPr>
        <w:t xml:space="preserve">Washington (P):</w:t>
      </w:r>
      <w:r>
        <w:t xml:space="preserve"> </w:t>
      </w:r>
      <w:r>
        <w:rPr>
          <w:rStyle w:val="VerbatimChar"/>
        </w:rPr>
        <w:t xml:space="preserve">https://app.leg.wa.gov/RCW/default.aspx?cite=&lt;n&gt;&amp;full=true</w:t>
      </w:r>
      <w:r>
        <w:t xml:space="preserve">.</w:t>
      </w:r>
    </w:p>
    <w:p>
      <w:pPr>
        <w:pStyle w:val="Compact"/>
        <w:numPr>
          <w:ilvl w:val="0"/>
          <w:numId w:val="1026"/>
        </w:numPr>
      </w:pPr>
      <w:r>
        <w:t xml:space="preserve">Chapters 11.05A, 11.62, 11.84, 11.114, 26.16, 26.60, 30A.22, 5.50</w:t>
      </w:r>
    </w:p>
    <w:p>
      <w:pPr>
        <w:pStyle w:val="Compact"/>
        <w:numPr>
          <w:ilvl w:val="0"/>
          <w:numId w:val="1026"/>
        </w:numPr>
      </w:pPr>
      <w:r>
        <w:t xml:space="preserve">RCW 1.80.020, 2.48.180, 43.20B.080, 74.34.215</w:t>
      </w:r>
    </w:p>
    <w:p>
      <w:pPr>
        <w:pStyle w:val="Compact"/>
        <w:numPr>
          <w:ilvl w:val="0"/>
          <w:numId w:val="1026"/>
        </w:numPr>
      </w:pPr>
      <w:r>
        <w:t xml:space="preserve">GR 24:</w:t>
      </w:r>
      <w:r>
        <w:t xml:space="preserve"> </w:t>
      </w:r>
      <w:hyperlink r:id="rId59">
        <w:r>
          <w:rPr>
            <w:rStyle w:val="Hyperlink"/>
          </w:rPr>
          <w:t xml:space="preserve">https://www.courts.wa.gov/court_rules/pdf/GR/GA_GR_24_00_00.pdf</w:t>
        </w:r>
      </w:hyperlink>
      <w:r>
        <w:t xml:space="preserve"> </w:t>
      </w:r>
      <w:r>
        <w:t xml:space="preserve">(P)</w:t>
      </w:r>
    </w:p>
    <w:p>
      <w:pPr>
        <w:pStyle w:val="FirstParagraph"/>
      </w:pPr>
      <w:r>
        <w:rPr>
          <w:b/>
          <w:bCs/>
        </w:rPr>
        <w:t xml:space="preserve">Cases (P):</w:t>
      </w:r>
    </w:p>
    <w:p>
      <w:pPr>
        <w:pStyle w:val="Compact"/>
        <w:numPr>
          <w:ilvl w:val="0"/>
          <w:numId w:val="1027"/>
        </w:numPr>
      </w:pPr>
      <w:r>
        <w:rPr>
          <w:i/>
          <w:iCs/>
        </w:rPr>
        <w:t xml:space="preserve">In re Reynoso</w:t>
      </w:r>
      <w:r>
        <w:t xml:space="preserve">, 477 F.3d 1117 (9th Cir. 2007), full text at law.resource.org.</w:t>
      </w:r>
    </w:p>
    <w:p>
      <w:pPr>
        <w:pStyle w:val="Compact"/>
        <w:numPr>
          <w:ilvl w:val="0"/>
          <w:numId w:val="1027"/>
        </w:numPr>
      </w:pPr>
      <w:r>
        <w:rPr>
          <w:i/>
          <w:iCs/>
        </w:rPr>
        <w:t xml:space="preserve">Anderson Nat'l Bank v. Luckett</w:t>
      </w:r>
      <w:r>
        <w:t xml:space="preserve">, 321 U.S. 233 (1944), full text at law.resource.org.</w:t>
      </w:r>
    </w:p>
    <w:p>
      <w:pPr>
        <w:pStyle w:val="Compact"/>
        <w:numPr>
          <w:ilvl w:val="0"/>
          <w:numId w:val="1027"/>
        </w:numPr>
      </w:pPr>
      <w:r>
        <w:t xml:space="preserve">Citation metadata only (CourtListener search API):</w:t>
      </w:r>
      <w:r>
        <w:t xml:space="preserve"> </w:t>
      </w:r>
      <w:r>
        <w:rPr>
          <w:i/>
          <w:iCs/>
        </w:rPr>
        <w:t xml:space="preserve">Birbrower, Montalbano, Condon &amp; Frank v. Superior Court</w:t>
      </w:r>
      <w:r>
        <w:t xml:space="preserve">, 17 Cal.4th 119 (1998);</w:t>
      </w:r>
      <w:r>
        <w:t xml:space="preserve"> </w:t>
      </w:r>
      <w:r>
        <w:rPr>
          <w:i/>
          <w:iCs/>
        </w:rPr>
        <w:t xml:space="preserve">Perkins v. CTX Mortgage Co.</w:t>
      </w:r>
      <w:r>
        <w:t xml:space="preserve">, 137 Wn.2d 93 (1999);</w:t>
      </w:r>
      <w:r>
        <w:t xml:space="preserve"> </w:t>
      </w:r>
      <w:r>
        <w:rPr>
          <w:i/>
          <w:iCs/>
        </w:rPr>
        <w:t xml:space="preserve">Cantero v. Bank of America</w:t>
      </w:r>
      <w:r>
        <w:t xml:space="preserve">, 602 U.S. 205 (2024). Holdings not read.</w:t>
      </w:r>
    </w:p>
    <w:p>
      <w:pPr>
        <w:pStyle w:val="FirstParagraph"/>
      </w:pPr>
      <w:r>
        <w:rPr>
          <w:b/>
          <w:bCs/>
        </w:rPr>
        <w:t xml:space="preserve">Regulator guidance (P):</w:t>
      </w:r>
    </w:p>
    <w:p>
      <w:pPr>
        <w:pStyle w:val="Compact"/>
        <w:numPr>
          <w:ilvl w:val="0"/>
          <w:numId w:val="1028"/>
        </w:numPr>
      </w:pPr>
      <w:r>
        <w:t xml:space="preserve">88 FR 37920 (2023-06-09), Federal Register doc. 2023-12340</w:t>
      </w:r>
    </w:p>
    <w:p>
      <w:pPr>
        <w:pStyle w:val="Compact"/>
        <w:numPr>
          <w:ilvl w:val="0"/>
          <w:numId w:val="1028"/>
        </w:numPr>
      </w:pPr>
      <w:r>
        <w:t xml:space="preserve">91 FR 58536 (2026-09-15), Federal Register doc. 2026-18859</w:t>
      </w:r>
    </w:p>
    <w:p>
      <w:pPr>
        <w:pStyle w:val="Compact"/>
        <w:numPr>
          <w:ilvl w:val="0"/>
          <w:numId w:val="1028"/>
        </w:numPr>
      </w:pPr>
      <w:r>
        <w:t xml:space="preserve">SR 26-2 cover letter and attachment, federalreserve.gov</w:t>
      </w:r>
    </w:p>
    <w:p>
      <w:pPr>
        <w:pStyle w:val="Compact"/>
        <w:numPr>
          <w:ilvl w:val="0"/>
          <w:numId w:val="1028"/>
        </w:numPr>
      </w:pPr>
      <w:r>
        <w:t xml:space="preserve">89 FR 79397 (NCUA), Federal Register doc. 2024-21888, effective-date metadata only</w:t>
      </w:r>
    </w:p>
    <w:p>
      <w:pPr>
        <w:pStyle w:val="FirstParagraph"/>
      </w:pPr>
      <w:r>
        <w:rPr>
          <w:b/>
          <w:bCs/>
        </w:rPr>
        <w:t xml:space="preserve">Secondary (S):</w:t>
      </w:r>
    </w:p>
    <w:p>
      <w:pPr>
        <w:pStyle w:val="Compact"/>
        <w:numPr>
          <w:ilvl w:val="0"/>
          <w:numId w:val="1029"/>
        </w:numPr>
      </w:pPr>
      <w:r>
        <w:t xml:space="preserve">PNC article (above).</w:t>
      </w:r>
    </w:p>
    <w:p>
      <w:pPr>
        <w:pStyle w:val="Compact"/>
        <w:numPr>
          <w:ilvl w:val="0"/>
          <w:numId w:val="1029"/>
        </w:numPr>
      </w:pPr>
      <w:r>
        <w:t xml:space="preserve">WebSearch result summaries: Orrick 2026 note on model risk management; Compliance Alliance and BankersOnline listings. Not relied on for law.</w:t>
      </w:r>
    </w:p>
    <w:p>
      <w:pPr>
        <w:pStyle w:val="FirstParagraph"/>
      </w:pPr>
      <w:r>
        <w:rPr>
          <w:b/>
          <w:bCs/>
        </w:rPr>
        <w:t xml:space="preserve">Attempted but not retrieved:</w:t>
      </w:r>
    </w:p>
    <w:p>
      <w:pPr>
        <w:pStyle w:val="Compact"/>
        <w:numPr>
          <w:ilvl w:val="0"/>
          <w:numId w:val="1030"/>
        </w:numPr>
      </w:pPr>
      <w:r>
        <w:t xml:space="preserve">CourtListener opinion pages (empty responses, then rate limit).</w:t>
      </w:r>
    </w:p>
    <w:p>
      <w:pPr>
        <w:pStyle w:val="Compact"/>
        <w:numPr>
          <w:ilvl w:val="0"/>
          <w:numId w:val="1030"/>
        </w:numPr>
      </w:pPr>
      <w:r>
        <w:t xml:space="preserve">Justia (no connection, then 403).</w:t>
      </w:r>
    </w:p>
    <w:p>
      <w:pPr>
        <w:pStyle w:val="Compact"/>
        <w:numPr>
          <w:ilvl w:val="0"/>
          <w:numId w:val="1030"/>
        </w:numPr>
      </w:pPr>
      <w:r>
        <w:t xml:space="preserve">FindLaw (403).</w:t>
      </w:r>
    </w:p>
    <w:p>
      <w:pPr>
        <w:pStyle w:val="Compact"/>
        <w:numPr>
          <w:ilvl w:val="0"/>
          <w:numId w:val="1030"/>
        </w:numPr>
      </w:pPr>
      <w:r>
        <w:t xml:space="preserve">OCC Bulletin 2011-12 and 2026-13 pages: 404, then the sandbox blocked occ.gov.</w:t>
      </w:r>
    </w:p>
    <w:p>
      <w:pPr>
        <w:pStyle w:val="Compact"/>
        <w:numPr>
          <w:ilvl w:val="0"/>
          <w:numId w:val="1030"/>
        </w:numPr>
      </w:pPr>
      <w:r>
        <w:t xml:space="preserve">Ninth Circuit PDF (404).</w:t>
      </w:r>
    </w:p>
    <w:bookmarkEnd w:id="71"/>
    <w:bookmarkStart w:id="72" w:name="items-the-attorney-must-confirm"/>
    <w:p>
      <w:pPr>
        <w:pStyle w:val="Heading2"/>
      </w:pPr>
      <w:r>
        <w:t xml:space="preserve">Items the attorney must confirm</w:t>
      </w:r>
    </w:p>
    <w:p>
      <w:pPr>
        <w:pStyle w:val="Compact"/>
        <w:numPr>
          <w:ilvl w:val="0"/>
          <w:numId w:val="1031"/>
        </w:numPr>
      </w:pPr>
      <w:r>
        <w:t xml:space="preserve">The definition of "jurisdiction" and the conflict-of-laws rule for each path (R1, R37–R39), including whether</w:t>
      </w:r>
      <w:r>
        <w:t xml:space="preserve"> </w:t>
      </w:r>
      <w:r>
        <w:rPr>
          <w:i/>
          <w:iCs/>
        </w:rPr>
        <w:t xml:space="preserve">Luckett</w:t>
      </w:r>
      <w:r>
        <w:t xml:space="preserve">'s "law of the state where it does business" governs Path A for a decedent domiciled elsewhere.</w:t>
      </w:r>
    </w:p>
    <w:p>
      <w:pPr>
        <w:pStyle w:val="Compact"/>
        <w:numPr>
          <w:ilvl w:val="0"/>
          <w:numId w:val="1031"/>
        </w:numPr>
      </w:pPr>
      <w:r>
        <w:t xml:space="preserve">Whether a CA POD or Totten designation is an "instrument" under § 21109, and what survival standard CA applies to POD payees (R4).</w:t>
      </w:r>
    </w:p>
    <w:p>
      <w:pPr>
        <w:pStyle w:val="Compact"/>
        <w:numPr>
          <w:ilvl w:val="0"/>
          <w:numId w:val="1031"/>
        </w:numPr>
      </w:pPr>
      <w:r>
        <w:t xml:space="preserve">How CA § 256 (written notice to the home office) interacts with § 5405(b) (only a court order matters) (R42).</w:t>
      </w:r>
    </w:p>
    <w:p>
      <w:pPr>
        <w:pStyle w:val="Compact"/>
        <w:numPr>
          <w:ilvl w:val="0"/>
          <w:numId w:val="1031"/>
        </w:numPr>
      </w:pPr>
      <w:r>
        <w:t xml:space="preserve">Maximum policy waiting days and extra-document limits consistent with CA § 13105(b), RCW 11.62.010/.020, and UDAAP (R3).</w:t>
      </w:r>
    </w:p>
    <w:p>
      <w:pPr>
        <w:pStyle w:val="Compact"/>
        <w:numPr>
          <w:ilvl w:val="0"/>
          <w:numId w:val="1031"/>
        </w:numPr>
      </w:pPr>
      <w:r>
        <w:t xml:space="preserve">Whether a bank can be "the person in possession of property of the decedent" with a duty to notify DHCS under CA § 215 (R15).</w:t>
      </w:r>
    </w:p>
    <w:p>
      <w:pPr>
        <w:pStyle w:val="Compact"/>
        <w:numPr>
          <w:ilvl w:val="0"/>
          <w:numId w:val="1031"/>
        </w:numPr>
      </w:pPr>
      <w:r>
        <w:t xml:space="preserve">Whether 26 U.S.C. § 2203 or § 6324 could reach a bank holding an unpaid balance (R9).</w:t>
      </w:r>
    </w:p>
    <w:p>
      <w:pPr>
        <w:pStyle w:val="Compact"/>
        <w:numPr>
          <w:ilvl w:val="0"/>
          <w:numId w:val="1031"/>
        </w:numPr>
      </w:pPr>
      <w:r>
        <w:t xml:space="preserve">Whether a WA "affidavit" under RCW 11.62.010 may be an electronic or unsworn RCW 5.50 declaration, and the electronic-signature acceptance policy for CA § 13101 declarations (R20).</w:t>
      </w:r>
    </w:p>
    <w:p>
      <w:pPr>
        <w:pStyle w:val="Compact"/>
        <w:numPr>
          <w:ilvl w:val="0"/>
          <w:numId w:val="1031"/>
        </w:numPr>
      </w:pPr>
      <w:r>
        <w:t xml:space="preserve">The UPL analysis for CA and WA for this business-to-business product, including reading</w:t>
      </w:r>
      <w:r>
        <w:t xml:space="preserve"> </w:t>
      </w:r>
      <w:r>
        <w:rPr>
          <w:i/>
          <w:iCs/>
        </w:rPr>
        <w:t xml:space="preserve">Perkins</w:t>
      </w:r>
      <w:r>
        <w:t xml:space="preserve"> </w:t>
      </w:r>
      <w:r>
        <w:t xml:space="preserve">and</w:t>
      </w:r>
      <w:r>
        <w:t xml:space="preserve"> </w:t>
      </w:r>
      <w:r>
        <w:rPr>
          <w:i/>
          <w:iCs/>
        </w:rPr>
        <w:t xml:space="preserve">Birbrower</w:t>
      </w:r>
      <w:r>
        <w:t xml:space="preserve"> </w:t>
      </w:r>
      <w:r>
        <w:t xml:space="preserve">in full and any CA or WA ethics opinions on legal software (none were located) (R22).</w:t>
      </w:r>
    </w:p>
    <w:p>
      <w:pPr>
        <w:pStyle w:val="Compact"/>
        <w:numPr>
          <w:ilvl w:val="0"/>
          <w:numId w:val="1031"/>
        </w:numPr>
      </w:pPr>
      <w:r>
        <w:t xml:space="preserve">Customer contract allocation (warranty, indemnity, cap) under Civ. Code § 1668, and WA law on caps (R24).</w:t>
      </w:r>
    </w:p>
    <w:p>
      <w:pPr>
        <w:pStyle w:val="Compact"/>
        <w:numPr>
          <w:ilvl w:val="0"/>
          <w:numId w:val="1031"/>
        </w:numPr>
      </w:pPr>
      <w:r>
        <w:t xml:space="preserve">Whether the vendor is a CFPB "service provider" (12 U.S.C. § 5481(26)) and a Bank Service Company Act service provider (12 U.S.C. § 1867(c)) once hosted (R25, R27).</w:t>
      </w:r>
    </w:p>
    <w:p>
      <w:pPr>
        <w:pStyle w:val="Compact"/>
        <w:numPr>
          <w:ilvl w:val="0"/>
          <w:numId w:val="1031"/>
        </w:numPr>
      </w:pPr>
      <w:r>
        <w:t xml:space="preserve">The minor-payee and trust-beneficiary payment forms (CA §§ 3401, 3907; RCW 11.114.070; certification-of-trust authority not retrieved) (R30, R35).</w:t>
      </w:r>
    </w:p>
    <w:p>
      <w:pPr>
        <w:pStyle w:val="Compact"/>
        <w:numPr>
          <w:ilvl w:val="0"/>
          <w:numId w:val="1031"/>
        </w:numPr>
      </w:pPr>
      <w:r>
        <w:t xml:space="preserve">Whether 31 CFR Part 212 garnishment protections apply to a deceased holder's account, and the treatment of § 541(a)(5)(A) for POD receipts (R13, R14).</w:t>
      </w:r>
    </w:p>
    <w:p>
      <w:pPr>
        <w:pStyle w:val="Compact"/>
        <w:numPr>
          <w:ilvl w:val="0"/>
          <w:numId w:val="1031"/>
        </w:numPr>
      </w:pPr>
      <w:r>
        <w:t xml:space="preserve">That every California citation quoted from the mirror matches leginfo, and the effective dates listed under "Open questions".</w:t>
      </w:r>
    </w:p>
    <w:p>
      <w:pPr>
        <w:pStyle w:val="Compact"/>
        <w:numPr>
          <w:ilvl w:val="0"/>
          <w:numId w:val="1031"/>
        </w:numPr>
      </w:pPr>
      <w:r>
        <w:t xml:space="preserve">Whether any OCC interpretive letter addresses deceased-depositor payouts (none was located).</w:t>
      </w:r>
    </w:p>
    <w:bookmarkEnd w:id="72"/>
    <w:sectPr>
      <w:footnotePr>
        <w:numRestart w:val="eachSect"/>
      </w:footnotePr>
      <w:pgSz w:h="12240" w:orient="landscape" w:w="158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60"/>
        <w:left w:type="dxa" w:w="100"/>
        <w:bottom w:type="dxa" w:w="60"/>
        <w:right w:type="dxa" w:w="100"/>
      </w:tblCellMar>
    </w:tblPr>
    <w:tblStylePr w:type="firstRow">
      <w:rPr>
        <w:b/>
      </w:rPr>
      <w:tcPr>
        <w:shd w:color="auto" w:fill="DCE6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app.leg.wa.gov/RCW/default.aspx?cite=11.05A&amp;full=true" TargetMode="External" /><Relationship Type="http://schemas.openxmlformats.org/officeDocument/2006/relationships/hyperlink" Id="rId54" Target="https://app.leg.wa.gov/RCW/default.aspx?cite=11.114&amp;full=true" TargetMode="External" /><Relationship Type="http://schemas.openxmlformats.org/officeDocument/2006/relationships/hyperlink" Id="rId53" Target="https://app.leg.wa.gov/RCW/default.aspx?cite=11.62&amp;full=true" TargetMode="External" /><Relationship Type="http://schemas.openxmlformats.org/officeDocument/2006/relationships/hyperlink" Id="rId45" Target="https://app.leg.wa.gov/RCW/default.aspx?cite=11.84&amp;full=true" TargetMode="External" /><Relationship Type="http://schemas.openxmlformats.org/officeDocument/2006/relationships/hyperlink" Id="rId14" Target="https://app.leg.wa.gov/RCW/default.aspx?cite=26.16&amp;full=true" TargetMode="External" /><Relationship Type="http://schemas.openxmlformats.org/officeDocument/2006/relationships/hyperlink" Id="rId22" Target="https://app.leg.wa.gov/RCW/default.aspx?cite=26.60&amp;full=true" TargetMode="External" /><Relationship Type="http://schemas.openxmlformats.org/officeDocument/2006/relationships/hyperlink" Id="rId11" Target="https://app.leg.wa.gov/RCW/default.aspx?cite=30A.22&amp;full=true" TargetMode="External" /><Relationship Type="http://schemas.openxmlformats.org/officeDocument/2006/relationships/hyperlink" Id="rId32" Target="https://app.leg.wa.gov/RCW/default.aspx?cite=43.20B.080&amp;full=true" TargetMode="External" /><Relationship Type="http://schemas.openxmlformats.org/officeDocument/2006/relationships/hyperlink" Id="rId47" Target="https://app.leg.wa.gov/RCW/default.aspx?cite=74.34.215&amp;full=true" TargetMode="External" /><Relationship Type="http://schemas.openxmlformats.org/officeDocument/2006/relationships/hyperlink" Id="rId60" Target="https://california.public.law/codes/civil_code_section_1668" TargetMode="External" /><Relationship Type="http://schemas.openxmlformats.org/officeDocument/2006/relationships/hyperlink" Id="rId10" Target="https://california.public.law/codes/civil_code_section_946" TargetMode="External" /><Relationship Type="http://schemas.openxmlformats.org/officeDocument/2006/relationships/hyperlink" Id="rId49" Target="https://california.public.law/codes/code_of_civil_procedure_section_686.020" TargetMode="External" /><Relationship Type="http://schemas.openxmlformats.org/officeDocument/2006/relationships/hyperlink" Id="rId21" Target="https://california.public.law/codes/family_code_section_299.2" TargetMode="External" /><Relationship Type="http://schemas.openxmlformats.org/officeDocument/2006/relationships/hyperlink" Id="rId13" Target="https://california.public.law/codes/probate_code_section_101" TargetMode="External" /><Relationship Type="http://schemas.openxmlformats.org/officeDocument/2006/relationships/hyperlink" Id="rId15" Target="https://california.public.law/codes/probate_code_section_13100" TargetMode="External" /><Relationship Type="http://schemas.openxmlformats.org/officeDocument/2006/relationships/hyperlink" Id="rId57" Target="https://california.public.law/codes/probate_code_section_13105" TargetMode="External" /><Relationship Type="http://schemas.openxmlformats.org/officeDocument/2006/relationships/hyperlink" Id="rId52" Target="https://california.public.law/codes/probate_code_section_13110" TargetMode="External" /><Relationship Type="http://schemas.openxmlformats.org/officeDocument/2006/relationships/hyperlink" Id="rId16" Target="https://california.public.law/codes/probate_code_section_13111" TargetMode="External" /><Relationship Type="http://schemas.openxmlformats.org/officeDocument/2006/relationships/hyperlink" Id="rId34" Target="https://california.public.law/codes/probate_code_section_215" TargetMode="External" /><Relationship Type="http://schemas.openxmlformats.org/officeDocument/2006/relationships/hyperlink" Id="rId43" Target="https://california.public.law/codes/probate_code_section_223" TargetMode="External" /><Relationship Type="http://schemas.openxmlformats.org/officeDocument/2006/relationships/hyperlink" Id="rId44" Target="https://california.public.law/codes/probate_code_section_256" TargetMode="External" /><Relationship Type="http://schemas.openxmlformats.org/officeDocument/2006/relationships/hyperlink" Id="rId46" Target="https://california.public.law/codes/probate_code_section_259" TargetMode="External" /><Relationship Type="http://schemas.openxmlformats.org/officeDocument/2006/relationships/hyperlink" Id="rId55" Target="https://california.public.law/codes/probate_code_section_5302" TargetMode="External" /><Relationship Type="http://schemas.openxmlformats.org/officeDocument/2006/relationships/hyperlink" Id="rId19" Target="https://california.public.law/codes/probate_code_section_5305" TargetMode="External" /><Relationship Type="http://schemas.openxmlformats.org/officeDocument/2006/relationships/hyperlink" Id="rId48" Target="https://california.public.law/codes/probate_code_section_5401" TargetMode="External" /><Relationship Type="http://schemas.openxmlformats.org/officeDocument/2006/relationships/hyperlink" Id="rId20" Target="https://california.public.law/codes/probate_code_section_5405" TargetMode="External" /><Relationship Type="http://schemas.openxmlformats.org/officeDocument/2006/relationships/hyperlink" Id="rId18" Target="https://california.public.law/codes/probate_code_section_66" TargetMode="External" /><Relationship Type="http://schemas.openxmlformats.org/officeDocument/2006/relationships/hyperlink" Id="rId33" Target="https://california.public.law/codes/welfare_and_institutions_code_section_14009.5" TargetMode="External" /><Relationship Type="http://schemas.openxmlformats.org/officeDocument/2006/relationships/hyperlink" Id="rId58" Target="https://law.resource.org/pub/us/case/reporter/F3/477/477.F3d.1117.04-17190.html" TargetMode="External" /><Relationship Type="http://schemas.openxmlformats.org/officeDocument/2006/relationships/hyperlink" Id="rId12" Target="https://law.resource.org/pub/us/case/reporter/US/321/321.US.233.154.html" TargetMode="External" /><Relationship Type="http://schemas.openxmlformats.org/officeDocument/2006/relationships/hyperlink" Id="rId59" Target="https://www.courts.wa.gov/court_rules/pdf/GR/GA_GR_24_00_00.pdf" TargetMode="External" /><Relationship Type="http://schemas.openxmlformats.org/officeDocument/2006/relationships/hyperlink" Id="rId40" Target="https://www.ecfr.gov/current/title-12/section-1016.13" TargetMode="External" /><Relationship Type="http://schemas.openxmlformats.org/officeDocument/2006/relationships/hyperlink" Id="rId37" Target="https://www.ecfr.gov/current/title-12/section-330.3" TargetMode="External" /><Relationship Type="http://schemas.openxmlformats.org/officeDocument/2006/relationships/hyperlink" Id="rId17" Target="https://www.ecfr.gov/current/title-12/section-7.4007" TargetMode="External" /><Relationship Type="http://schemas.openxmlformats.org/officeDocument/2006/relationships/hyperlink" Id="rId36" Target="https://www.ecfr.gov/current/title-12/section-701.35" TargetMode="External" /><Relationship Type="http://schemas.openxmlformats.org/officeDocument/2006/relationships/hyperlink" Id="rId29" Target="https://www.ecfr.gov/current/title-26/section-20.6325-1" TargetMode="External" /><Relationship Type="http://schemas.openxmlformats.org/officeDocument/2006/relationships/hyperlink" Id="rId27" Target="https://www.ecfr.gov/current/title-26/section-301.6332-1" TargetMode="External" /><Relationship Type="http://schemas.openxmlformats.org/officeDocument/2006/relationships/hyperlink" Id="rId50" Target="https://www.ecfr.gov/current/title-31/part-212" TargetMode="External" /><Relationship Type="http://schemas.openxmlformats.org/officeDocument/2006/relationships/hyperlink" Id="rId38" Target="https://www.ecfr.gov/current/title-31/section-1020.100" TargetMode="External" /><Relationship Type="http://schemas.openxmlformats.org/officeDocument/2006/relationships/hyperlink" Id="rId25" Target="https://www.ecfr.gov/current/title-31/section-210.10" TargetMode="External" /><Relationship Type="http://schemas.openxmlformats.org/officeDocument/2006/relationships/hyperlink" Id="rId30" Target="https://www.ecfr.gov/current/title-31/section-594.201" TargetMode="External" /><Relationship Type="http://schemas.openxmlformats.org/officeDocument/2006/relationships/hyperlink" Id="rId61" Target="https://www.federalregister.gov/documents/2023/06/09/2023-12340" TargetMode="External" /><Relationship Type="http://schemas.openxmlformats.org/officeDocument/2006/relationships/hyperlink" Id="rId62" Target="https://www.federalregister.gov/documents/2026/09/15/2026-18859" TargetMode="External" /><Relationship Type="http://schemas.openxmlformats.org/officeDocument/2006/relationships/hyperlink" Id="rId64" Target="https://www.federalreserve.gov/supervisionreg/srletters/SR2602.htm" TargetMode="External" /><Relationship Type="http://schemas.openxmlformats.org/officeDocument/2006/relationships/hyperlink" Id="rId63" Target="https://www.federalreserve.gov/supervisionreg/srletters/SR2602a1.pdf" TargetMode="External" /><Relationship Type="http://schemas.openxmlformats.org/officeDocument/2006/relationships/hyperlink" Id="rId23" Target="https://www.govinfo.gov/link/uscode/1/7?link-type=html" TargetMode="External" /><Relationship Type="http://schemas.openxmlformats.org/officeDocument/2006/relationships/hyperlink" Id="rId51" Target="https://www.govinfo.gov/link/uscode/11/362?link-type=html" TargetMode="External" /><Relationship Type="http://schemas.openxmlformats.org/officeDocument/2006/relationships/hyperlink" Id="rId35" Target="https://www.govinfo.gov/link/uscode/12/25b?link-type=html" TargetMode="External" /><Relationship Type="http://schemas.openxmlformats.org/officeDocument/2006/relationships/hyperlink" Id="rId39" Target="https://www.govinfo.gov/link/uscode/15/7001?link-type=html" TargetMode="External" /><Relationship Type="http://schemas.openxmlformats.org/officeDocument/2006/relationships/hyperlink" Id="rId28" Target="https://www.govinfo.gov/link/uscode/26/6324?link-type=html" TargetMode="External" /><Relationship Type="http://schemas.openxmlformats.org/officeDocument/2006/relationships/hyperlink" Id="rId26" Target="https://www.govinfo.gov/link/uscode/26/6332?link-type=html" TargetMode="External" /><Relationship Type="http://schemas.openxmlformats.org/officeDocument/2006/relationships/hyperlink" Id="rId31" Target="https://www.govinfo.gov/link/uscode/42/1396p?link-type=html" TargetMode="External" /><Relationship Type="http://schemas.openxmlformats.org/officeDocument/2006/relationships/hyperlink" Id="rId69" Target="https://www.pnc.com/insights/es/personal-finance/spend/what-happens-to-a-bank-account-when-someone-dies.html" TargetMode="External" /></Relationships>
</file>

<file path=word/_rels/footnotes.xml.rels><?xml version="1.0" encoding="UTF-8"?><Relationships xmlns="http://schemas.openxmlformats.org/package/2006/relationships"><Relationship Type="http://schemas.openxmlformats.org/officeDocument/2006/relationships/hyperlink" Id="rId42" Target="https://app.leg.wa.gov/RCW/default.aspx?cite=11.05A&amp;full=true" TargetMode="External" /><Relationship Type="http://schemas.openxmlformats.org/officeDocument/2006/relationships/hyperlink" Id="rId54" Target="https://app.leg.wa.gov/RCW/default.aspx?cite=11.114&amp;full=true" TargetMode="External" /><Relationship Type="http://schemas.openxmlformats.org/officeDocument/2006/relationships/hyperlink" Id="rId53" Target="https://app.leg.wa.gov/RCW/default.aspx?cite=11.62&amp;full=true" TargetMode="External" /><Relationship Type="http://schemas.openxmlformats.org/officeDocument/2006/relationships/hyperlink" Id="rId45" Target="https://app.leg.wa.gov/RCW/default.aspx?cite=11.84&amp;full=true" TargetMode="External" /><Relationship Type="http://schemas.openxmlformats.org/officeDocument/2006/relationships/hyperlink" Id="rId14" Target="https://app.leg.wa.gov/RCW/default.aspx?cite=26.16&amp;full=true" TargetMode="External" /><Relationship Type="http://schemas.openxmlformats.org/officeDocument/2006/relationships/hyperlink" Id="rId22" Target="https://app.leg.wa.gov/RCW/default.aspx?cite=26.60&amp;full=true" TargetMode="External" /><Relationship Type="http://schemas.openxmlformats.org/officeDocument/2006/relationships/hyperlink" Id="rId11" Target="https://app.leg.wa.gov/RCW/default.aspx?cite=30A.22&amp;full=true" TargetMode="External" /><Relationship Type="http://schemas.openxmlformats.org/officeDocument/2006/relationships/hyperlink" Id="rId32" Target="https://app.leg.wa.gov/RCW/default.aspx?cite=43.20B.080&amp;full=true" TargetMode="External" /><Relationship Type="http://schemas.openxmlformats.org/officeDocument/2006/relationships/hyperlink" Id="rId47" Target="https://app.leg.wa.gov/RCW/default.aspx?cite=74.34.215&amp;full=true" TargetMode="External" /><Relationship Type="http://schemas.openxmlformats.org/officeDocument/2006/relationships/hyperlink" Id="rId60" Target="https://california.public.law/codes/civil_code_section_1668" TargetMode="External" /><Relationship Type="http://schemas.openxmlformats.org/officeDocument/2006/relationships/hyperlink" Id="rId10" Target="https://california.public.law/codes/civil_code_section_946" TargetMode="External" /><Relationship Type="http://schemas.openxmlformats.org/officeDocument/2006/relationships/hyperlink" Id="rId49" Target="https://california.public.law/codes/code_of_civil_procedure_section_686.020" TargetMode="External" /><Relationship Type="http://schemas.openxmlformats.org/officeDocument/2006/relationships/hyperlink" Id="rId21" Target="https://california.public.law/codes/family_code_section_299.2" TargetMode="External" /><Relationship Type="http://schemas.openxmlformats.org/officeDocument/2006/relationships/hyperlink" Id="rId13" Target="https://california.public.law/codes/probate_code_section_101" TargetMode="External" /><Relationship Type="http://schemas.openxmlformats.org/officeDocument/2006/relationships/hyperlink" Id="rId15" Target="https://california.public.law/codes/probate_code_section_13100" TargetMode="External" /><Relationship Type="http://schemas.openxmlformats.org/officeDocument/2006/relationships/hyperlink" Id="rId57" Target="https://california.public.law/codes/probate_code_section_13105" TargetMode="External" /><Relationship Type="http://schemas.openxmlformats.org/officeDocument/2006/relationships/hyperlink" Id="rId52" Target="https://california.public.law/codes/probate_code_section_13110" TargetMode="External" /><Relationship Type="http://schemas.openxmlformats.org/officeDocument/2006/relationships/hyperlink" Id="rId16" Target="https://california.public.law/codes/probate_code_section_13111" TargetMode="External" /><Relationship Type="http://schemas.openxmlformats.org/officeDocument/2006/relationships/hyperlink" Id="rId34" Target="https://california.public.law/codes/probate_code_section_215" TargetMode="External" /><Relationship Type="http://schemas.openxmlformats.org/officeDocument/2006/relationships/hyperlink" Id="rId43" Target="https://california.public.law/codes/probate_code_section_223" TargetMode="External" /><Relationship Type="http://schemas.openxmlformats.org/officeDocument/2006/relationships/hyperlink" Id="rId44" Target="https://california.public.law/codes/probate_code_section_256" TargetMode="External" /><Relationship Type="http://schemas.openxmlformats.org/officeDocument/2006/relationships/hyperlink" Id="rId46" Target="https://california.public.law/codes/probate_code_section_259" TargetMode="External" /><Relationship Type="http://schemas.openxmlformats.org/officeDocument/2006/relationships/hyperlink" Id="rId55" Target="https://california.public.law/codes/probate_code_section_5302" TargetMode="External" /><Relationship Type="http://schemas.openxmlformats.org/officeDocument/2006/relationships/hyperlink" Id="rId19" Target="https://california.public.law/codes/probate_code_section_5305" TargetMode="External" /><Relationship Type="http://schemas.openxmlformats.org/officeDocument/2006/relationships/hyperlink" Id="rId48" Target="https://california.public.law/codes/probate_code_section_5401" TargetMode="External" /><Relationship Type="http://schemas.openxmlformats.org/officeDocument/2006/relationships/hyperlink" Id="rId20" Target="https://california.public.law/codes/probate_code_section_5405" TargetMode="External" /><Relationship Type="http://schemas.openxmlformats.org/officeDocument/2006/relationships/hyperlink" Id="rId18" Target="https://california.public.law/codes/probate_code_section_66" TargetMode="External" /><Relationship Type="http://schemas.openxmlformats.org/officeDocument/2006/relationships/hyperlink" Id="rId33" Target="https://california.public.law/codes/welfare_and_institutions_code_section_14009.5" TargetMode="External" /><Relationship Type="http://schemas.openxmlformats.org/officeDocument/2006/relationships/hyperlink" Id="rId58" Target="https://law.resource.org/pub/us/case/reporter/F3/477/477.F3d.1117.04-17190.html" TargetMode="External" /><Relationship Type="http://schemas.openxmlformats.org/officeDocument/2006/relationships/hyperlink" Id="rId12" Target="https://law.resource.org/pub/us/case/reporter/US/321/321.US.233.154.html" TargetMode="External" /><Relationship Type="http://schemas.openxmlformats.org/officeDocument/2006/relationships/hyperlink" Id="rId59" Target="https://www.courts.wa.gov/court_rules/pdf/GR/GA_GR_24_00_00.pdf" TargetMode="External" /><Relationship Type="http://schemas.openxmlformats.org/officeDocument/2006/relationships/hyperlink" Id="rId40" Target="https://www.ecfr.gov/current/title-12/section-1016.13" TargetMode="External" /><Relationship Type="http://schemas.openxmlformats.org/officeDocument/2006/relationships/hyperlink" Id="rId37" Target="https://www.ecfr.gov/current/title-12/section-330.3" TargetMode="External" /><Relationship Type="http://schemas.openxmlformats.org/officeDocument/2006/relationships/hyperlink" Id="rId17" Target="https://www.ecfr.gov/current/title-12/section-7.4007" TargetMode="External" /><Relationship Type="http://schemas.openxmlformats.org/officeDocument/2006/relationships/hyperlink" Id="rId36" Target="https://www.ecfr.gov/current/title-12/section-701.35" TargetMode="External" /><Relationship Type="http://schemas.openxmlformats.org/officeDocument/2006/relationships/hyperlink" Id="rId29" Target="https://www.ecfr.gov/current/title-26/section-20.6325-1" TargetMode="External" /><Relationship Type="http://schemas.openxmlformats.org/officeDocument/2006/relationships/hyperlink" Id="rId27" Target="https://www.ecfr.gov/current/title-26/section-301.6332-1" TargetMode="External" /><Relationship Type="http://schemas.openxmlformats.org/officeDocument/2006/relationships/hyperlink" Id="rId50" Target="https://www.ecfr.gov/current/title-31/part-212" TargetMode="External" /><Relationship Type="http://schemas.openxmlformats.org/officeDocument/2006/relationships/hyperlink" Id="rId38" Target="https://www.ecfr.gov/current/title-31/section-1020.100" TargetMode="External" /><Relationship Type="http://schemas.openxmlformats.org/officeDocument/2006/relationships/hyperlink" Id="rId25" Target="https://www.ecfr.gov/current/title-31/section-210.10" TargetMode="External" /><Relationship Type="http://schemas.openxmlformats.org/officeDocument/2006/relationships/hyperlink" Id="rId30" Target="https://www.ecfr.gov/current/title-31/section-594.201" TargetMode="External" /><Relationship Type="http://schemas.openxmlformats.org/officeDocument/2006/relationships/hyperlink" Id="rId61" Target="https://www.federalregister.gov/documents/2023/06/09/2023-12340" TargetMode="External" /><Relationship Type="http://schemas.openxmlformats.org/officeDocument/2006/relationships/hyperlink" Id="rId62" Target="https://www.federalregister.gov/documents/2026/09/15/2026-18859" TargetMode="External" /><Relationship Type="http://schemas.openxmlformats.org/officeDocument/2006/relationships/hyperlink" Id="rId64" Target="https://www.federalreserve.gov/supervisionreg/srletters/SR2602.htm" TargetMode="External" /><Relationship Type="http://schemas.openxmlformats.org/officeDocument/2006/relationships/hyperlink" Id="rId63" Target="https://www.federalreserve.gov/supervisionreg/srletters/SR2602a1.pdf" TargetMode="External" /><Relationship Type="http://schemas.openxmlformats.org/officeDocument/2006/relationships/hyperlink" Id="rId23" Target="https://www.govinfo.gov/link/uscode/1/7?link-type=html" TargetMode="External" /><Relationship Type="http://schemas.openxmlformats.org/officeDocument/2006/relationships/hyperlink" Id="rId51" Target="https://www.govinfo.gov/link/uscode/11/362?link-type=html" TargetMode="External" /><Relationship Type="http://schemas.openxmlformats.org/officeDocument/2006/relationships/hyperlink" Id="rId35" Target="https://www.govinfo.gov/link/uscode/12/25b?link-type=html" TargetMode="External" /><Relationship Type="http://schemas.openxmlformats.org/officeDocument/2006/relationships/hyperlink" Id="rId39" Target="https://www.govinfo.gov/link/uscode/15/7001?link-type=html" TargetMode="External" /><Relationship Type="http://schemas.openxmlformats.org/officeDocument/2006/relationships/hyperlink" Id="rId28" Target="https://www.govinfo.gov/link/uscode/26/6324?link-type=html" TargetMode="External" /><Relationship Type="http://schemas.openxmlformats.org/officeDocument/2006/relationships/hyperlink" Id="rId26" Target="https://www.govinfo.gov/link/uscode/26/6332?link-type=html" TargetMode="External" /><Relationship Type="http://schemas.openxmlformats.org/officeDocument/2006/relationships/hyperlink" Id="rId31" Target="https://www.govinfo.gov/link/uscode/42/1396p?link-type=html" TargetMode="External" /><Relationship Type="http://schemas.openxmlformats.org/officeDocument/2006/relationships/hyperlink" Id="rId69" Target="https://www.pnc.com/insights/es/personal-finance/spend/what-happens-to-a-bank-account-when-someone-di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Risk and Edge-Case Review</dc:title>
  <dc:creator/>
  <cp:keywords/>
  <dcterms:created xsi:type="dcterms:W3CDTF">2026-10-09T20:14:52Z</dcterms:created>
  <dcterms:modified xsi:type="dcterms:W3CDTF">2026-10-09T20:14:52Z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2026-10-09</vt:lpwstr>
  </property>
  <property fmtid="{D5CDD505-2E9C-101B-9397-08002B2CF9AE}" pid="3" name="subtitle">
    <vt:lpwstr>Legal research for attorney verification. Not legal advice.</vt:lpwstr>
  </property>
</Properties>
</file>