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California Deceased-Account Entitlement Rules</w:t>
      </w:r>
    </w:p>
    <w:p>
      <w:pPr>
        <w:pStyle w:val="Subtitle"/>
      </w:pPr>
      <w:r>
        <w:t xml:space="preserve">Draft for attorney review</w:t>
      </w:r>
    </w:p>
    <w:p>
      <w:pPr>
        <w:pStyle w:val="Date"/>
      </w:pPr>
      <w:r>
        <w:t xml:space="preserve">Prepared 2026-10-09</w:t>
      </w:r>
    </w:p>
    <w:bookmarkStart w:id="9" w:name="how-to-review-this-document"/>
    <w:p>
      <w:pPr>
        <w:pStyle w:val="Heading1"/>
      </w:pPr>
      <w:r>
        <w:t xml:space="preserve">How to review this document</w:t>
      </w:r>
    </w:p>
    <w:p>
      <w:pPr>
        <w:pStyle w:val="FirstParagraph"/>
      </w:pPr>
      <w:r>
        <w:rPr>
          <w:b/>
          <w:bCs/>
        </w:rPr>
        <w:t xml:space="preserve">Status:</w:t>
      </w:r>
      <w:r>
        <w:t xml:space="preserve"> </w:t>
      </w:r>
      <w:r>
        <w:t xml:space="preserve">draft, not yet reviewed by an attorney. Nothing in this document is used by the decision engine until an attorney approves it.</w:t>
      </w:r>
    </w:p>
    <w:p>
      <w:pPr>
        <w:pStyle w:val="BodyText"/>
      </w:pPr>
      <w:r>
        <w:rPr>
          <w:b/>
          <w:bCs/>
        </w:rPr>
        <w:t xml:space="preserve">What we are asking you to do:</w:t>
      </w:r>
    </w:p>
    <w:p>
      <w:pPr>
        <w:pStyle w:val="Compact"/>
        <w:numPr>
          <w:ilvl w:val="0"/>
          <w:numId w:val="1001"/>
        </w:numPr>
      </w:pPr>
      <w:r>
        <w:t xml:space="preserve">Start with "Changes since v0.1" at the top of Part 1. It lists every correction made after legal research, with its basis.</w:t>
      </w:r>
    </w:p>
    <w:p>
      <w:pPr>
        <w:pStyle w:val="Compact"/>
        <w:numPr>
          <w:ilvl w:val="0"/>
          <w:numId w:val="1001"/>
        </w:numPr>
      </w:pPr>
      <w:r>
        <w:t xml:space="preserve">Confirm each rule and its citation in Part 1, or correct it.</w:t>
      </w:r>
    </w:p>
    <w:p>
      <w:pPr>
        <w:pStyle w:val="Compact"/>
        <w:numPr>
          <w:ilvl w:val="0"/>
          <w:numId w:val="1001"/>
        </w:numPr>
      </w:pPr>
      <w:r>
        <w:t xml:space="preserve">Answer the open questions marked</w:t>
      </w:r>
      <w:r>
        <w:t xml:space="preserve"> </w:t>
      </w:r>
      <w:r>
        <w:rPr>
          <w:b/>
          <w:bCs/>
        </w:rPr>
        <w:t xml:space="preserve">Law</w:t>
      </w:r>
      <w:r>
        <w:t xml:space="preserve"> </w:t>
      </w:r>
      <w:r>
        <w:t xml:space="preserve">in Part 2 (Q2, Q3, Q5, Q6, Q8, Q9, Q10–Q15). Questions marked</w:t>
      </w:r>
      <w:r>
        <w:t xml:space="preserve"> </w:t>
      </w:r>
      <w:r>
        <w:rPr>
          <w:b/>
          <w:bCs/>
        </w:rPr>
        <w:t xml:space="preserve">Owner</w:t>
      </w:r>
      <w:r>
        <w:t xml:space="preserve">,</w:t>
      </w:r>
      <w:r>
        <w:t xml:space="preserve"> </w:t>
      </w:r>
      <w:r>
        <w:rPr>
          <w:b/>
          <w:bCs/>
        </w:rPr>
        <w:t xml:space="preserve">Policy</w:t>
      </w:r>
      <w:r>
        <w:t xml:space="preserve">, or</w:t>
      </w:r>
      <w:r>
        <w:t xml:space="preserve"> </w:t>
      </w:r>
      <w:r>
        <w:rPr>
          <w:b/>
          <w:bCs/>
        </w:rPr>
        <w:t xml:space="preserve">Terms</w:t>
      </w:r>
      <w:r>
        <w:t xml:space="preserve"> </w:t>
      </w:r>
      <w:r>
        <w:t xml:space="preserve">are for the business; you may comment on them.</w:t>
      </w:r>
    </w:p>
    <w:p>
      <w:pPr>
        <w:pStyle w:val="Compact"/>
        <w:numPr>
          <w:ilvl w:val="0"/>
          <w:numId w:val="1001"/>
        </w:numPr>
      </w:pPr>
      <w:r>
        <w:t xml:space="preserve">Confirm the expected outcome of each draft golden scenario at the end of Part 1. These scenarios become the engine's tests.</w:t>
      </w:r>
    </w:p>
    <w:p>
      <w:pPr>
        <w:pStyle w:val="Compact"/>
        <w:numPr>
          <w:ilvl w:val="0"/>
          <w:numId w:val="1001"/>
        </w:numPr>
      </w:pPr>
      <w:r>
        <w:t xml:space="preserve">Use Part 4, the legal research review, as supporting evidence: it quotes the statute or case behind each point and lists the items you must confirm. It was produced by an automated research agent, and a sample of its citations was independently re-checked. It is research, not legal advice.</w:t>
      </w:r>
    </w:p>
    <w:p>
      <w:pPr>
        <w:pStyle w:val="FirstParagraph"/>
      </w:pPr>
      <w:r>
        <w:rPr>
          <w:b/>
          <w:bCs/>
        </w:rPr>
        <w:t xml:space="preserve">How to respond:</w:t>
      </w:r>
      <w:r>
        <w:t xml:space="preserve"> </w:t>
      </w:r>
      <w:r>
        <w:t xml:space="preserve">turn on Track Changes and edit this document directly, or add comments. Please return it to the product owner.</w:t>
      </w:r>
    </w:p>
    <w:p>
      <w:pPr>
        <w:pStyle w:val="BodyText"/>
      </w:pPr>
      <w:r>
        <w:rPr>
          <w:b/>
          <w:bCs/>
        </w:rPr>
        <w:t xml:space="preserve">Sources:</w:t>
      </w:r>
      <w:r>
        <w:t xml:space="preserve"> </w:t>
      </w:r>
      <w:r>
        <w:t xml:space="preserve">The official California code site blocked automated retrieval, so statute text was read from a public mirror of it. Every citation must be confirmed against leginfo.legislature.ca.gov (question Q9). Dollar limits come from the Judicial Council's official § 890 list. See Part 3.</w:t>
      </w:r>
    </w:p>
    <w:p>
      <w:pPr>
        <w:pStyle w:val="BodyText"/>
      </w:pPr>
      <w:r>
        <w:rPr>
          <w:b/>
          <w:bCs/>
        </w:rPr>
        <w:t xml:space="preserve">Contents:</w:t>
      </w:r>
      <w:r>
        <w:t xml:space="preserve"> </w:t>
      </w:r>
      <w:r>
        <w:t xml:space="preserve">Part 1, rule specification (v0.2). Part 2, open questions. Part 3, sources. Part 4, legal research review.</w:t>
      </w:r>
    </w:p>
    <w:p>
      <w:r>
        <w:br w:type="page"/>
      </w:r>
    </w:p>
    <w:bookmarkEnd w:id="9"/>
    <w:bookmarkStart w:id="21" w:name="X58d2ab721f75b8a9d1253feed3fbe0ee375d77e"/>
    <w:p>
      <w:pPr>
        <w:pStyle w:val="Heading1"/>
      </w:pPr>
      <w:r>
        <w:t xml:space="preserve">California rule spec (DRAFT, not attorney-reviewed)</w:t>
      </w:r>
    </w:p>
    <w:p>
      <w:pPr>
        <w:pStyle w:val="FirstParagraph"/>
      </w:pPr>
      <w:r>
        <w:rPr>
          <w:b/>
          <w:bCs/>
        </w:rPr>
        <w:t xml:space="preserve">Status:</w:t>
      </w:r>
      <w:r>
        <w:t xml:space="preserve"> </w:t>
      </w:r>
      <w:r>
        <w:t xml:space="preserve">Draft v0.2, updated 2026-10-09 for REQ-CA-001.</w:t>
      </w:r>
      <w:r>
        <w:t xml:space="preserve"> </w:t>
      </w:r>
      <w:r>
        <w:rPr>
          <w:b/>
          <w:bCs/>
        </w:rPr>
        <w:t xml:space="preserve">Attorney review:</w:t>
      </w:r>
      <w:r>
        <w:t xml:space="preserve"> </w:t>
      </w:r>
      <w:r>
        <w:t xml:space="preserve">not started.</w:t>
      </w:r>
      <w:r>
        <w:t xml:space="preserve"> </w:t>
      </w:r>
      <w:r>
        <w:t xml:space="preserve">Nothing here is encoded in the engine until an attorney approves it. Statute text was read from a mirror of the official code (see Part 3), and every citation must be confirmed against leginfo.legislature.ca.gov before approval. Numbered questions (Q1, Q2, …) are in Part 2. Supporting research, with quotes and sources for each point, is in Part 4. References like "R27" or "G4" point to its claim-audit rows and gaps; "Risk R2" points to the cross-cutting risk review (the separate Legal Risk and Edge-Case Review document).</w:t>
      </w:r>
    </w:p>
    <w:bookmarkStart w:id="10" w:name="changes-since-v01"/>
    <w:p>
      <w:pPr>
        <w:pStyle w:val="Heading2"/>
      </w:pPr>
      <w:r>
        <w:t xml:space="preserve">Changes since v0.1</w:t>
      </w:r>
    </w:p>
    <w:p>
      <w:pPr>
        <w:pStyle w:val="FirstParagraph"/>
      </w:pPr>
      <w:r>
        <w:t xml:space="preserve">v0.2 applies the findings of the legal research review (2026-10-09). Findings that need a legal judgment were added to the open questions instead of being decided here.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Change</w:t>
            </w:r>
          </w:p>
        </w:tc>
        <w:tc>
          <w:tcPr/>
          <w:p>
            <w:pPr>
              <w:pStyle w:val="Compact"/>
            </w:pPr>
            <w:r>
              <w:t xml:space="preserve">Basis</w:t>
            </w:r>
          </w:p>
        </w:tc>
      </w:tr>
      <w:tr>
        <w:tc>
          <w:tcPr/>
          <w:p>
            <w:pPr>
              <w:pStyle w:val="Compact"/>
            </w:pPr>
            <w:r>
              <w:rPr>
                <w:b/>
                <w:bCs/>
              </w:rPr>
              <w:t xml:space="preserve">Path A now says the institution may pay</w:t>
            </w:r>
            <w:r>
              <w:t xml:space="preserve">, not that funds "belong to" the payee. Ownership is rebuttable by clear and convincing evidence, and a will or living trust can be that evidence, but the institution stays protected when it pays according to the account terms.</w:t>
            </w:r>
          </w:p>
        </w:tc>
        <w:tc>
          <w:tcPr/>
          <w:p>
            <w:pPr>
              <w:pStyle w:val="Compact"/>
            </w:pPr>
            <w:r>
              <w:t xml:space="preserve">§§ 5201, 5302(a), (c)(2), 5405(a);</w:t>
            </w:r>
            <w:r>
              <w:t xml:space="preserve"> </w:t>
            </w:r>
            <w:r>
              <w:rPr>
                <w:i/>
                <w:iCs/>
              </w:rPr>
              <w:t xml:space="preserve">Placencia v. Strazicich</w:t>
            </w:r>
            <w:r>
              <w:t xml:space="preserve"> </w:t>
            </w:r>
            <w:r>
              <w:t xml:space="preserve">(2019);</w:t>
            </w:r>
            <w:r>
              <w:t xml:space="preserve"> </w:t>
            </w:r>
            <w:r>
              <w:rPr>
                <w:i/>
                <w:iCs/>
              </w:rPr>
              <w:t xml:space="preserve">Araiza v. Younkin</w:t>
            </w:r>
            <w:r>
              <w:t xml:space="preserve"> </w:t>
            </w:r>
            <w:r>
              <w:t xml:space="preserve">(2010); review R1, R3, R69, R70</w:t>
            </w:r>
          </w:p>
        </w:tc>
      </w:tr>
      <w:tr>
        <w:tc>
          <w:tcPr/>
          <w:p>
            <w:pPr>
              <w:pStyle w:val="Compact"/>
            </w:pPr>
            <w:r>
              <w:rPr>
                <w:b/>
                <w:bCs/>
              </w:rPr>
              <w:t xml:space="preserve">Protection presupposes a proper party.</w:t>
            </w:r>
            <w:r>
              <w:t xml:space="preserve"> </w:t>
            </w:r>
            <w:r>
              <w:t xml:space="preserve">The payee's status must come from account terms validly set or changed under § 5303.</w:t>
            </w:r>
          </w:p>
        </w:tc>
        <w:tc>
          <w:tcPr/>
          <w:p>
            <w:pPr>
              <w:pStyle w:val="Compact"/>
            </w:pPr>
            <w:r>
              <w:t xml:space="preserve">§ 5405;</w:t>
            </w:r>
            <w:r>
              <w:t xml:space="preserve"> </w:t>
            </w:r>
            <w:r>
              <w:rPr>
                <w:i/>
                <w:iCs/>
              </w:rPr>
              <w:t xml:space="preserve">Stevens v. Tri Counties Bank</w:t>
            </w:r>
            <w:r>
              <w:t xml:space="preserve"> </w:t>
            </w:r>
            <w:r>
              <w:t xml:space="preserve">(2009); R10, G14</w:t>
            </w:r>
          </w:p>
        </w:tc>
      </w:tr>
      <w:tr>
        <w:tc>
          <w:tcPr/>
          <w:p>
            <w:pPr>
              <w:pStyle w:val="Compact"/>
            </w:pPr>
            <w:r>
              <w:rPr>
                <w:b/>
                <w:bCs/>
              </w:rPr>
              <w:t xml:space="preserve">Former-spouse rule widened to joint accounts.</w:t>
            </w:r>
            <w:r>
              <w:t xml:space="preserve"> </w:t>
            </w:r>
            <w:r>
              <w:t xml:space="preserve">§ 5302 is "subject to Section 5040".</w:t>
            </w:r>
          </w:p>
        </w:tc>
        <w:tc>
          <w:tcPr/>
          <w:p>
            <w:pPr>
              <w:pStyle w:val="Compact"/>
            </w:pPr>
            <w:r>
              <w:t xml:space="preserve">§§ 5040, 5302; R12</w:t>
            </w:r>
          </w:p>
        </w:tc>
      </w:tr>
      <w:tr>
        <w:tc>
          <w:tcPr/>
          <w:p>
            <w:pPr>
              <w:pStyle w:val="Compact"/>
            </w:pPr>
            <w:r>
              <w:rPr>
                <w:b/>
                <w:bCs/>
              </w:rPr>
              <w:t xml:space="preserve">Removed an incorrect not-determinable item.</w:t>
            </w:r>
            <w:r>
              <w:t xml:space="preserve"> </w:t>
            </w:r>
            <w:r>
              <w:t xml:space="preserve">§ 13106.5 governs debts owed</w:t>
            </w:r>
            <w:r>
              <w:t xml:space="preserve"> </w:t>
            </w:r>
            <w:r>
              <w:rPr>
                <w:i/>
                <w:iCs/>
              </w:rPr>
              <w:t xml:space="preserve">to</w:t>
            </w:r>
            <w:r>
              <w:t xml:space="preserve"> </w:t>
            </w:r>
            <w:r>
              <w:t xml:space="preserve">the decedent that are secured by real property, not deposit accounts.</w:t>
            </w:r>
          </w:p>
        </w:tc>
        <w:tc>
          <w:tcPr/>
          <w:p>
            <w:pPr>
              <w:pStyle w:val="Compact"/>
            </w:pPr>
            <w:r>
              <w:t xml:space="preserve">§ 13106.5(a); R36</w:t>
            </w:r>
          </w:p>
        </w:tc>
      </w:tr>
      <w:tr>
        <w:tc>
          <w:tcPr/>
          <w:p>
            <w:pPr>
              <w:pStyle w:val="Compact"/>
            </w:pPr>
            <w:r>
              <w:rPr>
                <w:b/>
                <w:bCs/>
              </w:rPr>
              <w:t xml:space="preserve">Added a good-faith limit on Path B protection.</w:t>
            </w:r>
            <w:r>
              <w:t xml:space="preserve"> </w:t>
            </w:r>
            <w:r>
              <w:t xml:space="preserve">Notice of a superior claim plus a hold request before the affidavit removes protection (under the predecessor statute). Adverse claims and court orders are added.</w:t>
            </w:r>
          </w:p>
        </w:tc>
        <w:tc>
          <w:tcPr/>
          <w:p>
            <w:pPr>
              <w:pStyle w:val="Compact"/>
            </w:pPr>
            <w:r>
              <w:t xml:space="preserve">§ 13106(a);</w:t>
            </w:r>
            <w:r>
              <w:t xml:space="preserve"> </w:t>
            </w:r>
            <w:r>
              <w:rPr>
                <w:i/>
                <w:iCs/>
              </w:rPr>
              <w:t xml:space="preserve">Mautner v. Peralta</w:t>
            </w:r>
            <w:r>
              <w:t xml:space="preserve"> </w:t>
            </w:r>
            <w:r>
              <w:t xml:space="preserve">(1989); Fin. Code § 1450; R27, G4</w:t>
            </w:r>
          </w:p>
        </w:tc>
      </w:tr>
      <w:tr>
        <w:tc>
          <w:tcPr/>
          <w:p>
            <w:pPr>
              <w:pStyle w:val="Compact"/>
            </w:pPr>
            <w:r>
              <w:rPr>
                <w:b/>
                <w:bCs/>
              </w:rPr>
              <w:t xml:space="preserve">Earliest Path B payment date is now an open question</w:t>
            </w:r>
            <w:r>
              <w:t xml:space="preserve"> </w:t>
            </w:r>
            <w:r>
              <w:t xml:space="preserve">with a conservative default of death + 41 days.</w:t>
            </w:r>
          </w:p>
        </w:tc>
        <w:tc>
          <w:tcPr/>
          <w:p>
            <w:pPr>
              <w:pStyle w:val="Compact"/>
            </w:pPr>
            <w:r>
              <w:t xml:space="preserve">CCP § 12; R34, Q3</w:t>
            </w:r>
          </w:p>
        </w:tc>
      </w:tr>
      <w:tr>
        <w:tc>
          <w:tcPr/>
          <w:p>
            <w:pPr>
              <w:pStyle w:val="Compact"/>
            </w:pPr>
            <w:r>
              <w:rPr>
                <w:b/>
                <w:bCs/>
              </w:rPr>
              <w:t xml:space="preserve">The value test is the "current" gross fair market value</w:t>
            </w:r>
            <w:r>
              <w:t xml:space="preserve">, compared with the limit for the date of death. A missing § 13050 exclusion (a life or other interest ending at death) is added.</w:t>
            </w:r>
          </w:p>
        </w:tc>
        <w:tc>
          <w:tcPr/>
          <w:p>
            <w:pPr>
              <w:pStyle w:val="Compact"/>
            </w:pPr>
            <w:r>
              <w:t xml:space="preserve">§ 13101(a)(5); § 13050(a)(1); R15, R45</w:t>
            </w:r>
          </w:p>
        </w:tc>
      </w:tr>
      <w:tr>
        <w:tc>
          <w:tcPr/>
          <w:p>
            <w:pPr>
              <w:pStyle w:val="Compact"/>
            </w:pPr>
            <w:r>
              <w:rPr>
                <w:b/>
                <w:bCs/>
              </w:rPr>
              <w:t xml:space="preserve">One affiant receives 100% only if that affiant is the sole successor</w:t>
            </w:r>
            <w:r>
              <w:t xml:space="preserve">, or represents all successors.</w:t>
            </w:r>
          </w:p>
        </w:tc>
        <w:tc>
          <w:tcPr/>
          <w:p>
            <w:pPr>
              <w:pStyle w:val="Compact"/>
            </w:pPr>
            <w:r>
              <w:t xml:space="preserve">§ 13006; § 13101(a)(9); R28</w:t>
            </w:r>
          </w:p>
        </w:tc>
      </w:tr>
      <w:tr>
        <w:tc>
          <w:tcPr/>
          <w:p>
            <w:pPr>
              <w:pStyle w:val="Compact"/>
            </w:pPr>
            <w:r>
              <w:rPr>
                <w:b/>
                <w:bCs/>
              </w:rPr>
              <w:t xml:space="preserve">Documents:</w:t>
            </w:r>
            <w:r>
              <w:t xml:space="preserve"> </w:t>
            </w:r>
            <w:r>
              <w:t xml:space="preserve">items 2–4 must be attached to the affidavit; the bond is the institution's option; and the holder must note how identity was established.</w:t>
            </w:r>
          </w:p>
        </w:tc>
        <w:tc>
          <w:tcPr/>
          <w:p>
            <w:pPr>
              <w:pStyle w:val="Compact"/>
            </w:pPr>
            <w:r>
              <w:t xml:space="preserve">§ 13101(d)–(f); § 13102(b); § 13104(f); R30, R31, R33</w:t>
            </w:r>
          </w:p>
        </w:tc>
      </w:tr>
      <w:tr>
        <w:tc>
          <w:tcPr/>
          <w:p>
            <w:pPr>
              <w:pStyle w:val="Compact"/>
            </w:pPr>
            <w:r>
              <w:rPr>
                <w:b/>
                <w:bCs/>
              </w:rPr>
              <w:t xml:space="preserve">Added rules the review found missing:</w:t>
            </w:r>
            <w:r>
              <w:t xml:space="preserve"> </w:t>
            </w:r>
            <w:r>
              <w:t xml:space="preserve">minor payees, survival proof and simultaneous death, slayer notice, sister-state personal representatives, and Path C court orders. Also new facts needed for federal and state holds (Treasury reclamation, escheat, tax withholding).</w:t>
            </w:r>
          </w:p>
        </w:tc>
        <w:tc>
          <w:tcPr/>
          <w:p>
            <w:pPr>
              <w:pStyle w:val="Compact"/>
            </w:pPr>
            <w:r>
              <w:t xml:space="preserve">§§ 5407(b), 220–223, 6403, 21109, 250–256, 12570–12573, 13650–13657; 31 CFR § 210.10; CCP §§ 1532, 1560; Rev. &amp; Tax. Code § 18670; G1–G12</w:t>
            </w:r>
          </w:p>
        </w:tc>
      </w:tr>
      <w:tr>
        <w:tc>
          <w:tcPr/>
          <w:p>
            <w:pPr>
              <w:pStyle w:val="Compact"/>
            </w:pPr>
            <w:r>
              <w:rPr>
                <w:b/>
                <w:bCs/>
              </w:rPr>
              <w:t xml:space="preserve">Institution policy can carry fee risk:</w:t>
            </w:r>
            <w:r>
              <w:t xml:space="preserve"> </w:t>
            </w:r>
            <w:r>
              <w:t xml:space="preserve">"stricter than the statute" is not risk-free on Path B.</w:t>
            </w:r>
          </w:p>
        </w:tc>
        <w:tc>
          <w:tcPr/>
          <w:p>
            <w:pPr>
              <w:pStyle w:val="Compact"/>
            </w:pPr>
            <w:r>
              <w:t xml:space="preserve">§ 13105(b); § 12572; Q8; Risk R3</w:t>
            </w:r>
          </w:p>
        </w:tc>
      </w:tr>
    </w:tbl>
    <w:bookmarkEnd w:id="10"/>
    <w:bookmarkStart w:id="11" w:name="where-each-answer-comes-from"/>
    <w:p>
      <w:pPr>
        <w:pStyle w:val="Heading2"/>
      </w:pPr>
      <w:r>
        <w:t xml:space="preserve">Where each answer comes from</w:t>
      </w:r>
    </w:p>
    <w:p>
      <w:pPr>
        <w:pStyle w:val="Compact"/>
        <w:numPr>
          <w:ilvl w:val="0"/>
          <w:numId w:val="1002"/>
        </w:numPr>
      </w:pPr>
      <w:r>
        <w:rPr>
          <w:b/>
          <w:bCs/>
        </w:rPr>
        <w:t xml:space="preserve">Law:</w:t>
      </w:r>
      <w:r>
        <w:t xml:space="preserve"> </w:t>
      </w:r>
      <w:r>
        <w:t xml:space="preserve">statutory conditions and protections. These are fixed by the code and confirmed by an attorney.</w:t>
      </w:r>
    </w:p>
    <w:p>
      <w:pPr>
        <w:pStyle w:val="Compact"/>
        <w:numPr>
          <w:ilvl w:val="0"/>
          <w:numId w:val="1002"/>
        </w:numPr>
      </w:pPr>
      <w:r>
        <w:rPr>
          <w:b/>
          <w:bCs/>
        </w:rPr>
        <w:t xml:space="preserve">Account terms:</w:t>
      </w:r>
      <w:r>
        <w:t xml:space="preserve"> </w:t>
      </w:r>
      <w:r>
        <w:t xml:space="preserve">facts about the specific account, such as POD or Totten beneficiary shares, survivorship, and signature requirements. They arrive with the account facts.</w:t>
      </w:r>
    </w:p>
    <w:p>
      <w:pPr>
        <w:pStyle w:val="Compact"/>
        <w:numPr>
          <w:ilvl w:val="0"/>
          <w:numId w:val="1002"/>
        </w:numPr>
      </w:pPr>
      <w:r>
        <w:rPr>
          <w:b/>
          <w:bCs/>
        </w:rPr>
        <w:t xml:space="preserve">Institution policy:</w:t>
      </w:r>
      <w:r>
        <w:t xml:space="preserve"> </w:t>
      </w:r>
      <w:r>
        <w:t xml:space="preserve">choices the statute leaves to the institution, such as an extra waiting period, extra documents, or declining some cases. A policy may be stricter than the statute but never looser, and every decision records which policy version it used.</w:t>
      </w:r>
      <w:r>
        <w:t xml:space="preserve"> </w:t>
      </w:r>
      <w:r>
        <w:rPr>
          <w:b/>
          <w:bCs/>
        </w:rPr>
        <w:t xml:space="preserve">On Path B, an unreasonable refusal or delay can expose the institution to attorney's fees (§ 13105(b)), so the limits of policy are an attorney question (Q8).</w:t>
      </w:r>
    </w:p>
    <w:bookmarkEnd w:id="11"/>
    <w:bookmarkStart w:id="12" w:name="what-the-engine-decides"/>
    <w:p>
      <w:pPr>
        <w:pStyle w:val="Heading2"/>
      </w:pPr>
      <w:r>
        <w:t xml:space="preserve">What the engine decides</w:t>
      </w:r>
    </w:p>
    <w:p>
      <w:pPr>
        <w:pStyle w:val="FirstParagraph"/>
      </w:pPr>
      <w:r>
        <w:t xml:space="preserve">For one deposit account of a California decedent, the engine answers four questions:</w:t>
      </w:r>
    </w:p>
    <w:p>
      <w:pPr>
        <w:pStyle w:val="Compact"/>
        <w:numPr>
          <w:ilvl w:val="0"/>
          <w:numId w:val="1003"/>
        </w:numPr>
      </w:pPr>
      <w:r>
        <w:t xml:space="preserve">Who may the institution pay, and in what shares?</w:t>
      </w:r>
    </w:p>
    <w:p>
      <w:pPr>
        <w:pStyle w:val="Compact"/>
        <w:numPr>
          <w:ilvl w:val="0"/>
          <w:numId w:val="1003"/>
        </w:numPr>
      </w:pPr>
      <w:r>
        <w:t xml:space="preserve">What documents must the institution receive first?</w:t>
      </w:r>
    </w:p>
    <w:p>
      <w:pPr>
        <w:pStyle w:val="Compact"/>
        <w:numPr>
          <w:ilvl w:val="0"/>
          <w:numId w:val="1003"/>
        </w:numPr>
      </w:pPr>
      <w:r>
        <w:t xml:space="preserve">What is the earliest date it may pay?</w:t>
      </w:r>
    </w:p>
    <w:p>
      <w:pPr>
        <w:pStyle w:val="Compact"/>
        <w:numPr>
          <w:ilvl w:val="0"/>
          <w:numId w:val="1003"/>
        </w:numPr>
      </w:pPr>
      <w:r>
        <w:t xml:space="preserve">Does a statute protect the institution from liability if it pays as decided?</w:t>
      </w:r>
    </w:p>
    <w:p>
      <w:pPr>
        <w:pStyle w:val="FirstParagraph"/>
      </w:pPr>
      <w:r>
        <w:t xml:space="preserve">If the facts fall outside the paths below, the result is</w:t>
      </w:r>
      <w:r>
        <w:t xml:space="preserve"> </w:t>
      </w:r>
      <w:r>
        <w:rPr>
          <w:b/>
          <w:bCs/>
        </w:rPr>
        <w:t xml:space="preserve">not determinable</w:t>
      </w:r>
      <w:r>
        <w:t xml:space="preserve"> </w:t>
      </w:r>
      <w:r>
        <w:t xml:space="preserve">and the case goes to a person. The engine never guesses.</w:t>
      </w:r>
    </w:p>
    <w:p>
      <w:pPr>
        <w:pStyle w:val="BodyText"/>
      </w:pPr>
      <w:r>
        <w:rPr>
          <w:b/>
          <w:bCs/>
        </w:rPr>
        <w:t xml:space="preserve">What a decision does not check:</w:t>
      </w:r>
      <w:r>
        <w:t xml:space="preserve"> </w:t>
      </w:r>
      <w:r>
        <w:t xml:space="preserve">the engine relies on the facts entered. Statutory protection applies only if the documents actually received match those facts and meet the statute (Risk R23). Every decision will list the institution's pre-payment checks it does not perform, such as sanctions screening, levies and Treasury reclamation (Risk R2, R8, R11).</w:t>
      </w:r>
    </w:p>
    <w:bookmarkEnd w:id="12"/>
    <w:bookmarkStart w:id="13" w:name="X01cb6f901473737e558efa39520a1425923bb63"/>
    <w:p>
      <w:pPr>
        <w:pStyle w:val="Heading2"/>
      </w:pPr>
      <w:r>
        <w:t xml:space="preserve">Path A: accounts with a survivor or payable-on-death (POD) payee</w:t>
      </w:r>
    </w:p>
    <w:p>
      <w:pPr>
        <w:pStyle w:val="FirstParagraph"/>
      </w:pPr>
      <w:r>
        <w:t xml:space="preserve">Applies when the account is a joint account with a surviving party, a POD account with a surviving POD payee, or a Totten trust account with a surviving beneficiary.</w:t>
      </w:r>
    </w:p>
    <w:p>
      <w:pPr>
        <w:pStyle w:val="BodyText"/>
      </w:pPr>
      <w:r>
        <w:rPr>
          <w:b/>
          <w:bCs/>
        </w:rPr>
        <w:t xml:space="preserve">Payment versus ownership.</w:t>
      </w:r>
      <w:r>
        <w:t xml:space="preserve"> </w:t>
      </w:r>
      <w:r>
        <w:t xml:space="preserve">Chapter 4 (§§ 5401–5405) governs whom the institution may pay. Chapter 3's ownership rules "have no bearing on the power of withdrawal" (§ 5201). Ownership under § 5302 can be rebutted by clear and convincing evidence of a different intent, and a will (</w:t>
      </w:r>
      <w:r>
        <w:rPr>
          <w:i/>
          <w:iCs/>
        </w:rPr>
        <w:t xml:space="preserve">Placencia</w:t>
      </w:r>
      <w:r>
        <w:t xml:space="preserve">) or a living trust (</w:t>
      </w:r>
      <w:r>
        <w:rPr>
          <w:i/>
          <w:iCs/>
        </w:rPr>
        <w:t xml:space="preserve">Araiza</w:t>
      </w:r>
      <w:r>
        <w:t xml:space="preserve">) can supply that evidence. The institution is still protected when it pays according to the account terms (§ 5405(a), (d)); any dispute over ownership is between the claimants.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Rule</w:t>
            </w:r>
          </w:p>
        </w:tc>
        <w:tc>
          <w:tcPr/>
          <w:p>
            <w:pPr>
              <w:pStyle w:val="Compact"/>
            </w:pPr>
            <w:r>
              <w:t xml:space="preserve">Citation</w:t>
            </w:r>
          </w:p>
        </w:tc>
      </w:tr>
      <w:tr>
        <w:tc>
          <w:tcPr/>
          <w:p>
            <w:pPr>
              <w:pStyle w:val="Compact"/>
            </w:pPr>
            <w:r>
              <w:t xml:space="preserve">Who may be paid</w:t>
            </w:r>
          </w:p>
        </w:tc>
        <w:tc>
          <w:tcPr/>
          <w:p>
            <w:pPr>
              <w:pStyle w:val="Compact"/>
            </w:pPr>
            <w:r>
              <w:rPr>
                <w:b/>
                <w:bCs/>
              </w:rPr>
              <w:t xml:space="preserve">Joint account:</w:t>
            </w:r>
            <w:r>
              <w:t xml:space="preserve"> </w:t>
            </w:r>
            <w:r>
              <w:t xml:space="preserve">the surviving party or parties, according to the account terms.</w:t>
            </w:r>
            <w:r>
              <w:t xml:space="preserve"> </w:t>
            </w:r>
            <w:r>
              <w:rPr>
                <w:b/>
                <w:bCs/>
              </w:rPr>
              <w:t xml:space="preserve">POD account, sole or last surviving party deceased:</w:t>
            </w:r>
            <w:r>
              <w:t xml:space="preserve"> </w:t>
            </w:r>
            <w:r>
              <w:t xml:space="preserve">the surviving POD payee(s); if a payee died before the party, the surviving payees take.</w:t>
            </w:r>
            <w:r>
              <w:t xml:space="preserve"> </w:t>
            </w:r>
            <w:r>
              <w:rPr>
                <w:b/>
                <w:bCs/>
              </w:rPr>
              <w:t xml:space="preserve">Totten trust account, sole or last surviving trustee deceased:</w:t>
            </w:r>
            <w:r>
              <w:t xml:space="preserve"> </w:t>
            </w:r>
            <w:r>
              <w:t xml:space="preserve">the surviving beneficiary or beneficiaries. An account "in trust for" another is paid as a Totten account unless the institution has written notice otherwise.</w:t>
            </w:r>
          </w:p>
        </w:tc>
        <w:tc>
          <w:tcPr/>
          <w:p>
            <w:pPr>
              <w:pStyle w:val="Compact"/>
            </w:pPr>
            <w:r>
              <w:t xml:space="preserve">§§ 5401–5404; § 5302(a), (b)(2)(A), (c)(2)(A); § 5406</w:t>
            </w:r>
          </w:p>
        </w:tc>
      </w:tr>
      <w:tr>
        <w:tc>
          <w:tcPr/>
          <w:p>
            <w:pPr>
              <w:pStyle w:val="Compact"/>
            </w:pPr>
            <w:r>
              <w:t xml:space="preserve">Shares</w:t>
            </w:r>
          </w:p>
        </w:tc>
        <w:tc>
          <w:tcPr/>
          <w:p>
            <w:pPr>
              <w:pStyle w:val="Compact"/>
            </w:pPr>
            <w:r>
              <w:rPr>
                <w:b/>
                <w:bCs/>
              </w:rPr>
              <w:t xml:space="preserve">POD and Totten:</w:t>
            </w:r>
            <w:r>
              <w:t xml:space="preserve"> </w:t>
            </w:r>
            <w:r>
              <w:t xml:space="preserve">two or more surviving payees or beneficiaries take</w:t>
            </w:r>
            <w:r>
              <w:t xml:space="preserve"> </w:t>
            </w:r>
            <w:r>
              <w:rPr>
                <w:b/>
                <w:bCs/>
              </w:rPr>
              <w:t xml:space="preserve">equal shares</w:t>
            </w:r>
            <w:r>
              <w:t xml:space="preserve"> </w:t>
            </w:r>
            <w:r>
              <w:t xml:space="preserve">unless the account terms</w:t>
            </w:r>
            <w:r>
              <w:t xml:space="preserve"> </w:t>
            </w:r>
            <w:r>
              <w:rPr>
                <w:b/>
                <w:bCs/>
              </w:rPr>
              <w:t xml:space="preserve">expressly</w:t>
            </w:r>
            <w:r>
              <w:t xml:space="preserve"> </w:t>
            </w:r>
            <w:r>
              <w:t xml:space="preserve">provide otherwise. After the death there is no survivorship among them unless the terms say so.</w:t>
            </w:r>
            <w:r>
              <w:t xml:space="preserve"> </w:t>
            </w:r>
            <w:r>
              <w:rPr>
                <w:b/>
                <w:bCs/>
              </w:rPr>
              <w:t xml:space="preserve">Joint, two or more survivors:</w:t>
            </w:r>
            <w:r>
              <w:t xml:space="preserve"> </w:t>
            </w:r>
            <w:r>
              <w:t xml:space="preserve">the institution may pay any one or more surviving parties according to the account terms. It does not have to work out net contributions, and it is protected whether or not the payment matches beneficial ownership.</w:t>
            </w:r>
          </w:p>
        </w:tc>
        <w:tc>
          <w:tcPr/>
          <w:p>
            <w:pPr>
              <w:pStyle w:val="Compact"/>
            </w:pPr>
            <w:r>
              <w:t xml:space="preserve">§ 5302(b)(2)(B)–(C), (c)(2)(B)–(C); §§ 5401(a), (c), 5402, 5405(a)</w:t>
            </w:r>
          </w:p>
        </w:tc>
      </w:tr>
      <w:tr>
        <w:tc>
          <w:tcPr/>
          <w:p>
            <w:pPr>
              <w:pStyle w:val="Compact"/>
            </w:pPr>
            <w:r>
              <w:t xml:space="preserve">Documents</w:t>
            </w:r>
          </w:p>
        </w:tc>
        <w:tc>
          <w:tcPr/>
          <w:p>
            <w:pPr>
              <w:pStyle w:val="Compact"/>
            </w:pPr>
            <w:r>
              <w:t xml:space="preserve">Proof of death: a certified copy of the death certificate or another prima facie record.</w:t>
            </w:r>
            <w:r>
              <w:t xml:space="preserve"> </w:t>
            </w:r>
            <w:r>
              <w:rPr>
                <w:b/>
                <w:bCs/>
              </w:rPr>
              <w:t xml:space="preserve">POD:</w:t>
            </w:r>
            <w:r>
              <w:t xml:space="preserve"> </w:t>
            </w:r>
            <w:r>
              <w:t xml:space="preserve">proof that the payee survived every original party.</w:t>
            </w:r>
            <w:r>
              <w:t xml:space="preserve"> </w:t>
            </w:r>
            <w:r>
              <w:rPr>
                <w:b/>
                <w:bCs/>
              </w:rPr>
              <w:t xml:space="preserve">Totten:</w:t>
            </w:r>
            <w:r>
              <w:t xml:space="preserve"> </w:t>
            </w:r>
            <w:r>
              <w:t xml:space="preserve">proof that the beneficiary survived every trustee.</w:t>
            </w:r>
            <w:r>
              <w:t xml:space="preserve"> </w:t>
            </w:r>
            <w:r>
              <w:rPr>
                <w:b/>
                <w:bCs/>
              </w:rPr>
              <w:t xml:space="preserve">Joint:</w:t>
            </w:r>
            <w:r>
              <w:t xml:space="preserve"> </w:t>
            </w:r>
            <w:r>
              <w:t xml:space="preserve">the claimant must be a surviving party; payment to a deceased party's representative or heirs needs proof that the decedent was the last surviving party.</w:t>
            </w:r>
          </w:p>
        </w:tc>
        <w:tc>
          <w:tcPr/>
          <w:p>
            <w:pPr>
              <w:pStyle w:val="Compact"/>
            </w:pPr>
            <w:r>
              <w:t xml:space="preserve">§§ 5144, 5402, 5403, 5404</w:t>
            </w:r>
          </w:p>
        </w:tc>
      </w:tr>
      <w:tr>
        <w:tc>
          <w:tcPr/>
          <w:p>
            <w:pPr>
              <w:pStyle w:val="Compact"/>
            </w:pPr>
            <w:r>
              <w:t xml:space="preserve">Earliest payment</w:t>
            </w:r>
          </w:p>
        </w:tc>
        <w:tc>
          <w:tcPr/>
          <w:p>
            <w:pPr>
              <w:pStyle w:val="Compact"/>
            </w:pPr>
            <w:r>
              <w:t xml:space="preserve">On request, once proof of death is presented. No statutory waiting period applies. An institution policy may add one.</w:t>
            </w:r>
          </w:p>
        </w:tc>
        <w:tc>
          <w:tcPr/>
          <w:p>
            <w:pPr>
              <w:pStyle w:val="Compact"/>
            </w:pPr>
            <w:r>
              <w:t xml:space="preserve">§§ 5402–5404</w:t>
            </w:r>
          </w:p>
        </w:tc>
      </w:tr>
      <w:tr>
        <w:tc>
          <w:tcPr/>
          <w:p>
            <w:pPr>
              <w:pStyle w:val="Compact"/>
            </w:pPr>
            <w:r>
              <w:t xml:space="preserve">Liability protection</w:t>
            </w:r>
          </w:p>
        </w:tc>
        <w:tc>
          <w:tcPr/>
          <w:p>
            <w:pPr>
              <w:pStyle w:val="Compact"/>
            </w:pPr>
            <w:r>
              <w:rPr>
                <w:b/>
                <w:bCs/>
              </w:rPr>
              <w:t xml:space="preserve">Yes.</w:t>
            </w:r>
            <w:r>
              <w:t xml:space="preserve"> </w:t>
            </w:r>
            <w:r>
              <w:t xml:space="preserve">Payment under §§ 5401–5404 discharges the institution from all claims for the amounts paid, even if inconsistent with beneficial ownership. This presupposes the payee is a proper party under validly set terms (</w:t>
            </w:r>
            <w:r>
              <w:rPr>
                <w:i/>
                <w:iCs/>
              </w:rPr>
              <w:t xml:space="preserve">Stevens</w:t>
            </w:r>
            <w:r>
              <w:t xml:space="preserve">; § 5303). "No other notice or any other information" affects protection,</w:t>
            </w:r>
            <w:r>
              <w:t xml:space="preserve"> </w:t>
            </w:r>
            <w:r>
              <w:rPr>
                <w:b/>
                <w:bCs/>
              </w:rPr>
              <w:t xml:space="preserve">except</w:t>
            </w:r>
            <w:r>
              <w:t xml:space="preserve"> </w:t>
            </w:r>
            <w:r>
              <w:t xml:space="preserve">a court order restraining payment that is served before payment.</w:t>
            </w:r>
          </w:p>
        </w:tc>
        <w:tc>
          <w:tcPr/>
          <w:p>
            <w:pPr>
              <w:pStyle w:val="Compact"/>
            </w:pPr>
            <w:r>
              <w:t xml:space="preserve">§ 5405(a), (b); § 5303</w:t>
            </w:r>
          </w:p>
        </w:tc>
      </w:tr>
    </w:tbl>
    <w:p>
      <w:pPr>
        <w:pStyle w:val="BodyText"/>
      </w:pPr>
      <w:r>
        <w:rPr>
          <w:b/>
          <w:bCs/>
        </w:rPr>
        <w:t xml:space="preserve">Not determinable on this path:</w:t>
      </w:r>
    </w:p>
    <w:p>
      <w:pPr>
        <w:pStyle w:val="Compact"/>
        <w:numPr>
          <w:ilvl w:val="0"/>
          <w:numId w:val="1004"/>
        </w:numPr>
      </w:pPr>
      <w:r>
        <w:rPr>
          <w:b/>
          <w:bCs/>
        </w:rPr>
        <w:t xml:space="preserve">Former spouse.</w:t>
      </w:r>
      <w:r>
        <w:t xml:space="preserve"> </w:t>
      </w:r>
      <w:r>
        <w:t xml:space="preserve">A POD payee, Totten beneficiary,</w:t>
      </w:r>
      <w:r>
        <w:t xml:space="preserve"> </w:t>
      </w:r>
      <w:r>
        <w:rPr>
          <w:b/>
          <w:bCs/>
        </w:rPr>
        <w:t xml:space="preserve">or surviving joint party</w:t>
      </w:r>
      <w:r>
        <w:t xml:space="preserve"> </w:t>
      </w:r>
      <w:r>
        <w:t xml:space="preserve">is a former spouse or former registered domestic partner whose marriage or partnership ended before the death. The designation may fail under § 5040 (pre-2002 dissolutions follow § 5048(c)).</w:t>
      </w:r>
    </w:p>
    <w:p>
      <w:pPr>
        <w:pStyle w:val="Compact"/>
        <w:numPr>
          <w:ilvl w:val="0"/>
          <w:numId w:val="1004"/>
        </w:numPr>
      </w:pPr>
      <w:r>
        <w:rPr>
          <w:b/>
          <w:bCs/>
        </w:rPr>
        <w:t xml:space="preserve">Minor payee.</w:t>
      </w:r>
      <w:r>
        <w:t xml:space="preserve"> </w:t>
      </w:r>
      <w:r>
        <w:t xml:space="preserve">A payee or beneficiary is a minor. Payment must be made under CUTMA or §§ 3400 et seq. (§ 5407(b)), and that payment form is not yet encoded.</w:t>
      </w:r>
    </w:p>
    <w:p>
      <w:pPr>
        <w:pStyle w:val="Compact"/>
        <w:numPr>
          <w:ilvl w:val="0"/>
          <w:numId w:val="1004"/>
        </w:numPr>
      </w:pPr>
      <w:r>
        <w:rPr>
          <w:b/>
          <w:bCs/>
        </w:rPr>
        <w:t xml:space="preserve">Survival not shown.</w:t>
      </w:r>
      <w:r>
        <w:t xml:space="preserve"> </w:t>
      </w:r>
      <w:r>
        <w:t xml:space="preserve">Survival of a payee over the decedent is not shown by clear and convincing evidence: deaths close together, or the order of death unknown (§§ 220–223; § 21109 for at-death transfers; Q10).</w:t>
      </w:r>
    </w:p>
    <w:p>
      <w:pPr>
        <w:pStyle w:val="Compact"/>
        <w:numPr>
          <w:ilvl w:val="0"/>
          <w:numId w:val="1004"/>
        </w:numPr>
      </w:pPr>
      <w:r>
        <w:rPr>
          <w:b/>
          <w:bCs/>
        </w:rPr>
        <w:t xml:space="preserve">Slayer notice.</w:t>
      </w:r>
      <w:r>
        <w:t xml:space="preserve"> </w:t>
      </w:r>
      <w:r>
        <w:t xml:space="preserve">Written notice of a § 250–256 slayer claim was received at the home office or principal address before payment (§ 256). How this interacts with § 5405(b) is Q11.</w:t>
      </w:r>
    </w:p>
    <w:p>
      <w:pPr>
        <w:pStyle w:val="Compact"/>
        <w:numPr>
          <w:ilvl w:val="0"/>
          <w:numId w:val="1004"/>
        </w:numPr>
      </w:pPr>
      <w:r>
        <w:rPr>
          <w:b/>
          <w:bCs/>
        </w:rPr>
        <w:t xml:space="preserve">No payee survived.</w:t>
      </w:r>
      <w:r>
        <w:t xml:space="preserve"> </w:t>
      </w:r>
      <w:r>
        <w:t xml:space="preserve">No POD payee or Totten beneficiary survived the last party. The account then passes through the estate, so Path B or probate applies.</w:t>
      </w:r>
    </w:p>
    <w:p>
      <w:pPr>
        <w:pStyle w:val="Compact"/>
        <w:numPr>
          <w:ilvl w:val="0"/>
          <w:numId w:val="1004"/>
        </w:numPr>
      </w:pPr>
      <w:r>
        <w:rPr>
          <w:b/>
          <w:bCs/>
        </w:rPr>
        <w:t xml:space="preserve">Signatures or notice.</w:t>
      </w:r>
      <w:r>
        <w:t xml:space="preserve"> </w:t>
      </w:r>
      <w:r>
        <w:t xml:space="preserve">The terms require more than one survivor's signature (§ 5401(b)), or the institution holds a written § 5405(c) notice. § 5405(c) does not apply to checking and similar accounts; that refinement is deferred.</w:t>
      </w:r>
    </w:p>
    <w:p>
      <w:pPr>
        <w:pStyle w:val="Compact"/>
        <w:numPr>
          <w:ilvl w:val="0"/>
          <w:numId w:val="1004"/>
        </w:numPr>
      </w:pPr>
      <w:r>
        <w:rPr>
          <w:b/>
          <w:bCs/>
        </w:rPr>
        <w:t xml:space="preserve">Restraining order.</w:t>
      </w:r>
      <w:r>
        <w:t xml:space="preserve"> </w:t>
      </w:r>
      <w:r>
        <w:t xml:space="preserve">The institution has been served with a court order restraining payment (§ 5405(b)).</w:t>
      </w:r>
    </w:p>
    <w:p>
      <w:pPr>
        <w:pStyle w:val="Compact"/>
        <w:numPr>
          <w:ilvl w:val="0"/>
          <w:numId w:val="1004"/>
        </w:numPr>
      </w:pPr>
      <w:r>
        <w:rPr>
          <w:b/>
          <w:bCs/>
        </w:rPr>
        <w:t xml:space="preserve">Account type.</w:t>
      </w:r>
      <w:r>
        <w:t xml:space="preserve"> </w:t>
      </w:r>
      <w:r>
        <w:t xml:space="preserve">The account is titled as a "tenancy in common" account (no survivorship unless express, § 5306) or as a spousal "community property" account (§ 5307).</w:t>
      </w:r>
    </w:p>
    <w:bookmarkEnd w:id="13"/>
    <w:bookmarkStart w:id="16" w:name="X67a540677bbe4ad9b55f91228301fc43695241f"/>
    <w:p>
      <w:pPr>
        <w:pStyle w:val="Heading2"/>
      </w:pPr>
      <w:r>
        <w:t xml:space="preserve">Path B: small-estate affidavit (accounts with no survivor or POD payee)</w:t>
      </w:r>
    </w:p>
    <w:p>
      <w:pPr>
        <w:pStyle w:val="FirstParagraph"/>
      </w:pPr>
      <w:r>
        <w:t xml:space="preserve">Applies to an account owned solely by the decedent with no POD payee, and to funds that pass to the estate because no payee survived.</w:t>
      </w:r>
    </w:p>
    <w:bookmarkStart w:id="14" w:name="eligibility-all-required"/>
    <w:p>
      <w:pPr>
        <w:pStyle w:val="Heading3"/>
      </w:pPr>
      <w:r>
        <w:t xml:space="preserve">Eligibility (all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Citation</w:t>
            </w:r>
          </w:p>
        </w:tc>
      </w:tr>
      <w:tr>
        <w:tc>
          <w:tcPr/>
          <w:p>
            <w:pPr>
              <w:pStyle w:val="Compact"/>
            </w:pPr>
            <w:r>
              <w:t xml:space="preserve">The</w:t>
            </w:r>
            <w:r>
              <w:t xml:space="preserve"> </w:t>
            </w:r>
            <w:r>
              <w:rPr>
                <w:b/>
                <w:bCs/>
              </w:rPr>
              <w:t xml:space="preserve">current</w:t>
            </w:r>
            <w:r>
              <w:t xml:space="preserve"> </w:t>
            </w:r>
            <w:r>
              <w:t xml:space="preserve">gross fair market value of the decedent's real and personal property in California does not exceed the limit for the date of death (table below), as stated in the affidavit.</w:t>
            </w:r>
            <w:r>
              <w:t xml:space="preserve"> </w:t>
            </w:r>
            <w:r>
              <w:rPr>
                <w:b/>
                <w:bCs/>
              </w:rPr>
              <w:t xml:space="preserve">Excluded:</w:t>
            </w:r>
            <w:r>
              <w:t xml:space="preserve"> </w:t>
            </w:r>
            <w:r>
              <w:t xml:space="preserve">§ 13050 property (joint-tenancy property; property in which the decedent had a life or other interest ending at death; multiple-party accounts passing to a survivor or payee; property passing to a surviving spouse under § 13500; revocable-trust property; vehicles registered or titled under the Vehicle Code; vessels; manufactured homes, mobilehomes, commercial coaches, truck campers and floating homes) and property in a § 13151 petition.</w:t>
            </w:r>
            <w:r>
              <w:t xml:space="preserve"> </w:t>
            </w:r>
            <w:r>
              <w:rPr>
                <w:b/>
                <w:bCs/>
              </w:rPr>
              <w:t xml:space="preserve">Also excluded:</w:t>
            </w:r>
            <w:r>
              <w:t xml:space="preserve"> </w:t>
            </w:r>
            <w:r>
              <w:t xml:space="preserve">Armed Forces pay, and wages owed up to the § 13050(c) adjusted amount ($18,450 for deaths 2022-04-01 to 2025-03-31; $20,875 from 2025-04-01).</w:t>
            </w:r>
          </w:p>
        </w:tc>
        <w:tc>
          <w:tcPr/>
          <w:p>
            <w:pPr>
              <w:pStyle w:val="Compact"/>
            </w:pPr>
            <w:r>
              <w:t xml:space="preserve">§§ 13100, 13101(a)(5), 13050; Judicial Council § 890 list</w:t>
            </w:r>
          </w:p>
        </w:tc>
      </w:tr>
      <w:tr>
        <w:tc>
          <w:tcPr/>
          <w:p>
            <w:pPr>
              <w:pStyle w:val="Compact"/>
            </w:pPr>
            <w:r>
              <w:t xml:space="preserve">At least 40 days have elapsed since the death. See "Earliest payment" and Q3.</w:t>
            </w:r>
          </w:p>
        </w:tc>
        <w:tc>
          <w:tcPr/>
          <w:p>
            <w:pPr>
              <w:pStyle w:val="Compact"/>
            </w:pPr>
            <w:r>
              <w:t xml:space="preserve">§§ 13100, 13101(a)(3)</w:t>
            </w:r>
          </w:p>
        </w:tc>
      </w:tr>
      <w:tr>
        <w:tc>
          <w:tcPr/>
          <w:p>
            <w:pPr>
              <w:pStyle w:val="Compact"/>
            </w:pPr>
            <w:r>
              <w:t xml:space="preserve">No proceeding to administer the estate is being or has been conducted</w:t>
            </w:r>
            <w:r>
              <w:t xml:space="preserve"> </w:t>
            </w:r>
            <w:r>
              <w:rPr>
                <w:b/>
                <w:bCs/>
              </w:rPr>
              <w:t xml:space="preserve">in California</w:t>
            </w:r>
            <w:r>
              <w:t xml:space="preserve">, or the personal representative has consented in writing. A proceeding in another state does not bar this path.</w:t>
            </w:r>
          </w:p>
        </w:tc>
        <w:tc>
          <w:tcPr/>
          <w:p>
            <w:pPr>
              <w:pStyle w:val="Compact"/>
            </w:pPr>
            <w:r>
              <w:t xml:space="preserve">§§ 13101(a)(4), 13108(a)</w:t>
            </w:r>
          </w:p>
        </w:tc>
      </w:tr>
    </w:tbl>
    <w:p>
      <w:pPr>
        <w:pStyle w:val="BodyText"/>
      </w:pPr>
      <w:r>
        <w:rPr>
          <w:b/>
          <w:bCs/>
        </w:rPr>
        <w:t xml:space="preserve">Value limit by date of death.</w:t>
      </w:r>
      <w:r>
        <w:t xml:space="preserve"> </w:t>
      </w:r>
      <w:r>
        <w:t xml:space="preserve">The limit is set under § 890 and published by the Judicial Council. "Does not exceed" means a value equal to the limit is eligible.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 of death</w:t>
            </w:r>
          </w:p>
        </w:tc>
        <w:tc>
          <w:tcPr/>
          <w:p>
            <w:pPr>
              <w:pStyle w:val="Compact"/>
            </w:pPr>
            <w:r>
              <w:t xml:space="preserve">Limit</w:t>
            </w:r>
          </w:p>
        </w:tc>
        <w:tc>
          <w:tcPr/>
          <w:p>
            <w:pPr>
              <w:pStyle w:val="Compact"/>
            </w:pPr>
            <w:r>
              <w:t xml:space="preserve">Citation</w:t>
            </w:r>
          </w:p>
        </w:tc>
      </w:tr>
      <w:tr>
        <w:tc>
          <w:tcPr/>
          <w:p>
            <w:pPr>
              <w:pStyle w:val="Compact"/>
            </w:pPr>
            <w:r>
              <w:t xml:space="preserve">Before April 1, 2022</w:t>
            </w:r>
          </w:p>
        </w:tc>
        <w:tc>
          <w:tcPr/>
          <w:p>
            <w:pPr>
              <w:pStyle w:val="Compact"/>
            </w:pPr>
            <w:r>
              <w:t xml:space="preserve">$166,250</w:t>
            </w:r>
          </w:p>
        </w:tc>
        <w:tc>
          <w:tcPr/>
          <w:p>
            <w:pPr>
              <w:pStyle w:val="Compact"/>
            </w:pPr>
            <w:r>
              <w:t xml:space="preserve">§ 13101(g)(1); Judicial Council § 890 list</w:t>
            </w:r>
          </w:p>
        </w:tc>
      </w:tr>
      <w:tr>
        <w:tc>
          <w:tcPr/>
          <w:p>
            <w:pPr>
              <w:pStyle w:val="Compact"/>
            </w:pPr>
            <w:r>
              <w:t xml:space="preserve">April 1, 2022 – March 31, 2025</w:t>
            </w:r>
          </w:p>
        </w:tc>
        <w:tc>
          <w:tcPr/>
          <w:p>
            <w:pPr>
              <w:pStyle w:val="Compact"/>
            </w:pPr>
            <w:r>
              <w:t xml:space="preserve">$184,500</w:t>
            </w:r>
          </w:p>
        </w:tc>
        <w:tc>
          <w:tcPr/>
          <w:p>
            <w:pPr>
              <w:pStyle w:val="Compact"/>
            </w:pPr>
            <w:r>
              <w:t xml:space="preserve">§ 13101(g)(2); § 890; Judicial Council § 890 list</w:t>
            </w:r>
          </w:p>
        </w:tc>
      </w:tr>
      <w:tr>
        <w:tc>
          <w:tcPr/>
          <w:p>
            <w:pPr>
              <w:pStyle w:val="Compact"/>
            </w:pPr>
            <w:r>
              <w:t xml:space="preserve">On or after April 1, 2025</w:t>
            </w:r>
          </w:p>
        </w:tc>
        <w:tc>
          <w:tcPr/>
          <w:p>
            <w:pPr>
              <w:pStyle w:val="Compact"/>
            </w:pPr>
            <w:r>
              <w:t xml:space="preserve">$208,850</w:t>
            </w:r>
          </w:p>
        </w:tc>
        <w:tc>
          <w:tcPr/>
          <w:p>
            <w:pPr>
              <w:pStyle w:val="Compact"/>
            </w:pPr>
            <w:r>
              <w:t xml:space="preserve">§ 13101(g)(2); § 890; Judicial Council § 890 list</w:t>
            </w:r>
          </w:p>
        </w:tc>
      </w:tr>
    </w:tbl>
    <w:p>
      <w:pPr>
        <w:pStyle w:val="BodyText"/>
      </w:pPr>
      <w:r>
        <w:t xml:space="preserve">The next adjustment is scheduled for April 1, 2028, "unless otherwise provided by statute". An adjustment never applies to a death before its effective date (§ 890(d)).</w:t>
      </w:r>
      <w:r>
        <w:t xml:space="preserve"> </w:t>
      </w:r>
      <w:r>
        <w:rPr>
          <w:b/>
          <w:bCs/>
        </w:rPr>
        <w:t xml:space="preserve">Coverage begins with deaths on April 1, 2022</w:t>
      </w:r>
      <w:r>
        <w:t xml:space="preserve"> </w:t>
      </w:r>
      <w:r>
        <w:t xml:space="preserve">(owner decision, 2026-10-07). Earlier deaths are not determinable.</w:t>
      </w:r>
    </w:p>
    <w:bookmarkEnd w:id="14"/>
    <w:bookmarkStart w:id="15" w:name="decision"/>
    <w:p>
      <w:pPr>
        <w:pStyle w:val="Heading3"/>
      </w:pPr>
      <w:r>
        <w:t xml:space="preserve">Decision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Rule</w:t>
            </w:r>
          </w:p>
        </w:tc>
        <w:tc>
          <w:tcPr/>
          <w:p>
            <w:pPr>
              <w:pStyle w:val="Compact"/>
            </w:pPr>
            <w:r>
              <w:t xml:space="preserve">Citation</w:t>
            </w:r>
          </w:p>
        </w:tc>
      </w:tr>
      <w:tr>
        <w:tc>
          <w:tcPr/>
          <w:p>
            <w:pPr>
              <w:pStyle w:val="Compact"/>
            </w:pPr>
            <w:r>
              <w:t xml:space="preserve">Who is paid</w:t>
            </w:r>
          </w:p>
        </w:tc>
        <w:tc>
          <w:tcPr/>
          <w:p>
            <w:pPr>
              <w:pStyle w:val="Compact"/>
            </w:pPr>
            <w:r>
              <w:t xml:space="preserve">The person(s) who sign the affidavit or declaration as</w:t>
            </w:r>
            <w:r>
              <w:t xml:space="preserve"> </w:t>
            </w:r>
            <w:r>
              <w:rPr>
                <w:b/>
                <w:bCs/>
              </w:rPr>
              <w:t xml:space="preserve">successor of the decedent</w:t>
            </w:r>
            <w:r>
              <w:t xml:space="preserve">, or as someone authorized to act for the successor. That means a § 13051 representative (guardian, conservator, trustee, custodian, sister-state personal representative, or attorney-in-fact) or a sister-state personal representative using the affidavit under § 12570. "Successor" means the sole beneficiary</w:t>
            </w:r>
            <w:r>
              <w:t xml:space="preserve"> </w:t>
            </w:r>
            <w:r>
              <w:rPr>
                <w:b/>
                <w:bCs/>
              </w:rPr>
              <w:t xml:space="preserve">or all</w:t>
            </w:r>
            <w:r>
              <w:t xml:space="preserve"> </w:t>
            </w:r>
            <w:r>
              <w:t xml:space="preserve">of the beneficiaries who take the item under the will, or the heirs by intestacy (or under another state's law where it governs). The institution may rely</w:t>
            </w:r>
            <w:r>
              <w:t xml:space="preserve"> </w:t>
            </w:r>
            <w:r>
              <w:rPr>
                <w:b/>
                <w:bCs/>
              </w:rPr>
              <w:t xml:space="preserve">in good faith</w:t>
            </w:r>
            <w:r>
              <w:t xml:space="preserve"> </w:t>
            </w:r>
            <w:r>
              <w:t xml:space="preserve">on the affidavit and has no duty to check its statements.</w:t>
            </w:r>
          </w:p>
        </w:tc>
        <w:tc>
          <w:tcPr/>
          <w:p>
            <w:pPr>
              <w:pStyle w:val="Compact"/>
            </w:pPr>
            <w:r>
              <w:t xml:space="preserve">§§ 13006, 13051, 12570, 13101(a)(7)–(9), 13105(a), 13106(a)</w:t>
            </w:r>
          </w:p>
        </w:tc>
      </w:tr>
      <w:tr>
        <w:tc>
          <w:tcPr/>
          <w:p>
            <w:pPr>
              <w:pStyle w:val="Compact"/>
            </w:pPr>
            <w:r>
              <w:t xml:space="preserve">Shares</w:t>
            </w:r>
          </w:p>
        </w:tc>
        <w:tc>
          <w:tcPr/>
          <w:p>
            <w:pPr>
              <w:pStyle w:val="Compact"/>
            </w:pPr>
            <w:r>
              <w:rPr>
                <w:b/>
                <w:bCs/>
              </w:rPr>
              <w:t xml:space="preserve">One affiant:</w:t>
            </w:r>
            <w:r>
              <w:t xml:space="preserve"> </w:t>
            </w:r>
            <w:r>
              <w:t xml:space="preserve">100%,</w:t>
            </w:r>
            <w:r>
              <w:t xml:space="preserve"> </w:t>
            </w:r>
            <w:r>
              <w:rPr>
                <w:b/>
                <w:bCs/>
              </w:rPr>
              <w:t xml:space="preserve">only if</w:t>
            </w:r>
            <w:r>
              <w:t xml:space="preserve"> </w:t>
            </w:r>
            <w:r>
              <w:t xml:space="preserve">the affiant is the sole successor to this item, or represents all successors. Otherwise not determinable.</w:t>
            </w:r>
            <w:r>
              <w:t xml:space="preserve"> </w:t>
            </w:r>
            <w:r>
              <w:rPr>
                <w:b/>
                <w:bCs/>
              </w:rPr>
              <w:t xml:space="preserve">Several affiants:</w:t>
            </w:r>
            <w:r>
              <w:t xml:space="preserve"> </w:t>
            </w:r>
            <w:r>
              <w:t xml:space="preserve">they are together entitled (§ 13105(a)(1)), and the affidavit is "modified as appropriate" (§ 13101(b)). The proposed default is a single payment to all affiants jointly, or shares only as the affidavit states them (Q2).</w:t>
            </w:r>
          </w:p>
        </w:tc>
        <w:tc>
          <w:tcPr/>
          <w:p>
            <w:pPr>
              <w:pStyle w:val="Compact"/>
            </w:pPr>
            <w:r>
              <w:t xml:space="preserve">§§ 13006, 13101(a)(9), (b), 13105(a)(1)</w:t>
            </w:r>
          </w:p>
        </w:tc>
      </w:tr>
      <w:tr>
        <w:tc>
          <w:tcPr/>
          <w:p>
            <w:pPr>
              <w:pStyle w:val="Compact"/>
            </w:pPr>
            <w:r>
              <w:t xml:space="preserve">Documents</w:t>
            </w:r>
          </w:p>
        </w:tc>
        <w:tc>
          <w:tcPr/>
          <w:p>
            <w:pPr>
              <w:pStyle w:val="Compact"/>
            </w:pPr>
            <w:r>
              <w:t xml:space="preserve">1. An affidavit or declaration under penalty of perjury containing every § 13101(a) statement. If signed outside California, it must recite that it is made under the laws of California (CCP § 2015.5). 2. A certified copy of the death certificate,</w:t>
            </w:r>
            <w:r>
              <w:t xml:space="preserve"> </w:t>
            </w:r>
            <w:r>
              <w:rPr>
                <w:b/>
                <w:bCs/>
              </w:rPr>
              <w:t xml:space="preserve">attached</w:t>
            </w:r>
            <w:r>
              <w:t xml:space="preserve">. 3. For deaths on or after April 1, 2022, the Judicial Council's list of adjusted amounts in effect on the date of death,</w:t>
            </w:r>
            <w:r>
              <w:t xml:space="preserve"> </w:t>
            </w:r>
            <w:r>
              <w:rPr>
                <w:b/>
                <w:bCs/>
              </w:rPr>
              <w:t xml:space="preserve">attached</w:t>
            </w:r>
            <w:r>
              <w:t xml:space="preserve">. 4. If a personal representative consented: copies of the consent and the letters,</w:t>
            </w:r>
            <w:r>
              <w:t xml:space="preserve"> </w:t>
            </w:r>
            <w:r>
              <w:rPr>
                <w:b/>
                <w:bCs/>
              </w:rPr>
              <w:t xml:space="preserve">attached</w:t>
            </w:r>
            <w:r>
              <w:t xml:space="preserve">. 5. If the decedent held evidence of ownership the institution could have required: that evidence "if available". If it is not presented, the institution</w:t>
            </w:r>
            <w:r>
              <w:t xml:space="preserve"> </w:t>
            </w:r>
            <w:r>
              <w:rPr>
                <w:b/>
                <w:bCs/>
              </w:rPr>
              <w:t xml:space="preserve">may</w:t>
            </w:r>
            <w:r>
              <w:t xml:space="preserve"> </w:t>
            </w:r>
            <w:r>
              <w:t xml:space="preserve">require a bond or agree to an indemnity (institution option). 6. If the estate includes California real property: an inventory and appraisal by a probate referee. 7. Reasonable proof of each affiant's identity.</w:t>
            </w:r>
            <w:r>
              <w:t xml:space="preserve"> </w:t>
            </w:r>
            <w:r>
              <w:rPr>
                <w:b/>
                <w:bCs/>
              </w:rPr>
              <w:t xml:space="preserve">Institution duty:</w:t>
            </w:r>
            <w:r>
              <w:t xml:space="preserve"> </w:t>
            </w:r>
            <w:r>
              <w:t xml:space="preserve">unless the affidavit is notarized, note on it how identity was established.</w:t>
            </w:r>
          </w:p>
        </w:tc>
        <w:tc>
          <w:tcPr/>
          <w:p>
            <w:pPr>
              <w:pStyle w:val="Compact"/>
            </w:pPr>
            <w:r>
              <w:t xml:space="preserve">§ 13101(a), (d)–(f); §§ 13102, 13103, 13104(f); CCP § 2015.5</w:t>
            </w:r>
          </w:p>
        </w:tc>
      </w:tr>
      <w:tr>
        <w:tc>
          <w:tcPr/>
          <w:p>
            <w:pPr>
              <w:pStyle w:val="Compact"/>
            </w:pPr>
            <w:r>
              <w:t xml:space="preserve">Earliest payment</w:t>
            </w:r>
          </w:p>
        </w:tc>
        <w:tc>
          <w:tcPr/>
          <w:p>
            <w:pPr>
              <w:pStyle w:val="Compact"/>
            </w:pPr>
            <w:r>
              <w:t xml:space="preserve">The day on which 40 days have elapsed since death.</w:t>
            </w:r>
            <w:r>
              <w:t xml:space="preserve"> </w:t>
            </w:r>
            <w:r>
              <w:rPr>
                <w:b/>
                <w:bCs/>
              </w:rPr>
              <w:t xml:space="preserve">Proposed conservative default: death date + 41 days</w:t>
            </w:r>
            <w:r>
              <w:t xml:space="preserve">, until the attorney decides whether day 40 itself qualifies (Q3). The affidavit should be signed on or after that date, because it states that 40 days have elapsed. An institution policy may add days, subject to § 13105(b).</w:t>
            </w:r>
          </w:p>
        </w:tc>
        <w:tc>
          <w:tcPr/>
          <w:p>
            <w:pPr>
              <w:pStyle w:val="Compact"/>
            </w:pPr>
            <w:r>
              <w:t xml:space="preserve">§§ 13100, 13101(a)(3); CCP § 12</w:t>
            </w:r>
          </w:p>
        </w:tc>
      </w:tr>
      <w:tr>
        <w:tc>
          <w:tcPr/>
          <w:p>
            <w:pPr>
              <w:pStyle w:val="Compact"/>
            </w:pPr>
            <w:r>
              <w:t xml:space="preserve">Liability protection</w:t>
            </w:r>
          </w:p>
        </w:tc>
        <w:tc>
          <w:tcPr/>
          <w:p>
            <w:pPr>
              <w:pStyle w:val="Compact"/>
            </w:pPr>
            <w:r>
              <w:rPr>
                <w:b/>
                <w:bCs/>
              </w:rPr>
              <w:t xml:space="preserve">Yes</w:t>
            </w:r>
            <w:r>
              <w:t xml:space="preserve">, if §§ 13100–13104 are satisfied and the institution relies</w:t>
            </w:r>
            <w:r>
              <w:t xml:space="preserve"> </w:t>
            </w:r>
            <w:r>
              <w:rPr>
                <w:b/>
                <w:bCs/>
              </w:rPr>
              <w:t xml:space="preserve">in good faith</w:t>
            </w:r>
            <w:r>
              <w:t xml:space="preserve">. Receiving the affidavit discharges the institution from further liability for the money paid, and it is not liable for</w:t>
            </w:r>
            <w:r>
              <w:t xml:space="preserve"> </w:t>
            </w:r>
            <w:r>
              <w:rPr>
                <w:b/>
                <w:bCs/>
              </w:rPr>
              <w:t xml:space="preserve">state</w:t>
            </w:r>
            <w:r>
              <w:t xml:space="preserve"> </w:t>
            </w:r>
            <w:r>
              <w:t xml:space="preserve">taxes because of the payment. A later administration is not barred; liability then runs to the people paid (the transferees), not to the institution.</w:t>
            </w:r>
          </w:p>
        </w:tc>
        <w:tc>
          <w:tcPr/>
          <w:p>
            <w:pPr>
              <w:pStyle w:val="Compact"/>
            </w:pPr>
            <w:r>
              <w:t xml:space="preserve">§ 13106(a), (b); § 13108(b); §§ 13109–13111</w:t>
            </w:r>
          </w:p>
        </w:tc>
      </w:tr>
    </w:tbl>
    <w:p>
      <w:pPr>
        <w:pStyle w:val="BodyText"/>
      </w:pPr>
      <w:r>
        <w:rPr>
          <w:b/>
          <w:bCs/>
        </w:rPr>
        <w:t xml:space="preserve">Not determinable on this path:</w:t>
      </w:r>
    </w:p>
    <w:p>
      <w:pPr>
        <w:pStyle w:val="Compact"/>
        <w:numPr>
          <w:ilvl w:val="0"/>
          <w:numId w:val="1005"/>
        </w:numPr>
      </w:pPr>
      <w:r>
        <w:t xml:space="preserve">The estate value exceeds the limit, or no value was declared.</w:t>
      </w:r>
    </w:p>
    <w:p>
      <w:pPr>
        <w:pStyle w:val="Compact"/>
        <w:numPr>
          <w:ilvl w:val="0"/>
          <w:numId w:val="1005"/>
        </w:numPr>
      </w:pPr>
      <w:r>
        <w:t xml:space="preserve">A California administration proceeding exists without the personal representative's written consent.</w:t>
      </w:r>
    </w:p>
    <w:p>
      <w:pPr>
        <w:pStyle w:val="Compact"/>
        <w:numPr>
          <w:ilvl w:val="0"/>
          <w:numId w:val="1005"/>
        </w:numPr>
      </w:pPr>
      <w:r>
        <w:t xml:space="preserve">A single affiant is not shown to be the sole successor, or to represent all successors.</w:t>
      </w:r>
    </w:p>
    <w:p>
      <w:pPr>
        <w:pStyle w:val="Compact"/>
        <w:numPr>
          <w:ilvl w:val="0"/>
          <w:numId w:val="1005"/>
        </w:numPr>
      </w:pPr>
      <w:r>
        <w:rPr>
          <w:b/>
          <w:bCs/>
        </w:rPr>
        <w:t xml:space="preserve">Notice of a competing claim.</w:t>
      </w:r>
      <w:r>
        <w:t xml:space="preserve"> </w:t>
      </w:r>
      <w:r>
        <w:t xml:space="preserve">Before payment, the institution received notice of an adverse or superior claim, a request to hold, an adverse-claim affidavit, or a court order (</w:t>
      </w:r>
      <w:r>
        <w:rPr>
          <w:i/>
          <w:iCs/>
        </w:rPr>
        <w:t xml:space="preserve">Mautner</w:t>
      </w:r>
      <w:r>
        <w:t xml:space="preserve">; Fin. Code § 1450 for banks, § 6661 for savings associations).</w:t>
      </w:r>
    </w:p>
    <w:p>
      <w:pPr>
        <w:pStyle w:val="Compact"/>
        <w:numPr>
          <w:ilvl w:val="0"/>
          <w:numId w:val="1005"/>
        </w:numPr>
      </w:pPr>
      <w:r>
        <w:rPr>
          <w:b/>
          <w:bCs/>
        </w:rPr>
        <w:t xml:space="preserve">Legal process.</w:t>
      </w:r>
      <w:r>
        <w:t xml:space="preserve"> </w:t>
      </w:r>
      <w:r>
        <w:t xml:space="preserve">A levy, order to withhold (Rev. &amp; Tax. Code § 18670), garnishment, or restraining order has been served.</w:t>
      </w:r>
    </w:p>
    <w:p>
      <w:pPr>
        <w:pStyle w:val="Compact"/>
        <w:numPr>
          <w:ilvl w:val="0"/>
          <w:numId w:val="1005"/>
        </w:numPr>
      </w:pPr>
      <w:r>
        <w:rPr>
          <w:b/>
          <w:bCs/>
        </w:rPr>
        <w:t xml:space="preserve">Escheat.</w:t>
      </w:r>
      <w:r>
        <w:t xml:space="preserve"> </w:t>
      </w:r>
      <w:r>
        <w:t xml:space="preserve">The account has been reported or delivered to the State Controller as unclaimed property. The claim then goes through the Controller (CCP §§ 1532, 1560).</w:t>
      </w:r>
    </w:p>
    <w:p>
      <w:pPr>
        <w:pStyle w:val="Compact"/>
        <w:numPr>
          <w:ilvl w:val="0"/>
          <w:numId w:val="1005"/>
        </w:numPr>
      </w:pPr>
      <w:r>
        <w:rPr>
          <w:b/>
          <w:bCs/>
        </w:rPr>
        <w:t xml:space="preserve">Not a deposit account.</w:t>
      </w:r>
      <w:r>
        <w:t xml:space="preserve"> </w:t>
      </w:r>
      <w:r>
        <w:t xml:space="preserve">The item is a debt owed</w:t>
      </w:r>
      <w:r>
        <w:t xml:space="preserve"> </w:t>
      </w:r>
      <w:r>
        <w:rPr>
          <w:b/>
          <w:bCs/>
        </w:rPr>
        <w:t xml:space="preserve">to</w:t>
      </w:r>
      <w:r>
        <w:t xml:space="preserve"> </w:t>
      </w:r>
      <w:r>
        <w:t xml:space="preserve">the decedent and secured by real property (§ 13106.5). That is out of scope; deposit accounts are not affected.</w:t>
      </w:r>
    </w:p>
    <w:bookmarkEnd w:id="15"/>
    <w:bookmarkEnd w:id="16"/>
    <w:bookmarkStart w:id="17" w:name="Xb6305f2240bf96b7bfbac5953aaed94dbf92342"/>
    <w:p>
      <w:pPr>
        <w:pStyle w:val="Heading2"/>
      </w:pPr>
      <w:r>
        <w:t xml:space="preserve">Path C: surviving spouse or registered domestic partner</w:t>
      </w:r>
    </w:p>
    <w:p>
      <w:pPr>
        <w:pStyle w:val="FirstParagraph"/>
      </w:pPr>
      <w:r>
        <w:t xml:space="preserve">Property passing to a surviving spouse under § 13500 needs no administration, subject to §§ 13540 and 13550 and the exceptions in §§ 13501–13502. But</w:t>
      </w:r>
      <w:r>
        <w:t xml:space="preserve"> </w:t>
      </w:r>
      <w:r>
        <w:rPr>
          <w:b/>
          <w:bCs/>
        </w:rPr>
        <w:t xml:space="preserve">no statute located lets a spouse collect a deposit account in the decedent's sole name on spousal status alone, with protection for the institution:</w:t>
      </w:r>
    </w:p>
    <w:p>
      <w:pPr>
        <w:pStyle w:val="Compact"/>
        <w:numPr>
          <w:ilvl w:val="0"/>
          <w:numId w:val="1006"/>
        </w:numPr>
      </w:pPr>
      <w:r>
        <w:t xml:space="preserve">§ 13540 covers real property only.</w:t>
      </w:r>
    </w:p>
    <w:p>
      <w:pPr>
        <w:pStyle w:val="Compact"/>
        <w:numPr>
          <w:ilvl w:val="0"/>
          <w:numId w:val="1006"/>
        </w:numPr>
      </w:pPr>
      <w:r>
        <w:t xml:space="preserve">§ 13545 covers securities registered in the surviving spouse's name.</w:t>
      </w:r>
    </w:p>
    <w:p>
      <w:pPr>
        <w:pStyle w:val="Compact"/>
        <w:numPr>
          <w:ilvl w:val="0"/>
          <w:numId w:val="1006"/>
        </w:numPr>
      </w:pPr>
      <w:r>
        <w:t xml:space="preserve">§ 13600 covers wages owed by an employer, not accounts.</w:t>
      </w:r>
    </w:p>
    <w:p>
      <w:pPr>
        <w:pStyle w:val="FirstParagraph"/>
      </w:pPr>
      <w:r>
        <w:t xml:space="preserve">The routes for a spouse are:</w:t>
      </w:r>
    </w:p>
    <w:p>
      <w:pPr>
        <w:pStyle w:val="Compact"/>
        <w:numPr>
          <w:ilvl w:val="0"/>
          <w:numId w:val="1007"/>
        </w:numPr>
      </w:pPr>
      <w:r>
        <w:rPr>
          <w:b/>
          <w:bCs/>
        </w:rPr>
        <w:t xml:space="preserve">Path A:</w:t>
      </w:r>
      <w:r>
        <w:t xml:space="preserve"> </w:t>
      </w:r>
      <w:r>
        <w:t xml:space="preserve">the spouse is a POD payee or surviving joint party.</w:t>
      </w:r>
    </w:p>
    <w:p>
      <w:pPr>
        <w:pStyle w:val="Compact"/>
        <w:numPr>
          <w:ilvl w:val="0"/>
          <w:numId w:val="1007"/>
        </w:numPr>
      </w:pPr>
      <w:r>
        <w:rPr>
          <w:b/>
          <w:bCs/>
        </w:rPr>
        <w:t xml:space="preserve">Path B:</w:t>
      </w:r>
      <w:r>
        <w:t xml:space="preserve"> </w:t>
      </w:r>
      <w:r>
        <w:t xml:space="preserve">the spouse signs the affidavit as successor. Property passing to the spouse under § 13500 is excluded from the value, under § 13050(a)(1).</w:t>
      </w:r>
    </w:p>
    <w:p>
      <w:pPr>
        <w:pStyle w:val="Compact"/>
        <w:numPr>
          <w:ilvl w:val="0"/>
          <w:numId w:val="1007"/>
        </w:numPr>
      </w:pPr>
      <w:r>
        <w:rPr>
          <w:b/>
          <w:bCs/>
        </w:rPr>
        <w:t xml:space="preserve">A court order under § 13650.</w:t>
      </w:r>
      <w:r>
        <w:t xml:space="preserve"> </w:t>
      </w:r>
      <w:r>
        <w:t xml:space="preserve">A certified final order under § 13656 can direct delivery to the spouse, and under § 13657 it is conclusive. Whether to add this route, and what protection applies, is Q5.</w:t>
      </w:r>
    </w:p>
    <w:p>
      <w:pPr>
        <w:pStyle w:val="FirstParagraph"/>
      </w:pPr>
      <w:r>
        <w:t xml:space="preserve">A claim that relies only on spousal status remains</w:t>
      </w:r>
      <w:r>
        <w:t xml:space="preserve"> </w:t>
      </w:r>
      <w:r>
        <w:rPr>
          <w:b/>
          <w:bCs/>
        </w:rPr>
        <w:t xml:space="preserve">not determinable</w:t>
      </w:r>
      <w:r>
        <w:t xml:space="preserve">.</w:t>
      </w:r>
    </w:p>
    <w:bookmarkEnd w:id="17"/>
    <w:bookmarkStart w:id="18" w:name="intestate-shares-reference-only"/>
    <w:p>
      <w:pPr>
        <w:pStyle w:val="Heading2"/>
      </w:pPr>
      <w:r>
        <w:t xml:space="preserve">Intestate shares (reference only)</w:t>
      </w:r>
    </w:p>
    <w:p>
      <w:pPr>
        <w:pStyle w:val="FirstParagraph"/>
      </w:pPr>
      <w:r>
        <w:t xml:space="preserve">Sections 6401 and 6402 set intestate shares:</w:t>
      </w:r>
    </w:p>
    <w:p>
      <w:pPr>
        <w:pStyle w:val="Compact"/>
        <w:numPr>
          <w:ilvl w:val="0"/>
          <w:numId w:val="1008"/>
        </w:numPr>
      </w:pPr>
      <w:r>
        <w:t xml:space="preserve">the surviving spouse takes the decedent's half of the community and quasi-community property;</w:t>
      </w:r>
    </w:p>
    <w:p>
      <w:pPr>
        <w:pStyle w:val="Compact"/>
        <w:numPr>
          <w:ilvl w:val="0"/>
          <w:numId w:val="1008"/>
        </w:numPr>
      </w:pPr>
      <w:r>
        <w:t xml:space="preserve">the separate property is split between the spouse and the issue, parents, siblings, or more remote kin, according to who survives.</w:t>
      </w:r>
    </w:p>
    <w:p>
      <w:pPr>
        <w:pStyle w:val="FirstParagraph"/>
      </w:pPr>
      <w:r>
        <w:t xml:space="preserve">On Path B the institution relies in good faith on the affidavit's statement of who the successor is (§ 13106(a)), so v1 does</w:t>
      </w:r>
      <w:r>
        <w:t xml:space="preserve"> </w:t>
      </w:r>
      <w:r>
        <w:rPr>
          <w:b/>
          <w:bCs/>
        </w:rPr>
        <w:t xml:space="preserve">not</w:t>
      </w:r>
      <w:r>
        <w:t xml:space="preserve"> </w:t>
      </w:r>
      <w:r>
        <w:t xml:space="preserve">compute intestate shares (Q4).</w:t>
      </w:r>
    </w:p>
    <w:bookmarkEnd w:id="18"/>
    <w:bookmarkStart w:id="19" w:name="facts-the-engine-will-need"/>
    <w:p>
      <w:pPr>
        <w:pStyle w:val="Heading2"/>
      </w:pPr>
      <w:r>
        <w:t xml:space="preserve">Facts the engine will need</w:t>
      </w:r>
    </w:p>
    <w:p>
      <w:pPr>
        <w:pStyle w:val="FirstParagraph"/>
      </w:pPr>
      <w:r>
        <w:rPr>
          <w:b/>
          <w:bCs/>
        </w:rPr>
        <w:t xml:space="preserve">In the schema today</w:t>
      </w:r>
      <w:r>
        <w:t xml:space="preserve"> </w:t>
      </w:r>
      <w:r>
        <w:t xml:space="preserve">(REQ-CORE-004 to 006):</w:t>
      </w:r>
    </w:p>
    <w:p>
      <w:pPr>
        <w:pStyle w:val="Compact"/>
        <w:numPr>
          <w:ilvl w:val="0"/>
          <w:numId w:val="1009"/>
        </w:numPr>
      </w:pPr>
      <w:r>
        <w:t xml:space="preserve">account type and holders with survivorship and terms shares;</w:t>
      </w:r>
    </w:p>
    <w:p>
      <w:pPr>
        <w:pStyle w:val="Compact"/>
        <w:numPr>
          <w:ilvl w:val="0"/>
          <w:numId w:val="1009"/>
        </w:numPr>
      </w:pPr>
      <w:r>
        <w:t xml:space="preserve">multiple-signature terms;</w:t>
      </w:r>
    </w:p>
    <w:p>
      <w:pPr>
        <w:pStyle w:val="Compact"/>
        <w:numPr>
          <w:ilvl w:val="0"/>
          <w:numId w:val="1009"/>
        </w:numPr>
      </w:pPr>
      <w:r>
        <w:t xml:space="preserve">notices: restraining order, withdrawal, dispute, testamentary disposition;</w:t>
      </w:r>
    </w:p>
    <w:p>
      <w:pPr>
        <w:pStyle w:val="Compact"/>
        <w:numPr>
          <w:ilvl w:val="0"/>
          <w:numId w:val="1009"/>
        </w:numPr>
      </w:pPr>
      <w:r>
        <w:t xml:space="preserve">former-spouse and former-partner relationships;</w:t>
      </w:r>
    </w:p>
    <w:p>
      <w:pPr>
        <w:pStyle w:val="Compact"/>
        <w:numPr>
          <w:ilvl w:val="0"/>
          <w:numId w:val="1009"/>
        </w:numPr>
      </w:pPr>
      <w:r>
        <w:rPr>
          <w:rStyle w:val="VerbatimChar"/>
        </w:rPr>
        <w:t xml:space="preserve">estate.declared_value</w:t>
      </w:r>
      <w:r>
        <w:t xml:space="preserve">,</w:t>
      </w:r>
      <w:r>
        <w:t xml:space="preserve"> </w:t>
      </w:r>
      <w:r>
        <w:rPr>
          <w:rStyle w:val="VerbatimChar"/>
        </w:rPr>
        <w:t xml:space="preserve">estate.has_real_property_in_jurisdiction</w:t>
      </w:r>
      <w:r>
        <w:t xml:space="preserve">,</w:t>
      </w:r>
      <w:r>
        <w:t xml:space="preserve"> </w:t>
      </w:r>
      <w:r>
        <w:rPr>
          <w:rStyle w:val="VerbatimChar"/>
        </w:rPr>
        <w:t xml:space="preserve">estate.administration</w:t>
      </w:r>
      <w:r>
        <w:t xml:space="preserve">,</w:t>
      </w:r>
      <w:r>
        <w:t xml:space="preserve"> </w:t>
      </w:r>
      <w:r>
        <w:rPr>
          <w:rStyle w:val="VerbatimChar"/>
        </w:rPr>
        <w:t xml:space="preserve">estate.affiants</w:t>
      </w:r>
      <w:r>
        <w:t xml:space="preserve">;</w:t>
      </w:r>
    </w:p>
    <w:p>
      <w:pPr>
        <w:pStyle w:val="Compact"/>
        <w:numPr>
          <w:ilvl w:val="0"/>
          <w:numId w:val="1009"/>
        </w:numPr>
      </w:pPr>
      <w:r>
        <w:rPr>
          <w:rStyle w:val="VerbatimChar"/>
        </w:rPr>
        <w:t xml:space="preserve">account.ownership_instrument_issued</w:t>
      </w:r>
      <w:r>
        <w:t xml:space="preserve">.</w:t>
      </w:r>
    </w:p>
    <w:p>
      <w:pPr>
        <w:pStyle w:val="FirstParagraph"/>
      </w:pPr>
      <w:r>
        <w:rPr>
          <w:b/>
          <w:bCs/>
        </w:rPr>
        <w:t xml:space="preserve">Changes the research calls for</w:t>
      </w:r>
      <w:r>
        <w:t xml:space="preserve"> </w:t>
      </w:r>
      <w:r>
        <w:t xml:space="preserve">(schema changes need owner approval):</w:t>
      </w:r>
    </w:p>
    <w:p>
      <w:pPr>
        <w:pStyle w:val="Compact"/>
        <w:numPr>
          <w:ilvl w:val="0"/>
          <w:numId w:val="1010"/>
        </w:numPr>
      </w:pPr>
      <w:r>
        <w:rPr>
          <w:b/>
          <w:bCs/>
        </w:rPr>
        <w:t xml:space="preserve">Value definition.</w:t>
      </w:r>
      <w:r>
        <w:t xml:space="preserve"> </w:t>
      </w:r>
      <w:r>
        <w:rPr>
          <w:rStyle w:val="VerbatimChar"/>
        </w:rPr>
        <w:t xml:space="preserve">estate.declared_value</w:t>
      </w:r>
      <w:r>
        <w:t xml:space="preserve"> </w:t>
      </w:r>
      <w:r>
        <w:t xml:space="preserve">must be defined as the</w:t>
      </w:r>
      <w:r>
        <w:t xml:space="preserve"> </w:t>
      </w:r>
      <w:r>
        <w:rPr>
          <w:b/>
          <w:bCs/>
        </w:rPr>
        <w:t xml:space="preserve">current</w:t>
      </w:r>
      <w:r>
        <w:t xml:space="preserve"> </w:t>
      </w:r>
      <w:r>
        <w:t xml:space="preserve">gross fair market value stated in the affidavit, excluding § 13050 and § 13151-petition property,</w:t>
      </w:r>
      <w:r>
        <w:t xml:space="preserve"> </w:t>
      </w:r>
      <w:r>
        <w:rPr>
          <w:b/>
          <w:bCs/>
        </w:rPr>
        <w:t xml:space="preserve">including</w:t>
      </w:r>
      <w:r>
        <w:t xml:space="preserve"> </w:t>
      </w:r>
      <w:r>
        <w:t xml:space="preserve">any California real property counted toward the limit.</w:t>
      </w:r>
    </w:p>
    <w:p>
      <w:pPr>
        <w:pStyle w:val="Compact"/>
        <w:numPr>
          <w:ilvl w:val="0"/>
          <w:numId w:val="1010"/>
        </w:numPr>
      </w:pPr>
      <w:r>
        <w:rPr>
          <w:b/>
          <w:bCs/>
        </w:rPr>
        <w:t xml:space="preserve">Successors:</w:t>
      </w:r>
    </w:p>
    <w:p>
      <w:pPr>
        <w:pStyle w:val="Compact"/>
        <w:numPr>
          <w:ilvl w:val="1"/>
          <w:numId w:val="1011"/>
        </w:numPr>
      </w:pPr>
      <w:r>
        <w:t xml:space="preserve">whether the affiant or affiants are</w:t>
      </w:r>
      <w:r>
        <w:t xml:space="preserve"> </w:t>
      </w:r>
      <w:r>
        <w:rPr>
          <w:b/>
          <w:bCs/>
        </w:rPr>
        <w:t xml:space="preserve">all</w:t>
      </w:r>
      <w:r>
        <w:t xml:space="preserve"> </w:t>
      </w:r>
      <w:r>
        <w:t xml:space="preserve">the successors to this item;</w:t>
      </w:r>
    </w:p>
    <w:p>
      <w:pPr>
        <w:pStyle w:val="Compact"/>
        <w:numPr>
          <w:ilvl w:val="1"/>
          <w:numId w:val="1011"/>
        </w:numPr>
      </w:pPr>
      <w:r>
        <w:t xml:space="preserve">an affiant capacity for a</w:t>
      </w:r>
      <w:r>
        <w:t xml:space="preserve"> </w:t>
      </w:r>
      <w:r>
        <w:rPr>
          <w:b/>
          <w:bCs/>
        </w:rPr>
        <w:t xml:space="preserve">sister-state personal representative</w:t>
      </w:r>
      <w:r>
        <w:t xml:space="preserve"> </w:t>
      </w:r>
      <w:r>
        <w:t xml:space="preserve">(§ 12570).</w:t>
      </w:r>
    </w:p>
    <w:p>
      <w:pPr>
        <w:pStyle w:val="Compact"/>
        <w:numPr>
          <w:ilvl w:val="0"/>
          <w:numId w:val="1010"/>
        </w:numPr>
      </w:pPr>
      <w:r>
        <w:rPr>
          <w:b/>
          <w:bCs/>
        </w:rPr>
        <w:t xml:space="preserve">Payees:</w:t>
      </w:r>
    </w:p>
    <w:p>
      <w:pPr>
        <w:pStyle w:val="Compact"/>
        <w:numPr>
          <w:ilvl w:val="1"/>
          <w:numId w:val="1012"/>
        </w:numPr>
      </w:pPr>
      <w:r>
        <w:t xml:space="preserve">a</w:t>
      </w:r>
      <w:r>
        <w:t xml:space="preserve"> </w:t>
      </w:r>
      <w:r>
        <w:rPr>
          <w:b/>
          <w:bCs/>
        </w:rPr>
        <w:t xml:space="preserve">minor</w:t>
      </w:r>
      <w:r>
        <w:t xml:space="preserve"> </w:t>
      </w:r>
      <w:r>
        <w:t xml:space="preserve">payee or beneficiary (§ 5407(b));</w:t>
      </w:r>
    </w:p>
    <w:p>
      <w:pPr>
        <w:pStyle w:val="Compact"/>
        <w:numPr>
          <w:ilvl w:val="1"/>
          <w:numId w:val="1012"/>
        </w:numPr>
      </w:pPr>
      <w:r>
        <w:rPr>
          <w:b/>
          <w:bCs/>
        </w:rPr>
        <w:t xml:space="preserve">survival evidence:</w:t>
      </w:r>
      <w:r>
        <w:t xml:space="preserve"> </w:t>
      </w:r>
      <w:r>
        <w:t xml:space="preserve">each payee's date and time of death, or "living" (§§ 220–223, 21109);</w:t>
      </w:r>
    </w:p>
    <w:p>
      <w:pPr>
        <w:pStyle w:val="Compact"/>
        <w:numPr>
          <w:ilvl w:val="1"/>
          <w:numId w:val="1012"/>
        </w:numPr>
      </w:pPr>
      <w:r>
        <w:t xml:space="preserve">a payee who survived but has since died (Risk R32).</w:t>
      </w:r>
    </w:p>
    <w:p>
      <w:pPr>
        <w:pStyle w:val="Compact"/>
        <w:numPr>
          <w:ilvl w:val="0"/>
          <w:numId w:val="1010"/>
        </w:numPr>
      </w:pPr>
      <w:r>
        <w:rPr>
          <w:b/>
          <w:bCs/>
        </w:rPr>
        <w:t xml:space="preserve">Notices and holds:</w:t>
      </w:r>
    </w:p>
    <w:p>
      <w:pPr>
        <w:pStyle w:val="Compact"/>
        <w:numPr>
          <w:ilvl w:val="1"/>
          <w:numId w:val="1013"/>
        </w:numPr>
      </w:pPr>
      <w:r>
        <w:t xml:space="preserve">a</w:t>
      </w:r>
      <w:r>
        <w:t xml:space="preserve"> </w:t>
      </w:r>
      <w:r>
        <w:rPr>
          <w:b/>
          <w:bCs/>
        </w:rPr>
        <w:t xml:space="preserve">slayer notice</w:t>
      </w:r>
      <w:r>
        <w:t xml:space="preserve"> </w:t>
      </w:r>
      <w:r>
        <w:t xml:space="preserve">received (§ 256);</w:t>
      </w:r>
    </w:p>
    <w:p>
      <w:pPr>
        <w:pStyle w:val="Compact"/>
        <w:numPr>
          <w:ilvl w:val="1"/>
          <w:numId w:val="1013"/>
        </w:numPr>
      </w:pPr>
      <w:r>
        <w:rPr>
          <w:b/>
          <w:bCs/>
        </w:rPr>
        <w:t xml:space="preserve">notice of a competing claim or hold request</w:t>
      </w:r>
      <w:r>
        <w:t xml:space="preserve"> </w:t>
      </w:r>
      <w:r>
        <w:t xml:space="preserve">(</w:t>
      </w:r>
      <w:r>
        <w:rPr>
          <w:i/>
          <w:iCs/>
        </w:rPr>
        <w:t xml:space="preserve">Mautner</w:t>
      </w:r>
      <w:r>
        <w:t xml:space="preserve">);</w:t>
      </w:r>
    </w:p>
    <w:p>
      <w:pPr>
        <w:pStyle w:val="Compact"/>
        <w:numPr>
          <w:ilvl w:val="1"/>
          <w:numId w:val="1013"/>
        </w:numPr>
      </w:pPr>
      <w:r>
        <w:t xml:space="preserve">an</w:t>
      </w:r>
      <w:r>
        <w:t xml:space="preserve"> </w:t>
      </w:r>
      <w:r>
        <w:rPr>
          <w:b/>
          <w:bCs/>
        </w:rPr>
        <w:t xml:space="preserve">adverse-claim affidavit</w:t>
      </w:r>
      <w:r>
        <w:t xml:space="preserve"> </w:t>
      </w:r>
      <w:r>
        <w:t xml:space="preserve">(Fin. Code § 1450);</w:t>
      </w:r>
    </w:p>
    <w:p>
      <w:pPr>
        <w:pStyle w:val="Compact"/>
        <w:numPr>
          <w:ilvl w:val="1"/>
          <w:numId w:val="1013"/>
        </w:numPr>
      </w:pPr>
      <w:r>
        <w:rPr>
          <w:b/>
          <w:bCs/>
        </w:rPr>
        <w:t xml:space="preserve">legal process</w:t>
      </w:r>
      <w:r>
        <w:t xml:space="preserve"> </w:t>
      </w:r>
      <w:r>
        <w:t xml:space="preserve">served: a levy, an order to withhold, a garnishment.</w:t>
      </w:r>
    </w:p>
    <w:p>
      <w:pPr>
        <w:pStyle w:val="Compact"/>
        <w:numPr>
          <w:ilvl w:val="0"/>
          <w:numId w:val="1010"/>
        </w:numPr>
      </w:pPr>
      <w:r>
        <w:rPr>
          <w:b/>
          <w:bCs/>
        </w:rPr>
        <w:t xml:space="preserve">Account terms:</w:t>
      </w:r>
    </w:p>
    <w:p>
      <w:pPr>
        <w:pStyle w:val="Compact"/>
        <w:numPr>
          <w:ilvl w:val="1"/>
          <w:numId w:val="1014"/>
        </w:numPr>
      </w:pPr>
      <w:r>
        <w:t xml:space="preserve">an account titled</w:t>
      </w:r>
      <w:r>
        <w:t xml:space="preserve"> </w:t>
      </w:r>
      <w:r>
        <w:rPr>
          <w:b/>
          <w:bCs/>
        </w:rPr>
        <w:t xml:space="preserve">tenancy in common</w:t>
      </w:r>
      <w:r>
        <w:t xml:space="preserve"> </w:t>
      </w:r>
      <w:r>
        <w:t xml:space="preserve">or</w:t>
      </w:r>
      <w:r>
        <w:t xml:space="preserve"> </w:t>
      </w:r>
      <w:r>
        <w:rPr>
          <w:b/>
          <w:bCs/>
        </w:rPr>
        <w:t xml:space="preserve">community property</w:t>
      </w:r>
      <w:r>
        <w:t xml:space="preserve"> </w:t>
      </w:r>
      <w:r>
        <w:t xml:space="preserve">(§§ 5306, 5307);</w:t>
      </w:r>
    </w:p>
    <w:p>
      <w:pPr>
        <w:pStyle w:val="Compact"/>
        <w:numPr>
          <w:ilvl w:val="1"/>
          <w:numId w:val="1014"/>
        </w:numPr>
      </w:pPr>
      <w:r>
        <w:t xml:space="preserve">payee status validly set under</w:t>
      </w:r>
      <w:r>
        <w:t xml:space="preserve"> </w:t>
      </w:r>
      <w:r>
        <w:rPr>
          <w:b/>
          <w:bCs/>
        </w:rPr>
        <w:t xml:space="preserve">§ 5303</w:t>
      </w:r>
      <w:r>
        <w:t xml:space="preserve">.</w:t>
      </w:r>
    </w:p>
    <w:p>
      <w:pPr>
        <w:pStyle w:val="Compact"/>
        <w:numPr>
          <w:ilvl w:val="0"/>
          <w:numId w:val="1010"/>
        </w:numPr>
      </w:pPr>
      <w:r>
        <w:rPr>
          <w:b/>
          <w:bCs/>
        </w:rPr>
        <w:t xml:space="preserve">Overlays:</w:t>
      </w:r>
    </w:p>
    <w:p>
      <w:pPr>
        <w:pStyle w:val="Compact"/>
        <w:numPr>
          <w:ilvl w:val="1"/>
          <w:numId w:val="1015"/>
        </w:numPr>
      </w:pPr>
      <w:r>
        <w:rPr>
          <w:b/>
          <w:bCs/>
        </w:rPr>
        <w:t xml:space="preserve">escheat</w:t>
      </w:r>
      <w:r>
        <w:t xml:space="preserve"> </w:t>
      </w:r>
      <w:r>
        <w:t xml:space="preserve">status (CCP §§ 1532, 1560);</w:t>
      </w:r>
    </w:p>
    <w:p>
      <w:pPr>
        <w:pStyle w:val="Compact"/>
        <w:numPr>
          <w:ilvl w:val="1"/>
          <w:numId w:val="1015"/>
        </w:numPr>
      </w:pPr>
      <w:r>
        <w:rPr>
          <w:b/>
          <w:bCs/>
        </w:rPr>
        <w:t xml:space="preserve">post-death federal benefit credits</w:t>
      </w:r>
      <w:r>
        <w:t xml:space="preserve"> </w:t>
      </w:r>
      <w:r>
        <w:t xml:space="preserve">and a</w:t>
      </w:r>
      <w:r>
        <w:t xml:space="preserve"> </w:t>
      </w:r>
      <w:r>
        <w:rPr>
          <w:b/>
          <w:bCs/>
        </w:rPr>
        <w:t xml:space="preserve">reclamation notice</w:t>
      </w:r>
      <w:r>
        <w:t xml:space="preserve"> </w:t>
      </w:r>
      <w:r>
        <w:t xml:space="preserve">(31 CFR § 210.10; Risk R2).</w:t>
      </w:r>
    </w:p>
    <w:p>
      <w:pPr>
        <w:pStyle w:val="Compact"/>
        <w:numPr>
          <w:ilvl w:val="0"/>
          <w:numId w:val="1010"/>
        </w:numPr>
      </w:pPr>
      <w:r>
        <w:rPr>
          <w:b/>
          <w:bCs/>
        </w:rPr>
        <w:t xml:space="preserve">Jurisdiction.</w:t>
      </w:r>
      <w:r>
        <w:t xml:space="preserve"> </w:t>
      </w:r>
      <w:r>
        <w:t xml:space="preserve">Separate the decedent's</w:t>
      </w:r>
      <w:r>
        <w:t xml:space="preserve"> </w:t>
      </w:r>
      <w:r>
        <w:rPr>
          <w:b/>
          <w:bCs/>
        </w:rPr>
        <w:t xml:space="preserve">domicile</w:t>
      </w:r>
      <w:r>
        <w:t xml:space="preserve">, the</w:t>
      </w:r>
      <w:r>
        <w:t xml:space="preserve"> </w:t>
      </w:r>
      <w:r>
        <w:rPr>
          <w:b/>
          <w:bCs/>
        </w:rPr>
        <w:t xml:space="preserve">account office state</w:t>
      </w:r>
      <w:r>
        <w:t xml:space="preserve">, and the deposit agreement's</w:t>
      </w:r>
      <w:r>
        <w:t xml:space="preserve"> </w:t>
      </w:r>
      <w:r>
        <w:rPr>
          <w:b/>
          <w:bCs/>
        </w:rPr>
        <w:t xml:space="preserve">governing-law state</w:t>
      </w:r>
      <w:r>
        <w:t xml:space="preserve"> </w:t>
      </w:r>
      <w:r>
        <w:t xml:space="preserve">(Risk R1).</w:t>
      </w:r>
    </w:p>
    <w:p>
      <w:pPr>
        <w:pStyle w:val="FirstParagraph"/>
      </w:pPr>
      <w:r>
        <w:rPr>
          <w:b/>
          <w:bCs/>
        </w:rPr>
        <w:t xml:space="preserve">Institution policy, not facts</w:t>
      </w:r>
      <w:r>
        <w:t xml:space="preserve"> </w:t>
      </w:r>
      <w:r>
        <w:t xml:space="preserve">(REQ-POLICY-001): extra waiting days, extra documents, and declined account types or balances, subject to the § 13105(b) fee risk (Q8).</w:t>
      </w:r>
    </w:p>
    <w:bookmarkEnd w:id="19"/>
    <w:bookmarkStart w:id="20" w:name="draft-golden-scenarios"/>
    <w:p>
      <w:pPr>
        <w:pStyle w:val="Heading2"/>
      </w:pPr>
      <w:r>
        <w:t xml:space="preserve">Draft golden scenarios</w:t>
      </w:r>
    </w:p>
    <w:p>
      <w:pPr>
        <w:pStyle w:val="FirstParagraph"/>
      </w:pPr>
      <w:r>
        <w:t xml:space="preserve">These become</w:t>
      </w:r>
      <w:r>
        <w:t xml:space="preserve"> </w:t>
      </w:r>
      <w:r>
        <w:rPr>
          <w:rStyle w:val="VerbatimChar"/>
        </w:rPr>
        <w:t xml:space="preserve">golden/ca.yaml</w:t>
      </w:r>
      <w:r>
        <w:t xml:space="preserve"> </w:t>
      </w:r>
      <w:r>
        <w:t xml:space="preserve">after attorney review. Path B dates use the conservative Q3 default (death + 41 days) and an institution policy that adds nothing.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Facts</w:t>
            </w:r>
          </w:p>
        </w:tc>
        <w:tc>
          <w:tcPr/>
          <w:p>
            <w:pPr>
              <w:pStyle w:val="Compact"/>
            </w:pPr>
            <w:r>
              <w:t xml:space="preserve">Expected</w:t>
            </w:r>
          </w:p>
        </w:tc>
      </w:tr>
      <w:tr>
        <w:tc>
          <w:tcPr/>
          <w:p>
            <w:pPr>
              <w:pStyle w:val="Compact"/>
            </w:pPr>
            <w:r>
              <w:t xml:space="preserve">GS-CA-001</w:t>
            </w:r>
          </w:p>
        </w:tc>
        <w:tc>
          <w:tcPr/>
          <w:p>
            <w:pPr>
              <w:pStyle w:val="Compact"/>
            </w:pPr>
            <w:r>
              <w:t xml:space="preserve">Sole account; died 2025-06-01; CA estate $150,000.00; no proceeding; one affiant, who is the sole successor</w:t>
            </w:r>
          </w:p>
        </w:tc>
        <w:tc>
          <w:tcPr/>
          <w:p>
            <w:pPr>
              <w:pStyle w:val="Compact"/>
            </w:pPr>
            <w:r>
              <w:t xml:space="preserve">Pay affiant 1/1. Documents: affidavit, death certificate (attached), 2025 § 890 list (attached), proof of identity, and the institution's identity notation. Earliest payment</w:t>
            </w:r>
            <w:r>
              <w:t xml:space="preserve"> </w:t>
            </w:r>
            <w:r>
              <w:rPr>
                <w:b/>
                <w:bCs/>
              </w:rPr>
              <w:t xml:space="preserve">2025-07-12</w:t>
            </w:r>
            <w:r>
              <w:t xml:space="preserve"> </w:t>
            </w:r>
            <w:r>
              <w:t xml:space="preserve">(death + 41; 2025-07-11 if the attorney decides day 40 qualifies, Q3). Protected (§ 13106).</w:t>
            </w:r>
          </w:p>
        </w:tc>
      </w:tr>
      <w:tr>
        <w:tc>
          <w:tcPr/>
          <w:p>
            <w:pPr>
              <w:pStyle w:val="Compact"/>
            </w:pPr>
            <w:r>
              <w:t xml:space="preserve">GS-CA-002</w:t>
            </w:r>
          </w:p>
        </w:tc>
        <w:tc>
          <w:tcPr/>
          <w:p>
            <w:pPr>
              <w:pStyle w:val="Compact"/>
            </w:pPr>
            <w:r>
              <w:t xml:space="preserve">As 001, but died 2025-03-31 with estate $184,500.00</w:t>
            </w:r>
          </w:p>
        </w:tc>
        <w:tc>
          <w:tcPr/>
          <w:p>
            <w:pPr>
              <w:pStyle w:val="Compact"/>
            </w:pPr>
            <w:r>
              <w:t xml:space="preserve">Eligible: equal to the limit for that date.</w:t>
            </w:r>
          </w:p>
        </w:tc>
      </w:tr>
      <w:tr>
        <w:tc>
          <w:tcPr/>
          <w:p>
            <w:pPr>
              <w:pStyle w:val="Compact"/>
            </w:pPr>
            <w:r>
              <w:t xml:space="preserve">GS-CA-003</w:t>
            </w:r>
          </w:p>
        </w:tc>
        <w:tc>
          <w:tcPr/>
          <w:p>
            <w:pPr>
              <w:pStyle w:val="Compact"/>
            </w:pPr>
            <w:r>
              <w:t xml:space="preserve">As 001, but died 2025-03-31 with estate $184,500.01</w:t>
            </w:r>
          </w:p>
        </w:tc>
        <w:tc>
          <w:tcPr/>
          <w:p>
            <w:pPr>
              <w:pStyle w:val="Compact"/>
            </w:pPr>
            <w:r>
              <w:t xml:space="preserve">Not determinable: over the limit.</w:t>
            </w:r>
          </w:p>
        </w:tc>
      </w:tr>
      <w:tr>
        <w:tc>
          <w:tcPr/>
          <w:p>
            <w:pPr>
              <w:pStyle w:val="Compact"/>
            </w:pPr>
            <w:r>
              <w:t xml:space="preserve">GS-CA-004</w:t>
            </w:r>
          </w:p>
        </w:tc>
        <w:tc>
          <w:tcPr/>
          <w:p>
            <w:pPr>
              <w:pStyle w:val="Compact"/>
            </w:pPr>
            <w:r>
              <w:t xml:space="preserve">As 001, but died 2025-04-01 with estate $208,850.00</w:t>
            </w:r>
          </w:p>
        </w:tc>
        <w:tc>
          <w:tcPr/>
          <w:p>
            <w:pPr>
              <w:pStyle w:val="Compact"/>
            </w:pPr>
            <w:r>
              <w:t xml:space="preserve">Eligible: the new limit applies from 2025-04-01.</w:t>
            </w:r>
          </w:p>
        </w:tc>
      </w:tr>
      <w:tr>
        <w:tc>
          <w:tcPr/>
          <w:p>
            <w:pPr>
              <w:pStyle w:val="Compact"/>
            </w:pPr>
            <w:r>
              <w:t xml:space="preserve">GS-CA-005</w:t>
            </w:r>
          </w:p>
        </w:tc>
        <w:tc>
          <w:tcPr/>
          <w:p>
            <w:pPr>
              <w:pStyle w:val="Compact"/>
            </w:pPr>
            <w:r>
              <w:t xml:space="preserve">As 001, but a California administration proceeding exists with no PR consent</w:t>
            </w:r>
          </w:p>
        </w:tc>
        <w:tc>
          <w:tcPr/>
          <w:p>
            <w:pPr>
              <w:pStyle w:val="Compact"/>
            </w:pPr>
            <w:r>
              <w:t xml:space="preserve">Not determinable.</w:t>
            </w:r>
          </w:p>
        </w:tc>
      </w:tr>
      <w:tr>
        <w:tc>
          <w:tcPr/>
          <w:p>
            <w:pPr>
              <w:pStyle w:val="Compact"/>
            </w:pPr>
            <w:r>
              <w:t xml:space="preserve">GS-CA-006</w:t>
            </w:r>
          </w:p>
        </w:tc>
        <w:tc>
          <w:tcPr/>
          <w:p>
            <w:pPr>
              <w:pStyle w:val="Compact"/>
            </w:pPr>
            <w:r>
              <w:t xml:space="preserve">As 005, but the PR consented in writing</w:t>
            </w:r>
          </w:p>
        </w:tc>
        <w:tc>
          <w:tcPr/>
          <w:p>
            <w:pPr>
              <w:pStyle w:val="Compact"/>
            </w:pPr>
            <w:r>
              <w:t xml:space="preserve">Eligible. Documents add the consent and the letters (attached).</w:t>
            </w:r>
          </w:p>
        </w:tc>
      </w:tr>
      <w:tr>
        <w:tc>
          <w:tcPr/>
          <w:p>
            <w:pPr>
              <w:pStyle w:val="Compact"/>
            </w:pPr>
            <w:r>
              <w:t xml:space="preserve">GS-CA-007</w:t>
            </w:r>
          </w:p>
        </w:tc>
        <w:tc>
          <w:tcPr/>
          <w:p>
            <w:pPr>
              <w:pStyle w:val="Compact"/>
            </w:pPr>
            <w:r>
              <w:t xml:space="preserve">As 001, but the estate includes CA real property, counted in the declared value</w:t>
            </w:r>
          </w:p>
        </w:tc>
        <w:tc>
          <w:tcPr/>
          <w:p>
            <w:pPr>
              <w:pStyle w:val="Compact"/>
            </w:pPr>
            <w:r>
              <w:t xml:space="preserve">Eligible. Documents add an inventory and appraisal.</w:t>
            </w:r>
          </w:p>
        </w:tc>
      </w:tr>
      <w:tr>
        <w:tc>
          <w:tcPr/>
          <w:p>
            <w:pPr>
              <w:pStyle w:val="Compact"/>
            </w:pPr>
            <w:r>
              <w:t xml:space="preserve">GS-CA-008</w:t>
            </w:r>
          </w:p>
        </w:tc>
        <w:tc>
          <w:tcPr/>
          <w:p>
            <w:pPr>
              <w:pStyle w:val="Compact"/>
            </w:pPr>
            <w:r>
              <w:t xml:space="preserve">POD account; two adult surviving POD payees; no share terms</w:t>
            </w:r>
          </w:p>
        </w:tc>
        <w:tc>
          <w:tcPr/>
          <w:p>
            <w:pPr>
              <w:pStyle w:val="Compact"/>
            </w:pPr>
            <w:r>
              <w:t xml:space="preserve">Pay each 1/2. Document: proof of death. Payable on request. Protected (§ 5405).</w:t>
            </w:r>
          </w:p>
        </w:tc>
      </w:tr>
      <w:tr>
        <w:tc>
          <w:tcPr/>
          <w:p>
            <w:pPr>
              <w:pStyle w:val="Compact"/>
            </w:pPr>
            <w:r>
              <w:t xml:space="preserve">GS-CA-009</w:t>
            </w:r>
          </w:p>
        </w:tc>
        <w:tc>
          <w:tcPr/>
          <w:p>
            <w:pPr>
              <w:pStyle w:val="Compact"/>
            </w:pPr>
            <w:r>
              <w:t xml:space="preserve">Joint with survivorship; one surviving party</w:t>
            </w:r>
          </w:p>
        </w:tc>
        <w:tc>
          <w:tcPr/>
          <w:p>
            <w:pPr>
              <w:pStyle w:val="Compact"/>
            </w:pPr>
            <w:r>
              <w:t xml:space="preserve">Payable to the survivor (§§ 5401(a), 5402). Protected (§ 5405).</w:t>
            </w:r>
          </w:p>
        </w:tc>
      </w:tr>
      <w:tr>
        <w:tc>
          <w:tcPr/>
          <w:p>
            <w:pPr>
              <w:pStyle w:val="Compact"/>
            </w:pPr>
            <w:r>
              <w:t xml:space="preserve">GS-CA-010</w:t>
            </w:r>
          </w:p>
        </w:tc>
        <w:tc>
          <w:tcPr/>
          <w:p>
            <w:pPr>
              <w:pStyle w:val="Compact"/>
            </w:pPr>
            <w:r>
              <w:t xml:space="preserve">POD payee is the decedent's former spouse</w:t>
            </w:r>
          </w:p>
        </w:tc>
        <w:tc>
          <w:tcPr/>
          <w:p>
            <w:pPr>
              <w:pStyle w:val="Compact"/>
            </w:pPr>
            <w:r>
              <w:t xml:space="preserve">Not determinable (§ 5040).</w:t>
            </w:r>
          </w:p>
        </w:tc>
      </w:tr>
      <w:tr>
        <w:tc>
          <w:tcPr/>
          <w:p>
            <w:pPr>
              <w:pStyle w:val="Compact"/>
            </w:pPr>
            <w:r>
              <w:t xml:space="preserve">GS-CA-011</w:t>
            </w:r>
          </w:p>
        </w:tc>
        <w:tc>
          <w:tcPr/>
          <w:p>
            <w:pPr>
              <w:pStyle w:val="Compact"/>
            </w:pPr>
            <w:r>
              <w:t xml:space="preserve">Path A account; a restraining order was served before payment</w:t>
            </w:r>
          </w:p>
        </w:tc>
        <w:tc>
          <w:tcPr/>
          <w:p>
            <w:pPr>
              <w:pStyle w:val="Compact"/>
            </w:pPr>
            <w:r>
              <w:t xml:space="preserve">Not determinable: no § 5405 protection.</w:t>
            </w:r>
          </w:p>
        </w:tc>
      </w:tr>
      <w:tr>
        <w:tc>
          <w:tcPr/>
          <w:p>
            <w:pPr>
              <w:pStyle w:val="Compact"/>
            </w:pPr>
            <w:r>
              <w:t xml:space="preserve">GS-CA-012</w:t>
            </w:r>
          </w:p>
        </w:tc>
        <w:tc>
          <w:tcPr/>
          <w:p>
            <w:pPr>
              <w:pStyle w:val="Compact"/>
            </w:pPr>
            <w:r>
              <w:t xml:space="preserve">Died 2022-03-31</w:t>
            </w:r>
          </w:p>
        </w:tc>
        <w:tc>
          <w:tcPr/>
          <w:p>
            <w:pPr>
              <w:pStyle w:val="Compact"/>
            </w:pPr>
            <w:r>
              <w:t xml:space="preserve">Not determinable: before coverage starts (deaths from 2022-04-01).</w:t>
            </w:r>
          </w:p>
        </w:tc>
      </w:tr>
      <w:tr>
        <w:tc>
          <w:tcPr/>
          <w:p>
            <w:pPr>
              <w:pStyle w:val="Compact"/>
            </w:pPr>
            <w:r>
              <w:t xml:space="preserve">GS-CA-013</w:t>
            </w:r>
          </w:p>
        </w:tc>
        <w:tc>
          <w:tcPr/>
          <w:p>
            <w:pPr>
              <w:pStyle w:val="Compact"/>
            </w:pPr>
            <w:r>
              <w:t xml:space="preserve">As 001, but died 2022-04-01 with estate $184,500.00</w:t>
            </w:r>
          </w:p>
        </w:tc>
        <w:tc>
          <w:tcPr/>
          <w:p>
            <w:pPr>
              <w:pStyle w:val="Compact"/>
            </w:pPr>
            <w:r>
              <w:t xml:space="preserve">Eligible: first day of coverage, at the 2022 limit.</w:t>
            </w:r>
          </w:p>
        </w:tc>
      </w:tr>
      <w:tr>
        <w:tc>
          <w:tcPr/>
          <w:p>
            <w:pPr>
              <w:pStyle w:val="Compact"/>
            </w:pPr>
            <w:r>
              <w:t xml:space="preserve">GS-CA-014</w:t>
            </w:r>
          </w:p>
        </w:tc>
        <w:tc>
          <w:tcPr/>
          <w:p>
            <w:pPr>
              <w:pStyle w:val="Compact"/>
            </w:pPr>
            <w:r>
              <w:t xml:space="preserve">Totten trust; the trustee was the sole trustee; two surviving adult beneficiaries; no share terms</w:t>
            </w:r>
          </w:p>
        </w:tc>
        <w:tc>
          <w:tcPr/>
          <w:p>
            <w:pPr>
              <w:pStyle w:val="Compact"/>
            </w:pPr>
            <w:r>
              <w:t xml:space="preserve">Pay each 1/2. Document: proof of death showing both beneficiaries survived the trustee. Payable on request. Protected (§ 5405).</w:t>
            </w:r>
          </w:p>
        </w:tc>
      </w:tr>
      <w:tr>
        <w:tc>
          <w:tcPr/>
          <w:p>
            <w:pPr>
              <w:pStyle w:val="Compact"/>
            </w:pPr>
            <w:r>
              <w:t xml:space="preserve">GS-CA-015</w:t>
            </w:r>
          </w:p>
        </w:tc>
        <w:tc>
          <w:tcPr/>
          <w:p>
            <w:pPr>
              <w:pStyle w:val="Compact"/>
            </w:pPr>
            <w:r>
              <w:t xml:space="preserve">Totten trust; account terms expressly give beneficiaries 70% / 30%</w:t>
            </w:r>
          </w:p>
        </w:tc>
        <w:tc>
          <w:tcPr/>
          <w:p>
            <w:pPr>
              <w:pStyle w:val="Compact"/>
            </w:pPr>
            <w:r>
              <w:t xml:space="preserve">Pay 7/10 and 3/10 per the account terms (§ 5302(c)(2)(B)).</w:t>
            </w:r>
          </w:p>
        </w:tc>
      </w:tr>
      <w:tr>
        <w:tc>
          <w:tcPr/>
          <w:p>
            <w:pPr>
              <w:pStyle w:val="Compact"/>
            </w:pPr>
            <w:r>
              <w:t xml:space="preserve">GS-CA-016</w:t>
            </w:r>
          </w:p>
        </w:tc>
        <w:tc>
          <w:tcPr/>
          <w:p>
            <w:pPr>
              <w:pStyle w:val="Compact"/>
            </w:pPr>
            <w:r>
              <w:t xml:space="preserve">Joint with survivorship; two surviving parties</w:t>
            </w:r>
          </w:p>
        </w:tc>
        <w:tc>
          <w:tcPr/>
          <w:p>
            <w:pPr>
              <w:pStyle w:val="Compact"/>
            </w:pPr>
            <w:r>
              <w:t xml:space="preserve">Payable to any of the survivors per the account terms (§§ 5401(a), 5402). Protected (§ 5405). Uses the</w:t>
            </w:r>
            <w:r>
              <w:t xml:space="preserve"> </w:t>
            </w:r>
            <w:r>
              <w:rPr>
                <w:rStyle w:val="VerbatimChar"/>
              </w:rPr>
              <w:t xml:space="preserve">any_of</w:t>
            </w:r>
            <w:r>
              <w:t xml:space="preserve"> </w:t>
            </w:r>
            <w:r>
              <w:t xml:space="preserve">payment form.</w:t>
            </w:r>
          </w:p>
        </w:tc>
      </w:tr>
      <w:tr>
        <w:tc>
          <w:tcPr/>
          <w:p>
            <w:pPr>
              <w:pStyle w:val="Compact"/>
            </w:pPr>
            <w:r>
              <w:t xml:space="preserve">GS-CA-017</w:t>
            </w:r>
          </w:p>
        </w:tc>
        <w:tc>
          <w:tcPr/>
          <w:p>
            <w:pPr>
              <w:pStyle w:val="Compact"/>
            </w:pPr>
            <w:r>
              <w:t xml:space="preserve">POD account; two designated payees; one died before the decedent</w:t>
            </w:r>
          </w:p>
        </w:tc>
        <w:tc>
          <w:tcPr/>
          <w:p>
            <w:pPr>
              <w:pStyle w:val="Compact"/>
            </w:pPr>
            <w:r>
              <w:t xml:space="preserve">Pay the surviving payee 1/1 (§ 5302(b)(2)(A)).</w:t>
            </w:r>
          </w:p>
        </w:tc>
      </w:tr>
      <w:tr>
        <w:tc>
          <w:tcPr/>
          <w:p>
            <w:pPr>
              <w:pStyle w:val="Compact"/>
            </w:pPr>
            <w:r>
              <w:t xml:space="preserve">GS-CA-018</w:t>
            </w:r>
          </w:p>
        </w:tc>
        <w:tc>
          <w:tcPr/>
          <w:p>
            <w:pPr>
              <w:pStyle w:val="Compact"/>
            </w:pPr>
            <w:r>
              <w:t xml:space="preserve">Joint with survivorship; the surviving party is the decedent's former spouse (divorced after the account opened)</w:t>
            </w:r>
          </w:p>
        </w:tc>
        <w:tc>
          <w:tcPr/>
          <w:p>
            <w:pPr>
              <w:pStyle w:val="Compact"/>
            </w:pPr>
            <w:r>
              <w:t xml:space="preserve">Not determinable (§§ 5302, 5040).</w:t>
            </w:r>
          </w:p>
        </w:tc>
      </w:tr>
      <w:tr>
        <w:tc>
          <w:tcPr/>
          <w:p>
            <w:pPr>
              <w:pStyle w:val="Compact"/>
            </w:pPr>
            <w:r>
              <w:t xml:space="preserve">GS-CA-019</w:t>
            </w:r>
          </w:p>
        </w:tc>
        <w:tc>
          <w:tcPr/>
          <w:p>
            <w:pPr>
              <w:pStyle w:val="Compact"/>
            </w:pPr>
            <w:r>
              <w:t xml:space="preserve">POD account; the payee is 15 years old</w:t>
            </w:r>
          </w:p>
        </w:tc>
        <w:tc>
          <w:tcPr/>
          <w:p>
            <w:pPr>
              <w:pStyle w:val="Compact"/>
            </w:pPr>
            <w:r>
              <w:t xml:space="preserve">Not determinable: minor payee (§ 5407(b)).</w:t>
            </w:r>
          </w:p>
        </w:tc>
      </w:tr>
      <w:tr>
        <w:tc>
          <w:tcPr/>
          <w:p>
            <w:pPr>
              <w:pStyle w:val="Compact"/>
            </w:pPr>
            <w:r>
              <w:t xml:space="preserve">GS-CA-020</w:t>
            </w:r>
          </w:p>
        </w:tc>
        <w:tc>
          <w:tcPr/>
          <w:p>
            <w:pPr>
              <w:pStyle w:val="Compact"/>
            </w:pPr>
            <w:r>
              <w:t xml:space="preserve">Sole account; Path B facts as in 001; before the affidavit arrived, the institution received a would-be heir's written claim and hold request</w:t>
            </w:r>
          </w:p>
        </w:tc>
        <w:tc>
          <w:tcPr/>
          <w:p>
            <w:pPr>
              <w:pStyle w:val="Compact"/>
            </w:pPr>
            <w:r>
              <w:t xml:space="preserve">Not determinable (§ 13106(a) good faith;</w:t>
            </w:r>
            <w:r>
              <w:t xml:space="preserve"> </w:t>
            </w:r>
            <w:r>
              <w:rPr>
                <w:i/>
                <w:iCs/>
              </w:rPr>
              <w:t xml:space="preserve">Mautner</w:t>
            </w:r>
            <w:r>
              <w:t xml:space="preserve">).</w:t>
            </w:r>
          </w:p>
        </w:tc>
      </w:tr>
      <w:tr>
        <w:tc>
          <w:tcPr/>
          <w:p>
            <w:pPr>
              <w:pStyle w:val="Compact"/>
            </w:pPr>
            <w:r>
              <w:t xml:space="preserve">GS-CA-021</w:t>
            </w:r>
          </w:p>
        </w:tc>
        <w:tc>
          <w:tcPr/>
          <w:p>
            <w:pPr>
              <w:pStyle w:val="Compact"/>
            </w:pPr>
            <w:r>
              <w:t xml:space="preserve">As 001, but there is one affiant and the will leaves the account to three children</w:t>
            </w:r>
          </w:p>
        </w:tc>
        <w:tc>
          <w:tcPr/>
          <w:p>
            <w:pPr>
              <w:pStyle w:val="Compact"/>
            </w:pPr>
            <w:r>
              <w:t xml:space="preserve">Not determinable: the affiant is not the sole successor (§ 13006).</w:t>
            </w:r>
          </w:p>
        </w:tc>
      </w:tr>
      <w:tr>
        <w:tc>
          <w:tcPr/>
          <w:p>
            <w:pPr>
              <w:pStyle w:val="Compact"/>
            </w:pPr>
            <w:r>
              <w:t xml:space="preserve">GS-CA-022</w:t>
            </w:r>
          </w:p>
        </w:tc>
        <w:tc>
          <w:tcPr/>
          <w:p>
            <w:pPr>
              <w:pStyle w:val="Compact"/>
            </w:pPr>
            <w:r>
              <w:t xml:space="preserve">Path B account; a levy or FTB order to withhold has been served</w:t>
            </w:r>
          </w:p>
        </w:tc>
        <w:tc>
          <w:tcPr/>
          <w:p>
            <w:pPr>
              <w:pStyle w:val="Compact"/>
            </w:pPr>
            <w:r>
              <w:t xml:space="preserve">Not determinable.</w:t>
            </w:r>
          </w:p>
        </w:tc>
      </w:tr>
    </w:tbl>
    <w:p>
      <w:r>
        <w:br w:type="page"/>
      </w:r>
    </w:p>
    <w:bookmarkEnd w:id="20"/>
    <w:bookmarkEnd w:id="21"/>
    <w:bookmarkStart w:id="24" w:name="california-open-questions"/>
    <w:p>
      <w:pPr>
        <w:pStyle w:val="Heading1"/>
      </w:pPr>
      <w:r>
        <w:t xml:space="preserve">California: open questions</w:t>
      </w:r>
    </w:p>
    <w:p>
      <w:pPr>
        <w:pStyle w:val="FirstParagraph"/>
      </w:pPr>
      <w:r>
        <w:t xml:space="preserve">Each question is tagged with what answers it:</w:t>
      </w:r>
    </w:p>
    <w:p>
      <w:pPr>
        <w:pStyle w:val="Compact"/>
        <w:numPr>
          <w:ilvl w:val="0"/>
          <w:numId w:val="1016"/>
        </w:numPr>
      </w:pPr>
      <w:r>
        <w:rPr>
          <w:b/>
          <w:bCs/>
        </w:rPr>
        <w:t xml:space="preserve">Law:</w:t>
      </w:r>
      <w:r>
        <w:t xml:space="preserve"> </w:t>
      </w:r>
      <w:r>
        <w:t xml:space="preserve">needs an attorney.</w:t>
      </w:r>
    </w:p>
    <w:p>
      <w:pPr>
        <w:pStyle w:val="Compact"/>
        <w:numPr>
          <w:ilvl w:val="0"/>
          <w:numId w:val="1016"/>
        </w:numPr>
      </w:pPr>
      <w:r>
        <w:rPr>
          <w:b/>
          <w:bCs/>
        </w:rPr>
        <w:t xml:space="preserve">Terms:</w:t>
      </w:r>
      <w:r>
        <w:t xml:space="preserve"> </w:t>
      </w:r>
      <w:r>
        <w:t xml:space="preserve">answered by the account's own terms, supplied as facts.</w:t>
      </w:r>
    </w:p>
    <w:p>
      <w:pPr>
        <w:pStyle w:val="Compact"/>
        <w:numPr>
          <w:ilvl w:val="0"/>
          <w:numId w:val="1016"/>
        </w:numPr>
      </w:pPr>
      <w:r>
        <w:rPr>
          <w:b/>
          <w:bCs/>
        </w:rPr>
        <w:t xml:space="preserve">Policy:</w:t>
      </w:r>
      <w:r>
        <w:t xml:space="preserve"> </w:t>
      </w:r>
      <w:r>
        <w:t xml:space="preserve">an institution choice. It may be stricter than the statute, never looser.</w:t>
      </w:r>
    </w:p>
    <w:p>
      <w:pPr>
        <w:pStyle w:val="FirstParagraph"/>
      </w:pPr>
      <w:r>
        <w:t xml:space="preserve">Until a question is answered, the affected cases are</w:t>
      </w:r>
      <w:r>
        <w:t xml:space="preserve"> </w:t>
      </w:r>
      <w:r>
        <w:rPr>
          <w:b/>
          <w:bCs/>
        </w:rPr>
        <w:t xml:space="preserve">not determinable</w:t>
      </w:r>
      <w:r>
        <w:t xml:space="preserve"> </w:t>
      </w:r>
      <w:r>
        <w:t xml:space="preserve">(or use the stated conservative default). The research notes summarize Part 4, which has the quotes and sources.</w:t>
      </w:r>
    </w:p>
    <w:bookmarkStart w:id="22" w:name="open"/>
    <w:p>
      <w:pPr>
        <w:pStyle w:val="Heading2"/>
      </w:pPr>
      <w:r>
        <w:t xml:space="preserve">Open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Question</w:t>
            </w:r>
          </w:p>
        </w:tc>
        <w:tc>
          <w:tcPr/>
          <w:p>
            <w:pPr>
              <w:pStyle w:val="Compact"/>
            </w:pPr>
            <w:r>
              <w:t xml:space="preserve">Answered by</w:t>
            </w:r>
          </w:p>
        </w:tc>
        <w:tc>
          <w:tcPr/>
          <w:p>
            <w:pPr>
              <w:pStyle w:val="Compact"/>
            </w:pPr>
            <w:r>
              <w:t xml:space="preserve">Blocks</w:t>
            </w:r>
          </w:p>
        </w:tc>
        <w:tc>
          <w:tcPr/>
          <w:p>
            <w:pPr>
              <w:pStyle w:val="Compact"/>
            </w:pPr>
            <w:r>
              <w:t xml:space="preserve">Proposed default</w:t>
            </w:r>
          </w:p>
        </w:tc>
        <w:tc>
          <w:tcPr/>
          <w:p>
            <w:pPr>
              <w:pStyle w:val="Compact"/>
            </w:pPr>
            <w:r>
              <w:t xml:space="preserve">Research notes (v0.2)</w:t>
            </w:r>
          </w:p>
        </w:tc>
      </w:tr>
      <w:tr>
        <w:tc>
          <w:tcPr/>
          <w:p>
            <w:pPr>
              <w:pStyle w:val="Compact"/>
            </w:pPr>
            <w:r>
              <w:t xml:space="preserve">Q2</w:t>
            </w:r>
          </w:p>
        </w:tc>
        <w:tc>
          <w:tcPr/>
          <w:p>
            <w:pPr>
              <w:pStyle w:val="Compact"/>
            </w:pPr>
            <w:r>
              <w:t xml:space="preserve">With several affiants on Path B, how is payment split?</w:t>
            </w:r>
          </w:p>
        </w:tc>
        <w:tc>
          <w:tcPr/>
          <w:p>
            <w:pPr>
              <w:pStyle w:val="Compact"/>
            </w:pPr>
            <w:r>
              <w:t xml:space="preserve">Law (with Policy)</w:t>
            </w:r>
          </w:p>
        </w:tc>
        <w:tc>
          <w:tcPr/>
          <w:p>
            <w:pPr>
              <w:pStyle w:val="Compact"/>
            </w:pPr>
            <w:r>
              <w:t xml:space="preserve">Path B shares</w:t>
            </w:r>
          </w:p>
        </w:tc>
        <w:tc>
          <w:tcPr/>
          <w:p>
            <w:pPr>
              <w:pStyle w:val="Compact"/>
            </w:pPr>
            <w:r>
              <w:t xml:space="preserve">One payment to all affiants jointly, or shares only as the affidavit states them.</w:t>
            </w:r>
          </w:p>
        </w:tc>
        <w:tc>
          <w:tcPr/>
          <w:p>
            <w:pPr>
              <w:pStyle w:val="Compact"/>
            </w:pPr>
            <w:r>
              <w:t xml:space="preserve">The affiants "are entitled to have the property ... paid ... to them" (§ 13105(a)(1)); the successor is "all of the beneficiaries" (§ 13006). No statute or case specifies a split. Requiring more than the statute risks fees if "unreasonable" (§ 13105(b)).</w:t>
            </w:r>
          </w:p>
        </w:tc>
      </w:tr>
      <w:tr>
        <w:tc>
          <w:tcPr/>
          <w:p>
            <w:pPr>
              <w:pStyle w:val="Compact"/>
            </w:pPr>
            <w:r>
              <w:t xml:space="preserve">Q3</w:t>
            </w:r>
          </w:p>
        </w:tc>
        <w:tc>
          <w:tcPr/>
          <w:p>
            <w:pPr>
              <w:pStyle w:val="Compact"/>
            </w:pPr>
            <w:r>
              <w:t xml:space="preserve">Day counting for "40 days have elapsed" (§ 13100): is the earliest payment the death date + 40 or + 41? Does CCP § 12a (holiday extension) apply to a waiting period?</w:t>
            </w:r>
          </w:p>
        </w:tc>
        <w:tc>
          <w:tcPr/>
          <w:p>
            <w:pPr>
              <w:pStyle w:val="Compact"/>
            </w:pPr>
            <w:r>
              <w:t xml:space="preserve">Law</w:t>
            </w:r>
          </w:p>
        </w:tc>
        <w:tc>
          <w:tcPr/>
          <w:p>
            <w:pPr>
              <w:pStyle w:val="Compact"/>
            </w:pPr>
            <w:r>
              <w:t xml:space="preserve">Path B earliest payment</w:t>
            </w:r>
          </w:p>
        </w:tc>
        <w:tc>
          <w:tcPr/>
          <w:p>
            <w:pPr>
              <w:pStyle w:val="Compact"/>
            </w:pPr>
            <w:r>
              <w:rPr>
                <w:b/>
                <w:bCs/>
              </w:rPr>
              <w:t xml:space="preserve">Death date + 41</w:t>
            </w:r>
            <w:r>
              <w:t xml:space="preserve"> </w:t>
            </w:r>
            <w:r>
              <w:t xml:space="preserve">(conservative), with no holiday extension; the affidavit is signed on or after that date.</w:t>
            </w:r>
          </w:p>
        </w:tc>
        <w:tc>
          <w:tcPr/>
          <w:p>
            <w:pPr>
              <w:pStyle w:val="Compact"/>
            </w:pPr>
            <w:r>
              <w:t xml:space="preserve">CCP § 12, Civ. Code § 10 and Gov. Code § 6800 exclude the first day and include the last, so day 40 is death + 40. Whether 40 days "have elapsed" on day 40 or only after it ends is unsettled in California; no case was located. Washington's Supreme Court requires full days (</w:t>
            </w:r>
            <w:r>
              <w:rPr>
                <w:i/>
                <w:iCs/>
              </w:rPr>
              <w:t xml:space="preserve">Troxell</w:t>
            </w:r>
            <w:r>
              <w:t xml:space="preserve">), which is persuasive but not binding here.</w:t>
            </w:r>
          </w:p>
        </w:tc>
      </w:tr>
      <w:tr>
        <w:tc>
          <w:tcPr/>
          <w:p>
            <w:pPr>
              <w:pStyle w:val="Compact"/>
            </w:pPr>
            <w:r>
              <w:t xml:space="preserve">Q4</w:t>
            </w:r>
          </w:p>
        </w:tc>
        <w:tc>
          <w:tcPr/>
          <w:p>
            <w:pPr>
              <w:pStyle w:val="Compact"/>
            </w:pPr>
            <w:r>
              <w:t xml:space="preserve">On Path B, should the engine cross-check the declared successor against will or intestacy facts (§§ 6401, 6402), or rely on the affidavit as § 13106(a) permits?</w:t>
            </w:r>
          </w:p>
        </w:tc>
        <w:tc>
          <w:tcPr/>
          <w:p>
            <w:pPr>
              <w:pStyle w:val="Compact"/>
            </w:pPr>
            <w:r>
              <w:t xml:space="preserve">Policy</w:t>
            </w:r>
          </w:p>
        </w:tc>
        <w:tc>
          <w:tcPr/>
          <w:p>
            <w:pPr>
              <w:pStyle w:val="Compact"/>
            </w:pPr>
            <w:r>
              <w:t xml:space="preserve">Facts schema scope</w:t>
            </w:r>
          </w:p>
        </w:tc>
        <w:tc>
          <w:tcPr/>
          <w:p>
            <w:pPr>
              <w:pStyle w:val="Compact"/>
            </w:pPr>
            <w:r>
              <w:t xml:space="preserve">Rely on the affidavit, subject to good faith (Q12).</w:t>
            </w:r>
          </w:p>
        </w:tc>
        <w:tc>
          <w:tcPr/>
          <w:p>
            <w:pPr>
              <w:pStyle w:val="Compact"/>
            </w:pPr>
            <w:r>
              <w:t xml:space="preserve">The law permits good-faith reliance with no duty to inquire (§ 13106(a)).</w:t>
            </w:r>
          </w:p>
        </w:tc>
      </w:tr>
      <w:tr>
        <w:tc>
          <w:tcPr/>
          <w:p>
            <w:pPr>
              <w:pStyle w:val="Compact"/>
            </w:pPr>
            <w:r>
              <w:t xml:space="preserve">Q5</w:t>
            </w:r>
          </w:p>
        </w:tc>
        <w:tc>
          <w:tcPr/>
          <w:p>
            <w:pPr>
              <w:pStyle w:val="Compact"/>
            </w:pPr>
            <w:r>
              <w:t xml:space="preserve">How can a surviving spouse or registered domestic partner collect a sole-name deposit account without the Path B affidavit? Should the engine accept a § 13656 court order?</w:t>
            </w:r>
          </w:p>
        </w:tc>
        <w:tc>
          <w:tcPr/>
          <w:p>
            <w:pPr>
              <w:pStyle w:val="Compact"/>
            </w:pPr>
            <w:r>
              <w:t xml:space="preserve">Law</w:t>
            </w:r>
          </w:p>
        </w:tc>
        <w:tc>
          <w:tcPr/>
          <w:p>
            <w:pPr>
              <w:pStyle w:val="Compact"/>
            </w:pPr>
            <w:r>
              <w:t xml:space="preserve">Path C</w:t>
            </w:r>
          </w:p>
        </w:tc>
        <w:tc>
          <w:tcPr/>
          <w:p>
            <w:pPr>
              <w:pStyle w:val="Compact"/>
            </w:pPr>
            <w:r>
              <w:t xml:space="preserve">Not determinable on spousal status alone. Optional route: pay per a certified final § 13656 order, if the attorney approves.</w:t>
            </w:r>
          </w:p>
        </w:tc>
        <w:tc>
          <w:tcPr/>
          <w:p>
            <w:pPr>
              <w:pStyle w:val="Compact"/>
            </w:pPr>
            <w:r>
              <w:t xml:space="preserve">No statute located gives the institution protection for paying on spousal status alone. § 13540 covers real property; § 13545 covers securities in the spouse's name; § 13600 covers employer wages. § 13656 orders can direct delivery, and § 13657 makes them conclusive. No holder-discharge provision was located for this route.</w:t>
            </w:r>
          </w:p>
        </w:tc>
      </w:tr>
      <w:tr>
        <w:tc>
          <w:tcPr/>
          <w:p>
            <w:pPr>
              <w:pStyle w:val="Compact"/>
            </w:pPr>
            <w:r>
              <w:t xml:space="preserve">Q6</w:t>
            </w:r>
          </w:p>
        </w:tc>
        <w:tc>
          <w:tcPr/>
          <w:p>
            <w:pPr>
              <w:pStyle w:val="Compact"/>
            </w:pPr>
            <w:r>
              <w:t xml:space="preserve">Joint accounts with two or more survivors: is "payable to any of the survivors" (</w:t>
            </w:r>
            <w:r>
              <w:rPr>
                <w:rStyle w:val="VerbatimChar"/>
              </w:rPr>
              <w:t xml:space="preserve">any_of</w:t>
            </w:r>
            <w:r>
              <w:t xml:space="preserve">) correct?</w:t>
            </w:r>
          </w:p>
        </w:tc>
        <w:tc>
          <w:tcPr/>
          <w:p>
            <w:pPr>
              <w:pStyle w:val="Compact"/>
            </w:pPr>
            <w:r>
              <w:t xml:space="preserve">Terms (Law to confirm)</w:t>
            </w:r>
          </w:p>
        </w:tc>
        <w:tc>
          <w:tcPr/>
          <w:p>
            <w:pPr>
              <w:pStyle w:val="Compact"/>
            </w:pPr>
            <w:r>
              <w:t xml:space="preserve">GS-CA-016</w:t>
            </w:r>
          </w:p>
        </w:tc>
        <w:tc>
          <w:tcPr/>
          <w:p>
            <w:pPr>
              <w:pStyle w:val="Compact"/>
            </w:pPr>
            <w:r>
              <w:rPr>
                <w:rStyle w:val="VerbatimChar"/>
              </w:rPr>
              <w:t xml:space="preserve">any_of</w:t>
            </w:r>
            <w:r>
              <w:t xml:space="preserve"> </w:t>
            </w:r>
            <w:r>
              <w:t xml:space="preserve">payment to all surviving parties.</w:t>
            </w:r>
          </w:p>
        </w:tc>
        <w:tc>
          <w:tcPr/>
          <w:p>
            <w:pPr>
              <w:pStyle w:val="Compact"/>
            </w:pPr>
            <w:r>
              <w:rPr>
                <w:b/>
                <w:bCs/>
              </w:rPr>
              <w:t xml:space="preserve">Supported.</w:t>
            </w:r>
            <w:r>
              <w:t xml:space="preserve"> </w:t>
            </w:r>
            <w:r>
              <w:t xml:space="preserve">§ 5401(a) "to any one or more of the parties"; § 5402; § 5405(a) protection;</w:t>
            </w:r>
            <w:r>
              <w:t xml:space="preserve"> </w:t>
            </w:r>
            <w:r>
              <w:rPr>
                <w:i/>
                <w:iCs/>
              </w:rPr>
              <w:t xml:space="preserve">Placencia</w:t>
            </w:r>
            <w:r>
              <w:t xml:space="preserve"> </w:t>
            </w:r>
            <w:r>
              <w:t xml:space="preserve">applies § 5405 to payment of a survivor per the terms. Caveats: § 5401(b) signature terms, § 5405(c) notice, and a proper party under § 5303.</w:t>
            </w:r>
          </w:p>
        </w:tc>
      </w:tr>
      <w:tr>
        <w:tc>
          <w:tcPr/>
          <w:p>
            <w:pPr>
              <w:pStyle w:val="Compact"/>
            </w:pPr>
            <w:r>
              <w:t xml:space="preserve">Q8</w:t>
            </w:r>
          </w:p>
        </w:tc>
        <w:tc>
          <w:tcPr/>
          <w:p>
            <w:pPr>
              <w:pStyle w:val="Compact"/>
            </w:pPr>
            <w:r>
              <w:t xml:space="preserve">What verification or delay beyond the statute may an institution policy impose on Path B without fee exposure under § 13105(b)?</w:t>
            </w:r>
          </w:p>
        </w:tc>
        <w:tc>
          <w:tcPr/>
          <w:p>
            <w:pPr>
              <w:pStyle w:val="Compact"/>
            </w:pPr>
            <w:r>
              <w:t xml:space="preserve">Policy (Law to confirm)</w:t>
            </w:r>
          </w:p>
        </w:tc>
        <w:tc>
          <w:tcPr/>
          <w:p>
            <w:pPr>
              <w:pStyle w:val="Compact"/>
            </w:pPr>
            <w:r>
              <w:t xml:space="preserve">Path B documents and policy limits</w:t>
            </w:r>
          </w:p>
        </w:tc>
        <w:tc>
          <w:tcPr/>
          <w:p>
            <w:pPr>
              <w:pStyle w:val="Compact"/>
            </w:pPr>
            <w:r>
              <w:t xml:space="preserve">Statutory documents only. Policy additions require a stated reason.</w:t>
            </w:r>
          </w:p>
        </w:tc>
        <w:tc>
          <w:tcPr/>
          <w:p>
            <w:pPr>
              <w:pStyle w:val="Compact"/>
            </w:pPr>
            <w:r>
              <w:t xml:space="preserve">§ 13105(b): the court "shall award reasonable attorney's fees" if the holder "acted unreasonably in refusing to pay". § 12572 extends this to sister-state personal representatives. Reasonable verification (letters, proof of appointment, a copy of the power of attorney) is likely defensible; blanket delays are risky.</w:t>
            </w:r>
          </w:p>
        </w:tc>
      </w:tr>
      <w:tr>
        <w:tc>
          <w:tcPr/>
          <w:p>
            <w:pPr>
              <w:pStyle w:val="Compact"/>
            </w:pPr>
            <w:r>
              <w:t xml:space="preserve">Q9</w:t>
            </w:r>
          </w:p>
        </w:tc>
        <w:tc>
          <w:tcPr/>
          <w:p>
            <w:pPr>
              <w:pStyle w:val="Compact"/>
            </w:pPr>
            <w:r>
              <w:t xml:space="preserve">Confirm every citation and quotation against the official code at leginfo.legislature.ca.gov.</w:t>
            </w:r>
          </w:p>
        </w:tc>
        <w:tc>
          <w:tcPr/>
          <w:p>
            <w:pPr>
              <w:pStyle w:val="Compact"/>
            </w:pPr>
            <w:r>
              <w:t xml:space="preserve">Law</w:t>
            </w:r>
          </w:p>
        </w:tc>
        <w:tc>
          <w:tcPr/>
          <w:p>
            <w:pPr>
              <w:pStyle w:val="Compact"/>
            </w:pPr>
            <w:r>
              <w:t xml:space="preserve">Approval of the whole spec</w:t>
            </w:r>
          </w:p>
        </w:tc>
        <w:tc>
          <w:tcPr/>
          <w:p>
            <w:pPr>
              <w:pStyle w:val="Compact"/>
            </w:pPr>
            <w:r>
              <w:t xml:space="preserve">—</w:t>
            </w:r>
          </w:p>
        </w:tc>
        <w:tc>
          <w:tcPr/>
          <w:p>
            <w:pPr>
              <w:pStyle w:val="Compact"/>
            </w:pPr>
            <w:r>
              <w:t xml:space="preserve">The automated research could not reach leginfo (HTTP 403); all text came from a mirror. Priority sections: §§ 13100, 13101, 13151 (AB 2016), 5302, 5405, 5040, 13105, 13106.</w:t>
            </w:r>
          </w:p>
        </w:tc>
      </w:tr>
      <w:tr>
        <w:tc>
          <w:tcPr/>
          <w:p>
            <w:pPr>
              <w:pStyle w:val="Compact"/>
            </w:pPr>
            <w:r>
              <w:t xml:space="preserve">Q10</w:t>
            </w:r>
          </w:p>
        </w:tc>
        <w:tc>
          <w:tcPr/>
          <w:p>
            <w:pPr>
              <w:pStyle w:val="Compact"/>
            </w:pPr>
            <w:r>
              <w:t xml:space="preserve">What survival standard applies to POD and Totten payees? Is a POD designation an "instrument" under § 21109? How close together may deaths be before a case becomes not determinable?</w:t>
            </w:r>
          </w:p>
        </w:tc>
        <w:tc>
          <w:tcPr/>
          <w:p>
            <w:pPr>
              <w:pStyle w:val="Compact"/>
            </w:pPr>
            <w:r>
              <w:t xml:space="preserve">Law</w:t>
            </w:r>
          </w:p>
        </w:tc>
        <w:tc>
          <w:tcPr/>
          <w:p>
            <w:pPr>
              <w:pStyle w:val="Compact"/>
            </w:pPr>
            <w:r>
              <w:t xml:space="preserve">Path A payees</w:t>
            </w:r>
          </w:p>
        </w:tc>
        <w:tc>
          <w:tcPr/>
          <w:p>
            <w:pPr>
              <w:pStyle w:val="Compact"/>
            </w:pPr>
            <w:r>
              <w:t xml:space="preserve">Not determinable when survival isn't shown by clear and convincing evidence, or the deaths are within 120 hours.</w:t>
            </w:r>
          </w:p>
        </w:tc>
        <w:tc>
          <w:tcPr/>
          <w:p>
            <w:pPr>
              <w:pStyle w:val="Compact"/>
            </w:pPr>
            <w:r>
              <w:t xml:space="preserve">§§ 220–223 require clear and convincing proof of survival. § 6403's 120-hour rule applies to intestate heirs. § 21109 covers at-death transfers; § 21104 excludes joint accounts.</w:t>
            </w:r>
          </w:p>
        </w:tc>
      </w:tr>
      <w:tr>
        <w:tc>
          <w:tcPr/>
          <w:p>
            <w:pPr>
              <w:pStyle w:val="Compact"/>
            </w:pPr>
            <w:r>
              <w:t xml:space="preserve">Q11</w:t>
            </w:r>
          </w:p>
        </w:tc>
        <w:tc>
          <w:tcPr/>
          <w:p>
            <w:pPr>
              <w:pStyle w:val="Compact"/>
            </w:pPr>
            <w:r>
              <w:t xml:space="preserve">A slayer notice under § 256 (written notice removes the institution's protection) versus § 5405(b) (only a court order removes it): which governs multiple-party accounts?</w:t>
            </w:r>
          </w:p>
        </w:tc>
        <w:tc>
          <w:tcPr/>
          <w:p>
            <w:pPr>
              <w:pStyle w:val="Compact"/>
            </w:pPr>
            <w:r>
              <w:t xml:space="preserve">Law</w:t>
            </w:r>
          </w:p>
        </w:tc>
        <w:tc>
          <w:tcPr/>
          <w:p>
            <w:pPr>
              <w:pStyle w:val="Compact"/>
            </w:pPr>
            <w:r>
              <w:t xml:space="preserve">Path A protection</w:t>
            </w:r>
          </w:p>
        </w:tc>
        <w:tc>
          <w:tcPr/>
          <w:p>
            <w:pPr>
              <w:pStyle w:val="Compact"/>
            </w:pPr>
            <w:r>
              <w:t xml:space="preserve">Treat a § 256 notice as not determinable.</w:t>
            </w:r>
          </w:p>
        </w:tc>
        <w:tc>
          <w:tcPr/>
          <w:p>
            <w:pPr>
              <w:pStyle w:val="Compact"/>
            </w:pPr>
            <w:r>
              <w:t xml:space="preserve">Both statutes were confirmed; no case reconciling them was located (Risk R42).</w:t>
            </w:r>
          </w:p>
        </w:tc>
      </w:tr>
      <w:tr>
        <w:tc>
          <w:tcPr/>
          <w:p>
            <w:pPr>
              <w:pStyle w:val="Compact"/>
            </w:pPr>
            <w:r>
              <w:t xml:space="preserve">Q12</w:t>
            </w:r>
          </w:p>
        </w:tc>
        <w:tc>
          <w:tcPr/>
          <w:p>
            <w:pPr>
              <w:pStyle w:val="Compact"/>
            </w:pPr>
            <w:r>
              <w:t xml:space="preserve">Does</w:t>
            </w:r>
            <w:r>
              <w:t xml:space="preserve"> </w:t>
            </w:r>
            <w:r>
              <w:rPr>
                <w:i/>
                <w:iCs/>
              </w:rPr>
              <w:t xml:space="preserve">Mautner</w:t>
            </w:r>
            <w:r>
              <w:t xml:space="preserve">'s rule (notice of a superior claim plus a hold request before the affidavit removes immunity) apply to today's § 13106 "good faith" reliance? What notice should make Path B not determinable? Is Fin. Code § 6661 still operative?</w:t>
            </w:r>
          </w:p>
        </w:tc>
        <w:tc>
          <w:tcPr/>
          <w:p>
            <w:pPr>
              <w:pStyle w:val="Compact"/>
            </w:pPr>
            <w:r>
              <w:t xml:space="preserve">Law</w:t>
            </w:r>
          </w:p>
        </w:tc>
        <w:tc>
          <w:tcPr/>
          <w:p>
            <w:pPr>
              <w:pStyle w:val="Compact"/>
            </w:pPr>
            <w:r>
              <w:t xml:space="preserve">Path B protection</w:t>
            </w:r>
          </w:p>
        </w:tc>
        <w:tc>
          <w:tcPr/>
          <w:p>
            <w:pPr>
              <w:pStyle w:val="Compact"/>
            </w:pPr>
            <w:r>
              <w:t xml:space="preserve">Any written competing claim, hold request, adverse-claim affidavit, or court order before payment makes the case not determinable.</w:t>
            </w:r>
          </w:p>
        </w:tc>
        <w:tc>
          <w:tcPr/>
          <w:p>
            <w:pPr>
              <w:pStyle w:val="Compact"/>
            </w:pPr>
            <w:r>
              <w:rPr>
                <w:i/>
                <w:iCs/>
              </w:rPr>
              <w:t xml:space="preserve">Mautner v. Peralta</w:t>
            </w:r>
            <w:r>
              <w:t xml:space="preserve"> </w:t>
            </w:r>
            <w:r>
              <w:t xml:space="preserve">(1989) construed the predecessor statute. § 13106(a) now requires good faith. Fin. Code § 1450(d): the multiple-party accounts law "does not limit" the adverse-claim rules.</w:t>
            </w:r>
          </w:p>
        </w:tc>
      </w:tr>
      <w:tr>
        <w:tc>
          <w:tcPr/>
          <w:p>
            <w:pPr>
              <w:pStyle w:val="Compact"/>
            </w:pPr>
            <w:r>
              <w:t xml:space="preserve">Q13</w:t>
            </w:r>
          </w:p>
        </w:tc>
        <w:tc>
          <w:tcPr/>
          <w:p>
            <w:pPr>
              <w:pStyle w:val="Compact"/>
            </w:pPr>
            <w:r>
              <w:t xml:space="preserve">Does a bank holding a Medi-Cal recipient's account have a § 215 duty to notify DHCS as "the person in possession of property of the decedent"?</w:t>
            </w:r>
          </w:p>
        </w:tc>
        <w:tc>
          <w:tcPr/>
          <w:p>
            <w:pPr>
              <w:pStyle w:val="Compact"/>
            </w:pPr>
            <w:r>
              <w:t xml:space="preserve">Law</w:t>
            </w:r>
          </w:p>
        </w:tc>
        <w:tc>
          <w:tcPr/>
          <w:p>
            <w:pPr>
              <w:pStyle w:val="Compact"/>
            </w:pPr>
            <w:r>
              <w:t xml:space="preserve">Process notes</w:t>
            </w:r>
          </w:p>
        </w:tc>
        <w:tc>
          <w:tcPr/>
          <w:p>
            <w:pPr>
              <w:pStyle w:val="Compact"/>
            </w:pPr>
            <w:r>
              <w:t xml:space="preserve">No engine duty; add an informational note to the decision record.</w:t>
            </w:r>
          </w:p>
        </w:tc>
        <w:tc>
          <w:tcPr/>
          <w:p>
            <w:pPr>
              <w:pStyle w:val="Compact"/>
            </w:pPr>
            <w:r>
              <w:t xml:space="preserve">§ 215 requires notice within 90 days. W&amp;I § 14009.5 limits recovery to the probate estate for deaths from 2017. Whether a depository is a "person in possession" is uncertain.</w:t>
            </w:r>
          </w:p>
        </w:tc>
      </w:tr>
      <w:tr>
        <w:tc>
          <w:tcPr/>
          <w:p>
            <w:pPr>
              <w:pStyle w:val="Compact"/>
            </w:pPr>
            <w:r>
              <w:t xml:space="preserve">Q14</w:t>
            </w:r>
          </w:p>
        </w:tc>
        <w:tc>
          <w:tcPr/>
          <w:p>
            <w:pPr>
              <w:pStyle w:val="Compact"/>
            </w:pPr>
            <w:r>
              <w:t xml:space="preserve">Which state's law governs: the decedent's domicile, the account office, the deposit agreement's chosen law, or the institution's charter state? Does the institution's discharge follow "the law of the state where it does business"?</w:t>
            </w:r>
          </w:p>
        </w:tc>
        <w:tc>
          <w:tcPr/>
          <w:p>
            <w:pPr>
              <w:pStyle w:val="Compact"/>
            </w:pPr>
            <w:r>
              <w:t xml:space="preserve">Law</w:t>
            </w:r>
          </w:p>
        </w:tc>
        <w:tc>
          <w:tcPr/>
          <w:p>
            <w:pPr>
              <w:pStyle w:val="Compact"/>
            </w:pPr>
            <w:r>
              <w:t xml:space="preserve">All paths</w:t>
            </w:r>
          </w:p>
        </w:tc>
        <w:tc>
          <w:tcPr/>
          <w:p>
            <w:pPr>
              <w:pStyle w:val="Compact"/>
            </w:pPr>
            <w:r>
              <w:t xml:space="preserve">Not determinable whenever these point to different states.</w:t>
            </w:r>
          </w:p>
        </w:tc>
        <w:tc>
          <w:tcPr/>
          <w:p>
            <w:pPr>
              <w:pStyle w:val="Compact"/>
            </w:pPr>
            <w:r>
              <w:t xml:space="preserve">Civ. Code § 946 (personal property follows the owner's domicile);</w:t>
            </w:r>
            <w:r>
              <w:t xml:space="preserve"> </w:t>
            </w:r>
            <w:r>
              <w:rPr>
                <w:i/>
                <w:iCs/>
              </w:rPr>
              <w:t xml:space="preserve">Anderson Nat'l Bank v. Luckett</w:t>
            </w:r>
            <w:r>
              <w:t xml:space="preserve">, 321 U.S. 233 (1944); 12 CFR § 7.4007(c) (Risk R1, R37–R39).</w:t>
            </w:r>
          </w:p>
        </w:tc>
      </w:tr>
      <w:tr>
        <w:tc>
          <w:tcPr/>
          <w:p>
            <w:pPr>
              <w:pStyle w:val="Compact"/>
            </w:pPr>
            <w:r>
              <w:t xml:space="preserve">Q15</w:t>
            </w:r>
          </w:p>
        </w:tc>
        <w:tc>
          <w:tcPr/>
          <w:p>
            <w:pPr>
              <w:pStyle w:val="Compact"/>
            </w:pPr>
            <w:r>
              <w:t xml:space="preserve">How should federal overlays be handled: Treasury reclamation of benefits paid after death, IRS levies, OFAC screening, and transfer certificates for nonresident non-citizens?</w:t>
            </w:r>
          </w:p>
        </w:tc>
        <w:tc>
          <w:tcPr/>
          <w:p>
            <w:pPr>
              <w:pStyle w:val="Compact"/>
            </w:pPr>
            <w:r>
              <w:t xml:space="preserve">Law + Policy</w:t>
            </w:r>
          </w:p>
        </w:tc>
        <w:tc>
          <w:tcPr/>
          <w:p>
            <w:pPr>
              <w:pStyle w:val="Compact"/>
            </w:pPr>
            <w:r>
              <w:t xml:space="preserve">Every determined decision</w:t>
            </w:r>
          </w:p>
        </w:tc>
        <w:tc>
          <w:tcPr/>
          <w:p>
            <w:pPr>
              <w:pStyle w:val="Compact"/>
            </w:pPr>
            <w:r>
              <w:t xml:space="preserve">List them as institution pre-payment checks. Post-death federal credits or a reclamation notice make the case not determinable.</w:t>
            </w:r>
          </w:p>
        </w:tc>
        <w:tc>
          <w:tcPr/>
          <w:p>
            <w:pPr>
              <w:pStyle w:val="Compact"/>
            </w:pPr>
            <w:r>
              <w:t xml:space="preserve">31 CFR § 210.10(a) (the bank is liable for "all benefit payments received after the death"); 26 U.S.C. § 6332; 31 CFR Chapter V; 26 CFR § 20.6325-1 (Risk R2, R8, R10, R11).</w:t>
            </w:r>
          </w:p>
        </w:tc>
      </w:tr>
    </w:tbl>
    <w:bookmarkEnd w:id="22"/>
    <w:bookmarkStart w:id="23" w:name="resolved"/>
    <w:p>
      <w:pPr>
        <w:pStyle w:val="Heading2"/>
      </w:pPr>
      <w:r>
        <w:t xml:space="preserve">Resolved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Decision</w:t>
            </w:r>
          </w:p>
        </w:tc>
        <w:tc>
          <w:tcPr/>
          <w:p>
            <w:pPr>
              <w:pStyle w:val="Compact"/>
            </w:pPr>
            <w:r>
              <w:t xml:space="preserve">By</w:t>
            </w:r>
          </w:p>
        </w:tc>
        <w:tc>
          <w:tcPr/>
          <w:p>
            <w:pPr>
              <w:pStyle w:val="Compact"/>
            </w:pPr>
            <w:r>
              <w:t xml:space="preserve">Date</w:t>
            </w:r>
          </w:p>
        </w:tc>
      </w:tr>
      <w:tr>
        <w:tc>
          <w:tcPr/>
          <w:p>
            <w:pPr>
              <w:pStyle w:val="Compact"/>
            </w:pPr>
            <w:r>
              <w:t xml:space="preserve">Q1</w:t>
            </w:r>
          </w:p>
        </w:tc>
        <w:tc>
          <w:tcPr/>
          <w:p>
            <w:pPr>
              <w:pStyle w:val="Compact"/>
            </w:pPr>
            <w:r>
              <w:t xml:space="preserve">Coverage begins with deaths on 2022-04-01. Earlier deaths are not determinable.</w:t>
            </w:r>
          </w:p>
        </w:tc>
        <w:tc>
          <w:tcPr/>
          <w:p>
            <w:pPr>
              <w:pStyle w:val="Compact"/>
            </w:pPr>
            <w:r>
              <w:t xml:space="preserve">Owner</w:t>
            </w:r>
          </w:p>
        </w:tc>
        <w:tc>
          <w:tcPr/>
          <w:p>
            <w:pPr>
              <w:pStyle w:val="Compact"/>
            </w:pPr>
            <w:r>
              <w:t xml:space="preserve">2026-10-07</w:t>
            </w:r>
          </w:p>
        </w:tc>
      </w:tr>
      <w:tr>
        <w:tc>
          <w:tcPr/>
          <w:p>
            <w:pPr>
              <w:pStyle w:val="Compact"/>
            </w:pPr>
            <w:r>
              <w:t xml:space="preserve">Q7</w:t>
            </w:r>
          </w:p>
        </w:tc>
        <w:tc>
          <w:tcPr/>
          <w:p>
            <w:pPr>
              <w:pStyle w:val="Compact"/>
            </w:pPr>
            <w:r>
              <w:t xml:space="preserve">Totten trust accounts are in v1 (Path A, §§ 5302(c), 5404).</w:t>
            </w:r>
          </w:p>
        </w:tc>
        <w:tc>
          <w:tcPr/>
          <w:p>
            <w:pPr>
              <w:pStyle w:val="Compact"/>
            </w:pPr>
            <w:r>
              <w:t xml:space="preserve">Owner</w:t>
            </w:r>
          </w:p>
        </w:tc>
        <w:tc>
          <w:tcPr/>
          <w:p>
            <w:pPr>
              <w:pStyle w:val="Compact"/>
            </w:pPr>
            <w:r>
              <w:t xml:space="preserve">2026-10-07</w:t>
            </w:r>
          </w:p>
        </w:tc>
      </w:tr>
    </w:tbl>
    <w:p>
      <w:r>
        <w:br w:type="page"/>
      </w:r>
    </w:p>
    <w:bookmarkEnd w:id="23"/>
    <w:bookmarkEnd w:id="24"/>
    <w:bookmarkStart w:id="27" w:name="california-sources"/>
    <w:p>
      <w:pPr>
        <w:pStyle w:val="Heading1"/>
      </w:pPr>
      <w:r>
        <w:t xml:space="preserve">California: sources</w:t>
      </w:r>
    </w:p>
    <w:p>
      <w:pPr>
        <w:pStyle w:val="FirstParagraph"/>
      </w:pPr>
      <w:r>
        <w:t xml:space="preserve">Retrieved 2026-10-07; extended 2026-10-09 for v0.2. The official site (leginfo.legislature.ca.gov) blocked automated fetching, so statute text was read from the california.public.law mirror. That mirror cites leginfo as its source and marked these sections verified on Oct. 5, 2026.</w:t>
      </w:r>
      <w:r>
        <w:t xml:space="preserve"> </w:t>
      </w:r>
      <w:r>
        <w:rPr>
          <w:b/>
          <w:bCs/>
        </w:rPr>
        <w:t xml:space="preserve">Confirm every section against leginfo before approval (Q9).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Used for</w:t>
            </w:r>
          </w:p>
        </w:tc>
        <w:tc>
          <w:tcPr/>
          <w:p>
            <w:pPr>
              <w:pStyle w:val="Compact"/>
            </w:pPr>
            <w:r>
              <w:t xml:space="preserve">Mirror's "updated" date</w:t>
            </w:r>
          </w:p>
        </w:tc>
      </w:tr>
      <w:tr>
        <w:tc>
          <w:tcPr/>
          <w:p>
            <w:pPr>
              <w:pStyle w:val="Compact"/>
            </w:pPr>
            <w:hyperlink r:id="rId25">
              <w:r>
                <w:rPr>
                  <w:rStyle w:val="Hyperlink"/>
                </w:rPr>
                <w:t xml:space="preserve">Judicial Council: Maximum Amounts for Determining Eligibility for Summary Succession Procedures</w:t>
              </w:r>
            </w:hyperlink>
            <w:r>
              <w:t xml:space="preserve"> </w:t>
            </w:r>
            <w:r>
              <w:t xml:space="preserve">(official; SHA-256</w:t>
            </w:r>
            <w:r>
              <w:t xml:space="preserve"> </w:t>
            </w:r>
            <w:r>
              <w:rPr>
                <w:rStyle w:val="VerbatimChar"/>
              </w:rPr>
              <w:t xml:space="preserve">cb30e97d3b4322512bcd3a5cda8eff5eb3de26c66a0473d9a15295e076eedf56</w:t>
            </w:r>
            <w:r>
              <w:t xml:space="preserve">)</w:t>
            </w:r>
          </w:p>
        </w:tc>
        <w:tc>
          <w:tcPr/>
          <w:p>
            <w:pPr>
              <w:pStyle w:val="Compact"/>
            </w:pPr>
            <w:r>
              <w:t xml:space="preserve">§ 13100/13101 limits by date of death; next adjustment 2028-04-01</w:t>
            </w:r>
          </w:p>
        </w:tc>
        <w:tc>
          <w:tcPr/>
          <w:p>
            <w:pPr>
              <w:pStyle w:val="Compact"/>
            </w:pPr>
            <w:r>
              <w:t xml:space="preserve">n/a</w:t>
            </w:r>
          </w:p>
        </w:tc>
      </w:tr>
      <w:tr>
        <w:tc>
          <w:tcPr/>
          <w:p>
            <w:pPr>
              <w:pStyle w:val="Compact"/>
            </w:pPr>
            <w:r>
              <w:t xml:space="preserve">Prob. Code § 890</w:t>
            </w:r>
          </w:p>
        </w:tc>
        <w:tc>
          <w:tcPr/>
          <w:p>
            <w:pPr>
              <w:pStyle w:val="Compact"/>
            </w:pPr>
            <w:r>
              <w:t xml:space="preserve">Adjustment rules; no retroactive effect (§ 890(d))</w:t>
            </w:r>
          </w:p>
        </w:tc>
        <w:tc>
          <w:tcPr/>
          <w:p>
            <w:pPr>
              <w:pStyle w:val="Compact"/>
            </w:pPr>
            <w:r>
              <w:t xml:space="preserve">2020-01-01</w:t>
            </w:r>
          </w:p>
        </w:tc>
      </w:tr>
      <w:tr>
        <w:tc>
          <w:tcPr/>
          <w:p>
            <w:pPr>
              <w:pStyle w:val="Compact"/>
            </w:pPr>
            <w:r>
              <w:t xml:space="preserve">Prob. Code § 13006</w:t>
            </w:r>
          </w:p>
        </w:tc>
        <w:tc>
          <w:tcPr/>
          <w:p>
            <w:pPr>
              <w:pStyle w:val="Compact"/>
            </w:pPr>
            <w:r>
              <w:t xml:space="preserve">Successor of the decedent</w:t>
            </w:r>
          </w:p>
        </w:tc>
        <w:tc>
          <w:tcPr/>
          <w:p>
            <w:pPr>
              <w:pStyle w:val="Compact"/>
            </w:pPr>
            <w:r>
              <w:t xml:space="preserve">1991-01-01</w:t>
            </w:r>
          </w:p>
        </w:tc>
      </w:tr>
      <w:tr>
        <w:tc>
          <w:tcPr/>
          <w:p>
            <w:pPr>
              <w:pStyle w:val="Compact"/>
            </w:pPr>
            <w:r>
              <w:t xml:space="preserve">Prob. Code § 13050</w:t>
            </w:r>
          </w:p>
        </w:tc>
        <w:tc>
          <w:tcPr/>
          <w:p>
            <w:pPr>
              <w:pStyle w:val="Compact"/>
            </w:pPr>
            <w:r>
              <w:t xml:space="preserve">Property excluded from the value</w:t>
            </w:r>
          </w:p>
        </w:tc>
        <w:tc>
          <w:tcPr/>
          <w:p>
            <w:pPr>
              <w:pStyle w:val="Compact"/>
            </w:pPr>
            <w:r>
              <w:t xml:space="preserve">2020-01-01</w:t>
            </w:r>
          </w:p>
        </w:tc>
      </w:tr>
      <w:tr>
        <w:tc>
          <w:tcPr/>
          <w:p>
            <w:pPr>
              <w:pStyle w:val="Compact"/>
            </w:pPr>
            <w:r>
              <w:t xml:space="preserve">Prob. Code § 13051</w:t>
            </w:r>
          </w:p>
        </w:tc>
        <w:tc>
          <w:tcPr/>
          <w:p>
            <w:pPr>
              <w:pStyle w:val="Compact"/>
            </w:pPr>
            <w:r>
              <w:t xml:space="preserve">Representatives who may act for a successor</w:t>
            </w:r>
          </w:p>
        </w:tc>
        <w:tc>
          <w:tcPr/>
          <w:p>
            <w:pPr>
              <w:pStyle w:val="Compact"/>
            </w:pPr>
            <w:r>
              <w:t xml:space="preserve">1991-01-01</w:t>
            </w:r>
          </w:p>
        </w:tc>
      </w:tr>
      <w:tr>
        <w:tc>
          <w:tcPr/>
          <w:p>
            <w:pPr>
              <w:pStyle w:val="Compact"/>
            </w:pPr>
            <w:r>
              <w:t xml:space="preserve">Prob. Code §§ 13100, 13101</w:t>
            </w:r>
          </w:p>
        </w:tc>
        <w:tc>
          <w:tcPr/>
          <w:p>
            <w:pPr>
              <w:pStyle w:val="Compact"/>
            </w:pPr>
            <w:r>
              <w:t xml:space="preserve">Eligibility; affidavit contents and documents</w:t>
            </w:r>
          </w:p>
        </w:tc>
        <w:tc>
          <w:tcPr/>
          <w:p>
            <w:pPr>
              <w:pStyle w:val="Compact"/>
            </w:pPr>
            <w:r>
              <w:t xml:space="preserve">2025-01-01</w:t>
            </w:r>
          </w:p>
        </w:tc>
      </w:tr>
      <w:tr>
        <w:tc>
          <w:tcPr/>
          <w:p>
            <w:pPr>
              <w:pStyle w:val="Compact"/>
            </w:pPr>
            <w:r>
              <w:t xml:space="preserve">Prob. Code § 13100.5</w:t>
            </w:r>
          </w:p>
        </w:tc>
        <w:tc>
          <w:tcPr/>
          <w:p>
            <w:pPr>
              <w:pStyle w:val="Compact"/>
            </w:pPr>
            <w:r>
              <w:t xml:space="preserve">Chapter definitions</w:t>
            </w:r>
          </w:p>
        </w:tc>
        <w:tc>
          <w:tcPr/>
          <w:p>
            <w:pPr>
              <w:pStyle w:val="Compact"/>
            </w:pPr>
            <w:r>
              <w:t xml:space="preserve">2023-01-01</w:t>
            </w:r>
          </w:p>
        </w:tc>
      </w:tr>
      <w:tr>
        <w:tc>
          <w:tcPr/>
          <w:p>
            <w:pPr>
              <w:pStyle w:val="Compact"/>
            </w:pPr>
            <w:r>
              <w:t xml:space="preserve">Prob. Code §§ 13102–13106</w:t>
            </w:r>
          </w:p>
        </w:tc>
        <w:tc>
          <w:tcPr/>
          <w:p>
            <w:pPr>
              <w:pStyle w:val="Compact"/>
            </w:pPr>
            <w:r>
              <w:t xml:space="preserve">Evidence of ownership, real property, identity, entitlement, protection</w:t>
            </w:r>
          </w:p>
        </w:tc>
        <w:tc>
          <w:tcPr/>
          <w:p>
            <w:pPr>
              <w:pStyle w:val="Compact"/>
            </w:pPr>
            <w:r>
              <w:t xml:space="preserve">1990-01-01</w:t>
            </w:r>
          </w:p>
        </w:tc>
      </w:tr>
      <w:tr>
        <w:tc>
          <w:tcPr/>
          <w:p>
            <w:pPr>
              <w:pStyle w:val="Compact"/>
            </w:pPr>
            <w:r>
              <w:t xml:space="preserve">Prob. Code § 13500</w:t>
            </w:r>
          </w:p>
        </w:tc>
        <w:tc>
          <w:tcPr/>
          <w:p>
            <w:pPr>
              <w:pStyle w:val="Compact"/>
            </w:pPr>
            <w:r>
              <w:t xml:space="preserve">Surviving spouse, no administration</w:t>
            </w:r>
          </w:p>
        </w:tc>
        <w:tc>
          <w:tcPr/>
          <w:p>
            <w:pPr>
              <w:pStyle w:val="Compact"/>
            </w:pPr>
            <w:r>
              <w:t xml:space="preserve">2017-01-01</w:t>
            </w:r>
          </w:p>
        </w:tc>
      </w:tr>
      <w:tr>
        <w:tc>
          <w:tcPr/>
          <w:p>
            <w:pPr>
              <w:pStyle w:val="Compact"/>
            </w:pPr>
            <w:r>
              <w:t xml:space="preserve">Prob. Code § 13540</w:t>
            </w:r>
          </w:p>
        </w:tc>
        <w:tc>
          <w:tcPr/>
          <w:p>
            <w:pPr>
              <w:pStyle w:val="Compact"/>
            </w:pPr>
            <w:r>
              <w:t xml:space="preserve">Surviving spouse, real property</w:t>
            </w:r>
          </w:p>
        </w:tc>
        <w:tc>
          <w:tcPr/>
          <w:p>
            <w:pPr>
              <w:pStyle w:val="Compact"/>
            </w:pPr>
            <w:r>
              <w:t xml:space="preserve">1995-01-01</w:t>
            </w:r>
          </w:p>
        </w:tc>
      </w:tr>
      <w:tr>
        <w:tc>
          <w:tcPr/>
          <w:p>
            <w:pPr>
              <w:pStyle w:val="Compact"/>
            </w:pPr>
            <w:r>
              <w:t xml:space="preserve">Prob. Code § 5040</w:t>
            </w:r>
          </w:p>
        </w:tc>
        <w:tc>
          <w:tcPr/>
          <w:p>
            <w:pPr>
              <w:pStyle w:val="Compact"/>
            </w:pPr>
            <w:r>
              <w:t xml:space="preserve">Nonprobate transfer to former spouse</w:t>
            </w:r>
          </w:p>
        </w:tc>
        <w:tc>
          <w:tcPr/>
          <w:p>
            <w:pPr>
              <w:pStyle w:val="Compact"/>
            </w:pPr>
            <w:r>
              <w:t xml:space="preserve">2017-01-01</w:t>
            </w:r>
          </w:p>
        </w:tc>
      </w:tr>
      <w:tr>
        <w:tc>
          <w:tcPr/>
          <w:p>
            <w:pPr>
              <w:pStyle w:val="Compact"/>
            </w:pPr>
            <w:r>
              <w:t xml:space="preserve">Prob. Code § 5302</w:t>
            </w:r>
          </w:p>
        </w:tc>
        <w:tc>
          <w:tcPr/>
          <w:p>
            <w:pPr>
              <w:pStyle w:val="Compact"/>
            </w:pPr>
            <w:r>
              <w:t xml:space="preserve">Ownership of multiple-party accounts at death</w:t>
            </w:r>
          </w:p>
        </w:tc>
        <w:tc>
          <w:tcPr/>
          <w:p>
            <w:pPr>
              <w:pStyle w:val="Compact"/>
            </w:pPr>
            <w:r>
              <w:t xml:space="preserve">2016-01-01</w:t>
            </w:r>
          </w:p>
        </w:tc>
      </w:tr>
      <w:tr>
        <w:tc>
          <w:tcPr/>
          <w:p>
            <w:pPr>
              <w:pStyle w:val="Compact"/>
            </w:pPr>
            <w:r>
              <w:t xml:space="preserve">Prob. Code § 5401</w:t>
            </w:r>
          </w:p>
        </w:tc>
        <w:tc>
          <w:tcPr/>
          <w:p>
            <w:pPr>
              <w:pStyle w:val="Compact"/>
            </w:pPr>
            <w:r>
              <w:t xml:space="preserve">Payment of multiple-party accounts</w:t>
            </w:r>
          </w:p>
        </w:tc>
        <w:tc>
          <w:tcPr/>
          <w:p>
            <w:pPr>
              <w:pStyle w:val="Compact"/>
            </w:pPr>
            <w:r>
              <w:t xml:space="preserve">2013-01-01</w:t>
            </w:r>
          </w:p>
        </w:tc>
      </w:tr>
      <w:tr>
        <w:tc>
          <w:tcPr/>
          <w:p>
            <w:pPr>
              <w:pStyle w:val="Compact"/>
            </w:pPr>
            <w:r>
              <w:t xml:space="preserve">Prob. Code §§ 5402–5405</w:t>
            </w:r>
          </w:p>
        </w:tc>
        <w:tc>
          <w:tcPr/>
          <w:p>
            <w:pPr>
              <w:pStyle w:val="Compact"/>
            </w:pPr>
            <w:r>
              <w:t xml:space="preserve">Payment on death; institution protection</w:t>
            </w:r>
          </w:p>
        </w:tc>
        <w:tc>
          <w:tcPr/>
          <w:p>
            <w:pPr>
              <w:pStyle w:val="Compact"/>
            </w:pPr>
            <w:r>
              <w:t xml:space="preserve">1990-01-01</w:t>
            </w:r>
          </w:p>
        </w:tc>
      </w:tr>
      <w:tr>
        <w:tc>
          <w:tcPr/>
          <w:p>
            <w:pPr>
              <w:pStyle w:val="Compact"/>
            </w:pPr>
            <w:r>
              <w:t xml:space="preserve">Prob. Code §§ 6401, 6402</w:t>
            </w:r>
          </w:p>
        </w:tc>
        <w:tc>
          <w:tcPr/>
          <w:p>
            <w:pPr>
              <w:pStyle w:val="Compact"/>
            </w:pPr>
            <w:r>
              <w:t xml:space="preserve">Intestate shares (reference only)</w:t>
            </w:r>
          </w:p>
        </w:tc>
        <w:tc>
          <w:tcPr/>
          <w:p>
            <w:pPr>
              <w:pStyle w:val="Compact"/>
            </w:pPr>
            <w:r>
              <w:t xml:space="preserve">2015-01-01</w:t>
            </w:r>
          </w:p>
        </w:tc>
      </w:tr>
    </w:tbl>
    <w:p>
      <w:pPr>
        <w:pStyle w:val="BodyText"/>
      </w:pPr>
      <w:r>
        <w:t xml:space="preserve">Mirror URLs follow the pattern</w:t>
      </w:r>
      <w:r>
        <w:t xml:space="preserve"> </w:t>
      </w:r>
      <w:r>
        <w:rPr>
          <w:rStyle w:val="VerbatimChar"/>
        </w:rPr>
        <w:t xml:space="preserve">https://california.public.law/codes/probate_code_section_&lt;n&gt;</w:t>
      </w:r>
      <w:r>
        <w:t xml:space="preserve">.</w:t>
      </w:r>
    </w:p>
    <w:bookmarkStart w:id="26" w:name="X5700494f8515d044bdf009eb2c72dd2f0e36c80"/>
    <w:p>
      <w:pPr>
        <w:pStyle w:val="Heading2"/>
      </w:pPr>
      <w:r>
        <w:t xml:space="preserve">Added in v0.2 (from the legal research review, 2026-10-09)</w:t>
      </w:r>
    </w:p>
    <w:p>
      <w:pPr>
        <w:pStyle w:val="FirstParagraph"/>
      </w:pPr>
      <w:r>
        <w:t xml:space="preserve">Statute text was read on the same mirror. Quotes and URLs for each are in Part 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Used for</w:t>
            </w:r>
          </w:p>
        </w:tc>
      </w:tr>
      <w:tr>
        <w:tc>
          <w:tcPr/>
          <w:p>
            <w:pPr>
              <w:pStyle w:val="Compact"/>
            </w:pPr>
            <w:r>
              <w:t xml:space="preserve">Prob. Code §§ 5144, 5201, 5303, 5306, 5307, 5406, 5407</w:t>
            </w:r>
          </w:p>
        </w:tc>
        <w:tc>
          <w:tcPr/>
          <w:p>
            <w:pPr>
              <w:pStyle w:val="Compact"/>
            </w:pPr>
            <w:r>
              <w:t xml:space="preserve">Proof of death; payment versus ownership; changing account terms; tenancy-in-common and community-property accounts; "in trust for" accounts; minor payees</w:t>
            </w:r>
          </w:p>
        </w:tc>
      </w:tr>
      <w:tr>
        <w:tc>
          <w:tcPr/>
          <w:p>
            <w:pPr>
              <w:pStyle w:val="Compact"/>
            </w:pPr>
            <w:r>
              <w:t xml:space="preserve">Prob. Code §§ 5048, 220–223, 6403, 21104, 21109</w:t>
            </w:r>
          </w:p>
        </w:tc>
        <w:tc>
          <w:tcPr/>
          <w:p>
            <w:pPr>
              <w:pStyle w:val="Compact"/>
            </w:pPr>
            <w:r>
              <w:t xml:space="preserve">Pre-2002 dissolutions; survival proof and simultaneous death</w:t>
            </w:r>
          </w:p>
        </w:tc>
      </w:tr>
      <w:tr>
        <w:tc>
          <w:tcPr/>
          <w:p>
            <w:pPr>
              <w:pStyle w:val="Compact"/>
            </w:pPr>
            <w:r>
              <w:t xml:space="preserve">Prob. Code §§ 250–256, 259</w:t>
            </w:r>
          </w:p>
        </w:tc>
        <w:tc>
          <w:tcPr/>
          <w:p>
            <w:pPr>
              <w:pStyle w:val="Compact"/>
            </w:pPr>
            <w:r>
              <w:t xml:space="preserve">Slayer and elder-abuse rules; institution notice</w:t>
            </w:r>
          </w:p>
        </w:tc>
      </w:tr>
      <w:tr>
        <w:tc>
          <w:tcPr/>
          <w:p>
            <w:pPr>
              <w:pStyle w:val="Compact"/>
            </w:pPr>
            <w:r>
              <w:t xml:space="preserve">Prob. Code §§ 12570–12573</w:t>
            </w:r>
          </w:p>
        </w:tc>
        <w:tc>
          <w:tcPr/>
          <w:p>
            <w:pPr>
              <w:pStyle w:val="Compact"/>
            </w:pPr>
            <w:r>
              <w:t xml:space="preserve">Sister-state personal representatives using the affidavit</w:t>
            </w:r>
          </w:p>
        </w:tc>
      </w:tr>
      <w:tr>
        <w:tc>
          <w:tcPr/>
          <w:p>
            <w:pPr>
              <w:pStyle w:val="Compact"/>
            </w:pPr>
            <w:r>
              <w:t xml:space="preserve">Prob. Code §§ 13104(f), 13108, 13109–13111, 13114–13116, 13151</w:t>
            </w:r>
          </w:p>
        </w:tc>
        <w:tc>
          <w:tcPr/>
          <w:p>
            <w:pPr>
              <w:pStyle w:val="Compact"/>
            </w:pPr>
            <w:r>
              <w:t xml:space="preserve">Identity notation; later administration; transferee liability; scope; primary-residence petitions</w:t>
            </w:r>
          </w:p>
        </w:tc>
      </w:tr>
      <w:tr>
        <w:tc>
          <w:tcPr/>
          <w:p>
            <w:pPr>
              <w:pStyle w:val="Compact"/>
            </w:pPr>
            <w:r>
              <w:t xml:space="preserve">Prob. Code §§ 13501–13502, 13545, 13600, 13650–13657</w:t>
            </w:r>
          </w:p>
        </w:tc>
        <w:tc>
          <w:tcPr/>
          <w:p>
            <w:pPr>
              <w:pStyle w:val="Compact"/>
            </w:pPr>
            <w:r>
              <w:t xml:space="preserve">Surviving spouse routes (Path C)</w:t>
            </w:r>
          </w:p>
        </w:tc>
      </w:tr>
      <w:tr>
        <w:tc>
          <w:tcPr/>
          <w:p>
            <w:pPr>
              <w:pStyle w:val="Compact"/>
            </w:pPr>
            <w:r>
              <w:t xml:space="preserve">Prob. Code § 215; Welf. &amp; Inst. Code § 14009.5</w:t>
            </w:r>
          </w:p>
        </w:tc>
        <w:tc>
          <w:tcPr/>
          <w:p>
            <w:pPr>
              <w:pStyle w:val="Compact"/>
            </w:pPr>
            <w:r>
              <w:t xml:space="preserve">Medi-Cal notice and recovery</w:t>
            </w:r>
          </w:p>
        </w:tc>
      </w:tr>
      <w:tr>
        <w:tc>
          <w:tcPr/>
          <w:p>
            <w:pPr>
              <w:pStyle w:val="Compact"/>
            </w:pPr>
            <w:r>
              <w:t xml:space="preserve">Code Civ. Proc. §§ 12, 12a, 2015.5; Civ. Code § 10; Gov. Code § 6800</w:t>
            </w:r>
          </w:p>
        </w:tc>
        <w:tc>
          <w:tcPr/>
          <w:p>
            <w:pPr>
              <w:pStyle w:val="Compact"/>
            </w:pPr>
            <w:r>
              <w:t xml:space="preserve">Computing time; declarations signed outside California</w:t>
            </w:r>
          </w:p>
        </w:tc>
      </w:tr>
      <w:tr>
        <w:tc>
          <w:tcPr/>
          <w:p>
            <w:pPr>
              <w:pStyle w:val="Compact"/>
            </w:pPr>
            <w:r>
              <w:t xml:space="preserve">Code Civ. Proc. §§ 1513, 1532, 1560</w:t>
            </w:r>
          </w:p>
        </w:tc>
        <w:tc>
          <w:tcPr/>
          <w:p>
            <w:pPr>
              <w:pStyle w:val="Compact"/>
            </w:pPr>
            <w:r>
              <w:t xml:space="preserve">Escheat of deceased owners' deposits</w:t>
            </w:r>
          </w:p>
        </w:tc>
      </w:tr>
      <w:tr>
        <w:tc>
          <w:tcPr/>
          <w:p>
            <w:pPr>
              <w:pStyle w:val="Compact"/>
            </w:pPr>
            <w:r>
              <w:t xml:space="preserve">Fin. Code §§ 1450, 6661, 14854</w:t>
            </w:r>
          </w:p>
        </w:tc>
        <w:tc>
          <w:tcPr/>
          <w:p>
            <w:pPr>
              <w:pStyle w:val="Compact"/>
            </w:pPr>
            <w:r>
              <w:t xml:space="preserve">Adverse claims (banks, savings associations); credit union accounts</w:t>
            </w:r>
          </w:p>
        </w:tc>
      </w:tr>
      <w:tr>
        <w:tc>
          <w:tcPr/>
          <w:p>
            <w:pPr>
              <w:pStyle w:val="Compact"/>
            </w:pPr>
            <w:r>
              <w:t xml:space="preserve">Rev. &amp; Tax. Code § 18670</w:t>
            </w:r>
          </w:p>
        </w:tc>
        <w:tc>
          <w:tcPr/>
          <w:p>
            <w:pPr>
              <w:pStyle w:val="Compact"/>
            </w:pPr>
            <w:r>
              <w:t xml:space="preserve">FTB orders to withhold</w:t>
            </w:r>
          </w:p>
        </w:tc>
      </w:tr>
      <w:tr>
        <w:tc>
          <w:tcPr/>
          <w:p>
            <w:pPr>
              <w:pStyle w:val="Compact"/>
            </w:pPr>
            <w:r>
              <w:t xml:space="preserve">31 CFR § 210.10 (eCFR)</w:t>
            </w:r>
          </w:p>
        </w:tc>
        <w:tc>
          <w:tcPr/>
          <w:p>
            <w:pPr>
              <w:pStyle w:val="Compact"/>
            </w:pPr>
            <w:r>
              <w:t xml:space="preserve">Treasury reclamation of federal benefits paid after death</w:t>
            </w:r>
          </w:p>
        </w:tc>
      </w:tr>
    </w:tbl>
    <w:p>
      <w:pPr>
        <w:pStyle w:val="BodyText"/>
      </w:pPr>
      <w:r>
        <w:rPr>
          <w:b/>
          <w:bCs/>
        </w:rPr>
        <w:t xml:space="preserve">Cases</w:t>
      </w:r>
      <w:r>
        <w:t xml:space="preserve"> </w:t>
      </w:r>
      <w:r>
        <w:t xml:space="preserve">(full text read via the Caselaw Access Project or the slip opinion):</w:t>
      </w:r>
    </w:p>
    <w:p>
      <w:pPr>
        <w:pStyle w:val="Compact"/>
        <w:numPr>
          <w:ilvl w:val="0"/>
          <w:numId w:val="1017"/>
        </w:numPr>
      </w:pPr>
      <w:r>
        <w:rPr>
          <w:i/>
          <w:iCs/>
        </w:rPr>
        <w:t xml:space="preserve">Placencia v. Strazicich</w:t>
      </w:r>
      <w:r>
        <w:t xml:space="preserve"> </w:t>
      </w:r>
      <w:r>
        <w:t xml:space="preserve">(2019) 42 Cal.App.5th 730 (slip opinion G055631). The reporter citation comes from a secondary listing.</w:t>
      </w:r>
    </w:p>
    <w:p>
      <w:pPr>
        <w:pStyle w:val="Compact"/>
        <w:numPr>
          <w:ilvl w:val="0"/>
          <w:numId w:val="1017"/>
        </w:numPr>
      </w:pPr>
      <w:r>
        <w:rPr>
          <w:i/>
          <w:iCs/>
        </w:rPr>
        <w:t xml:space="preserve">Araiza v. Younkin</w:t>
      </w:r>
      <w:r>
        <w:t xml:space="preserve"> </w:t>
      </w:r>
      <w:r>
        <w:t xml:space="preserve">(2010) 188 Cal.App.4th 1120.</w:t>
      </w:r>
    </w:p>
    <w:p>
      <w:pPr>
        <w:pStyle w:val="Compact"/>
        <w:numPr>
          <w:ilvl w:val="0"/>
          <w:numId w:val="1017"/>
        </w:numPr>
      </w:pPr>
      <w:r>
        <w:rPr>
          <w:i/>
          <w:iCs/>
        </w:rPr>
        <w:t xml:space="preserve">Stevens v. Tri Counties Bank</w:t>
      </w:r>
      <w:r>
        <w:t xml:space="preserve"> </w:t>
      </w:r>
      <w:r>
        <w:t xml:space="preserve">(2009) 177 Cal.App.4th 236.</w:t>
      </w:r>
    </w:p>
    <w:p>
      <w:pPr>
        <w:pStyle w:val="Compact"/>
        <w:numPr>
          <w:ilvl w:val="0"/>
          <w:numId w:val="1017"/>
        </w:numPr>
      </w:pPr>
      <w:r>
        <w:rPr>
          <w:i/>
          <w:iCs/>
        </w:rPr>
        <w:t xml:space="preserve">Mautner v. Peralta</w:t>
      </w:r>
      <w:r>
        <w:t xml:space="preserve"> </w:t>
      </w:r>
      <w:r>
        <w:t xml:space="preserve">(1989) 215 Cal.App.3d 796.</w:t>
      </w:r>
    </w:p>
    <w:p>
      <w:pPr>
        <w:pStyle w:val="Compact"/>
        <w:numPr>
          <w:ilvl w:val="0"/>
          <w:numId w:val="1017"/>
        </w:numPr>
      </w:pPr>
      <w:r>
        <w:rPr>
          <w:i/>
          <w:iCs/>
        </w:rPr>
        <w:t xml:space="preserve">Smith v. Cimmet</w:t>
      </w:r>
      <w:r>
        <w:t xml:space="preserve"> </w:t>
      </w:r>
      <w:r>
        <w:t xml:space="preserve">(2011) 199 Cal.App.4th 1381.</w:t>
      </w:r>
    </w:p>
    <w:p>
      <w:pPr>
        <w:pStyle w:val="Compact"/>
        <w:numPr>
          <w:ilvl w:val="0"/>
          <w:numId w:val="1017"/>
        </w:numPr>
      </w:pPr>
      <w:r>
        <w:rPr>
          <w:i/>
          <w:iCs/>
        </w:rPr>
        <w:t xml:space="preserve">Anderson Nat'l Bank v. Luckett</w:t>
      </w:r>
      <w:r>
        <w:t xml:space="preserve">, 321 U.S. 233 (1944), from the risk review.</w:t>
      </w:r>
    </w:p>
    <w:p>
      <w:pPr>
        <w:pStyle w:val="FirstParagraph"/>
      </w:pPr>
      <w:r>
        <w:t xml:space="preserve">None has been run through a citator (KeyCite or Shepard's).</w:t>
      </w:r>
    </w:p>
    <w:p>
      <w:r>
        <w:br w:type="page"/>
      </w:r>
    </w:p>
    <w:p>
      <w:pPr>
        <w:pStyle w:val="BlockText"/>
      </w:pPr>
      <w:r>
        <w:rPr>
          <w:b/>
          <w:bCs/>
        </w:rPr>
        <w:t xml:space="preserve">Provenance.</w:t>
      </w:r>
      <w:r>
        <w:t xml:space="preserve"> </w:t>
      </w:r>
      <w:r>
        <w:t xml:space="preserve">Generated 2026-10-09 by the</w:t>
      </w:r>
      <w:r>
        <w:t xml:space="preserve"> </w:t>
      </w:r>
      <w:r>
        <w:rPr>
          <w:rStyle w:val="VerbatimChar"/>
        </w:rPr>
        <w:t xml:space="preserve">estate-law-reviewer</w:t>
      </w:r>
      <w:r>
        <w:t xml:space="preserve"> </w:t>
      </w:r>
      <w:r>
        <w:t xml:space="preserve">AI research agent (</w:t>
      </w:r>
      <w:r>
        <w:rPr>
          <w:rStyle w:val="VerbatimChar"/>
        </w:rPr>
        <w:t xml:space="preserve">.claude/agents/estate-law-reviewer.md</w:t>
      </w:r>
      <w:r>
        <w:t xml:space="preserve">). It is research for a licensed attorney, not legal advice.</w:t>
      </w:r>
    </w:p>
    <w:p>
      <w:pPr>
        <w:pStyle w:val="BlockText"/>
      </w:pPr>
      <w:r>
        <w:rPr>
          <w:b/>
          <w:bCs/>
        </w:rPr>
        <w:t xml:space="preserve">Independent spot-check</w:t>
      </w:r>
      <w:r>
        <w:t xml:space="preserve"> </w:t>
      </w:r>
      <w:r>
        <w:t xml:space="preserve">(2026-10-09; five citations re-fetched and compared word for word):</w:t>
      </w:r>
    </w:p>
    <w:p>
      <w:pPr>
        <w:pStyle w:val="Compact"/>
        <w:numPr>
          <w:ilvl w:val="0"/>
          <w:numId w:val="1018"/>
        </w:numPr>
      </w:pPr>
      <w:r>
        <w:t xml:space="preserve">Prob. Code § 13106.5(a): confirmed. The spec's description is wrong, as the review says.</w:t>
      </w:r>
    </w:p>
    <w:p>
      <w:pPr>
        <w:pStyle w:val="Compact"/>
        <w:numPr>
          <w:ilvl w:val="0"/>
          <w:numId w:val="1018"/>
        </w:numPr>
      </w:pPr>
      <w:r>
        <w:t xml:space="preserve">§ 5407(b) (minor POD/Totten payees): confirmed.</w:t>
      </w:r>
    </w:p>
    <w:p>
      <w:pPr>
        <w:pStyle w:val="Compact"/>
        <w:numPr>
          <w:ilvl w:val="0"/>
          <w:numId w:val="1018"/>
        </w:numPr>
      </w:pPr>
      <w:r>
        <w:t xml:space="preserve">Fin. Code § 1450(d) (CAMPAL does not limit adverse-claim rules): confirmed.</w:t>
      </w:r>
    </w:p>
    <w:p>
      <w:pPr>
        <w:pStyle w:val="Compact"/>
        <w:numPr>
          <w:ilvl w:val="0"/>
          <w:numId w:val="1018"/>
        </w:numPr>
      </w:pPr>
      <w:r>
        <w:rPr>
          <w:i/>
          <w:iCs/>
        </w:rPr>
        <w:t xml:space="preserve">Mautner v. Peralta</w:t>
      </w:r>
      <w:r>
        <w:t xml:space="preserve">, 215 Cal.App.3d 796 holding: confirmed.</w:t>
      </w:r>
    </w:p>
    <w:p>
      <w:pPr>
        <w:pStyle w:val="Compact"/>
        <w:numPr>
          <w:ilvl w:val="0"/>
          <w:numId w:val="1018"/>
        </w:numPr>
      </w:pPr>
      <w:r>
        <w:rPr>
          <w:i/>
          <w:iCs/>
        </w:rPr>
        <w:t xml:space="preserve">Placencia v. Strazicich</w:t>
      </w:r>
      <w:r>
        <w:t xml:space="preserve"> </w:t>
      </w:r>
      <w:r>
        <w:t xml:space="preserve">(G055631) slip opinion: both quoted sentences confirmed.</w:t>
      </w:r>
    </w:p>
    <w:p>
      <w:pPr>
        <w:pStyle w:val="BlockText"/>
      </w:pPr>
      <w:r>
        <w:t xml:space="preserve">California statute text is from the california.public.law mirror and still needs confirmation on leginfo (Q9). The remaining citations have not been independently re-checked.</w:t>
      </w:r>
    </w:p>
    <w:bookmarkEnd w:id="26"/>
    <w:bookmarkEnd w:id="27"/>
    <w:bookmarkStart w:id="99" w:name="X70919687c826d75d29a5a988aacf8664ca7e0a8"/>
    <w:p>
      <w:pPr>
        <w:pStyle w:val="Heading1"/>
      </w:pPr>
      <w:r>
        <w:t xml:space="preserve">California deceased-account rule spec: legal research review</w:t>
      </w:r>
    </w:p>
    <w:p>
      <w:pPr>
        <w:pStyle w:val="FirstParagraph"/>
      </w:pPr>
      <w:r>
        <w:rPr>
          <w:b/>
          <w:bCs/>
        </w:rPr>
        <w:t xml:space="preserve">This is research for a licensed attorney to verify. I am not the client's attorney, and nothing here is legal advice or attorney sign-off.</w:t>
      </w:r>
    </w:p>
    <w:p>
      <w:pPr>
        <w:pStyle w:val="Compact"/>
        <w:numPr>
          <w:ilvl w:val="0"/>
          <w:numId w:val="1019"/>
        </w:numPr>
      </w:pPr>
      <w:r>
        <w:rPr>
          <w:b/>
          <w:bCs/>
        </w:rPr>
        <w:t xml:space="preserve">Date:</w:t>
      </w:r>
      <w:r>
        <w:t xml:space="preserve"> </w:t>
      </w:r>
      <w:r>
        <w:t xml:space="preserve">2026-10-09</w:t>
      </w:r>
    </w:p>
    <w:p>
      <w:pPr>
        <w:pStyle w:val="Compact"/>
        <w:numPr>
          <w:ilvl w:val="0"/>
          <w:numId w:val="1019"/>
        </w:numPr>
      </w:pPr>
      <w:r>
        <w:rPr>
          <w:b/>
          <w:bCs/>
        </w:rPr>
        <w:t xml:space="preserve">Scope:</w:t>
      </w:r>
      <w:r>
        <w:t xml:space="preserve"> </w:t>
      </w:r>
      <w:r>
        <w:t xml:space="preserve">California rules for paying a deceased customer's deposit account, deaths on or after 2022-04-01. Paths A (multiple-party accounts), B (small-estate affidavit) and C (surviving spouse); 16 draft golden scenarios; open questions Q2, Q3, Q5, Q6, Q8 and Q9. I also checked the California column of the "How Washington differs from California" table, which is in</w:t>
      </w:r>
      <w:r>
        <w:t xml:space="preserve"> </w:t>
      </w:r>
      <w:r>
        <w:rPr>
          <w:rStyle w:val="VerbatimChar"/>
        </w:rPr>
        <w:t xml:space="preserve">docs/rules/WA/spec.md</w:t>
      </w:r>
      <w:r>
        <w:t xml:space="preserve">.</w:t>
      </w:r>
    </w:p>
    <w:p>
      <w:pPr>
        <w:pStyle w:val="Compact"/>
        <w:numPr>
          <w:ilvl w:val="0"/>
          <w:numId w:val="1019"/>
        </w:numPr>
      </w:pPr>
      <w:r>
        <w:rPr>
          <w:b/>
          <w:bCs/>
        </w:rPr>
        <w:t xml:space="preserve">Documents reviewed (read in full):</w:t>
      </w:r>
      <w:r>
        <w:t xml:space="preserve"> </w:t>
      </w:r>
      <w:r>
        <w:rPr>
          <w:rStyle w:val="VerbatimChar"/>
        </w:rPr>
        <w:t xml:space="preserve">docs/rules/CA/spec.md</w:t>
      </w:r>
      <w:r>
        <w:t xml:space="preserve">,</w:t>
      </w:r>
      <w:r>
        <w:t xml:space="preserve"> </w:t>
      </w:r>
      <w:r>
        <w:rPr>
          <w:rStyle w:val="VerbatimChar"/>
        </w:rPr>
        <w:t xml:space="preserve">docs/rules/CA/open-questions.md</w:t>
      </w:r>
      <w:r>
        <w:t xml:space="preserve">,</w:t>
      </w:r>
      <w:r>
        <w:t xml:space="preserve"> </w:t>
      </w:r>
      <w:r>
        <w:rPr>
          <w:rStyle w:val="VerbatimChar"/>
        </w:rPr>
        <w:t xml:space="preserve">docs/rules/CA/sources.md</w:t>
      </w:r>
      <w:r>
        <w:t xml:space="preserve">,</w:t>
      </w:r>
      <w:r>
        <w:t xml:space="preserve"> </w:t>
      </w:r>
      <w:r>
        <w:rPr>
          <w:rStyle w:val="VerbatimChar"/>
        </w:rPr>
        <w:t xml:space="preserve">ARCHITECTURE.md</w:t>
      </w:r>
      <w:r>
        <w:t xml:space="preserve">, and the "How Washington differs from California" section of</w:t>
      </w:r>
      <w:r>
        <w:t xml:space="preserve"> </w:t>
      </w:r>
      <w:r>
        <w:rPr>
          <w:rStyle w:val="VerbatimChar"/>
        </w:rPr>
        <w:t xml:space="preserve">docs/rules/WA/spec.md</w:t>
      </w:r>
      <w:r>
        <w:t xml:space="preserve">. I also extracted and skimmed</w:t>
      </w:r>
      <w:r>
        <w:t xml:space="preserve"> </w:t>
      </w:r>
      <w:r>
        <w:rPr>
          <w:rStyle w:val="VerbatimChar"/>
        </w:rPr>
        <w:t xml:space="preserve">docs/rules/CA/CA-attorney-review.docx</w:t>
      </w:r>
      <w:r>
        <w:t xml:space="preserve">; its text matches the three Markdown files.</w:t>
      </w:r>
    </w:p>
    <w:p>
      <w:pPr>
        <w:pStyle w:val="Compact"/>
        <w:numPr>
          <w:ilvl w:val="0"/>
          <w:numId w:val="1019"/>
        </w:numPr>
      </w:pPr>
      <w:r>
        <w:rPr>
          <w:b/>
          <w:bCs/>
        </w:rPr>
        <w:t xml:space="preserve">Method:</w:t>
      </w:r>
      <w:r>
        <w:t xml:space="preserve"> </w:t>
      </w:r>
      <w:r>
        <w:t xml:space="preserve">I listed every legal or factual claim and checked each one against statute or case text I retrieved during this session. I then researched gaps, the assigned open questions, and edge cases. Each conclusion is labelled</w:t>
      </w:r>
      <w:r>
        <w:t xml:space="preserve"> </w:t>
      </w:r>
      <w:r>
        <w:rPr>
          <w:b/>
          <w:bCs/>
        </w:rPr>
        <w:t xml:space="preserve">Statute says</w:t>
      </w:r>
      <w:r>
        <w:t xml:space="preserve">,</w:t>
      </w:r>
      <w:r>
        <w:t xml:space="preserve"> </w:t>
      </w:r>
      <w:r>
        <w:rPr>
          <w:b/>
          <w:bCs/>
        </w:rPr>
        <w:t xml:space="preserve">Case law holds</w:t>
      </w:r>
      <w:r>
        <w:t xml:space="preserve">,</w:t>
      </w:r>
      <w:r>
        <w:t xml:space="preserve"> </w:t>
      </w:r>
      <w:r>
        <w:rPr>
          <w:b/>
          <w:bCs/>
        </w:rPr>
        <w:t xml:space="preserve">Regulator/secondary guidance</w:t>
      </w:r>
      <w:r>
        <w:t xml:space="preserve">, or</w:t>
      </w:r>
      <w:r>
        <w:t xml:space="preserve"> </w:t>
      </w:r>
      <w:r>
        <w:rPr>
          <w:b/>
          <w:bCs/>
        </w:rPr>
        <w:t xml:space="preserve">Reviewer inference</w:t>
      </w:r>
      <w:r>
        <w:t xml:space="preserve">.</w:t>
      </w:r>
    </w:p>
    <w:p>
      <w:pPr>
        <w:pStyle w:val="Compact"/>
        <w:numPr>
          <w:ilvl w:val="0"/>
          <w:numId w:val="1019"/>
        </w:numPr>
      </w:pPr>
      <w:r>
        <w:rPr>
          <w:b/>
          <w:bCs/>
        </w:rPr>
        <w:t xml:space="preserve">Limitations:</w:t>
      </w:r>
    </w:p>
    <w:p>
      <w:pPr>
        <w:pStyle w:val="Compact"/>
        <w:numPr>
          <w:ilvl w:val="1"/>
          <w:numId w:val="1020"/>
        </w:numPr>
      </w:pPr>
      <w:r>
        <w:rPr>
          <w:b/>
          <w:bCs/>
        </w:rPr>
        <w:t xml:space="preserve">Statute text came from a mirror, not the official site.</w:t>
      </w:r>
      <w:r>
        <w:t xml:space="preserve"> </w:t>
      </w:r>
      <w:r>
        <w:t xml:space="preserve">leginfo.legislature.ca.gov returned HTTP 403 to automated requests (tested 2026-10-09), so all California code text came from the california.public.law mirror. The mirror cites leginfo and shows each section as "accessed Oct. 5, 2026". Every section must be confirmed on leginfo (Q9).</w:t>
      </w:r>
    </w:p>
    <w:p>
      <w:pPr>
        <w:pStyle w:val="Compact"/>
        <w:numPr>
          <w:ilvl w:val="1"/>
          <w:numId w:val="1020"/>
        </w:numPr>
      </w:pPr>
      <w:r>
        <w:rPr>
          <w:b/>
          <w:bCs/>
        </w:rPr>
        <w:t xml:space="preserve">Case law was searched, not exhausted.</w:t>
      </w:r>
      <w:r>
        <w:t xml:space="preserve"> </w:t>
      </w:r>
      <w:r>
        <w:t xml:space="preserve">Full opinion text came from the Caselaw Access Project (static.case.law) and from a Justia slip-opinion PDF. CourtListener's search API was used to find cases until it hit its hourly rate limit, so case coverage is not exhaustive. I had no Westlaw or Lexis access, so I could not Shepardize or KeyCite anything.</w:t>
      </w:r>
    </w:p>
    <w:p>
      <w:pPr>
        <w:pStyle w:val="Compact"/>
        <w:numPr>
          <w:ilvl w:val="1"/>
          <w:numId w:val="1020"/>
        </w:numPr>
      </w:pPr>
      <w:r>
        <w:rPr>
          <w:b/>
          <w:bCs/>
        </w:rPr>
        <w:t xml:space="preserve">One reporter citation comes from a secondary source.</w:t>
      </w:r>
      <w:r>
        <w:t xml:space="preserve"> </w:t>
      </w:r>
      <w:r>
        <w:t xml:space="preserve">For</w:t>
      </w:r>
      <w:r>
        <w:t xml:space="preserve"> </w:t>
      </w:r>
      <w:r>
        <w:rPr>
          <w:i/>
          <w:iCs/>
        </w:rPr>
        <w:t xml:space="preserve">Placencia v. Strazicich</w:t>
      </w:r>
      <w:r>
        <w:t xml:space="preserve">, I read the slip opinion, but the reporter citation (42 Cal.App.5th 730) comes from a vLex listing.</w:t>
      </w:r>
    </w:p>
    <w:p>
      <w:pPr>
        <w:pStyle w:val="Compact"/>
        <w:numPr>
          <w:ilvl w:val="1"/>
          <w:numId w:val="1020"/>
        </w:numPr>
      </w:pPr>
      <w:r>
        <w:rPr>
          <w:b/>
          <w:bCs/>
        </w:rPr>
        <w:t xml:space="preserve">I did not read Law Revision Commission comments or legislative history.</w:t>
      </w:r>
    </w:p>
    <w:p>
      <w:r>
        <w:pict>
          <v:rect style="width:0;height:1.5pt" o:hralign="center" o:hrstd="t" o:hr="t"/>
        </w:pict>
      </w:r>
    </w:p>
    <w:bookmarkStart w:id="28" w:name="summary"/>
    <w:p>
      <w:pPr>
        <w:pStyle w:val="Heading2"/>
      </w:pPr>
      <w:r>
        <w:t xml:space="preserve">Summary</w:t>
      </w:r>
    </w:p>
    <w:p>
      <w:pPr>
        <w:pStyle w:val="FirstParagraph"/>
      </w:pPr>
      <w:r>
        <w:rPr>
          <w:b/>
          <w:bCs/>
        </w:rPr>
        <w:t xml:space="preserve">Counts (72 claims audited):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Classification</w:t>
            </w:r>
          </w:p>
        </w:tc>
        <w:tc>
          <w:tcPr/>
          <w:p>
            <w:pPr>
              <w:pStyle w:val="Compact"/>
            </w:pPr>
            <w:r>
              <w:t xml:space="preserve">Count</w:t>
            </w:r>
          </w:p>
        </w:tc>
      </w:tr>
      <w:tr>
        <w:tc>
          <w:tcPr/>
          <w:p>
            <w:pPr>
              <w:pStyle w:val="Compact"/>
            </w:pPr>
            <w:r>
              <w:t xml:space="preserve">Verified</w:t>
            </w:r>
          </w:p>
        </w:tc>
        <w:tc>
          <w:tcPr/>
          <w:p>
            <w:pPr>
              <w:pStyle w:val="Compact"/>
            </w:pPr>
            <w:r>
              <w:t xml:space="preserve">46</w:t>
            </w:r>
          </w:p>
        </w:tc>
      </w:tr>
      <w:tr>
        <w:tc>
          <w:tcPr/>
          <w:p>
            <w:pPr>
              <w:pStyle w:val="Compact"/>
            </w:pPr>
            <w:r>
              <w:t xml:space="preserve">Verified with correction</w:t>
            </w:r>
          </w:p>
        </w:tc>
        <w:tc>
          <w:tcPr/>
          <w:p>
            <w:pPr>
              <w:pStyle w:val="Compact"/>
            </w:pPr>
            <w:r>
              <w:t xml:space="preserve">24</w:t>
            </w:r>
          </w:p>
        </w:tc>
      </w:tr>
      <w:tr>
        <w:tc>
          <w:tcPr/>
          <w:p>
            <w:pPr>
              <w:pStyle w:val="Compact"/>
            </w:pPr>
            <w:r>
              <w:t xml:space="preserve">Inaccurate</w:t>
            </w:r>
          </w:p>
        </w:tc>
        <w:tc>
          <w:tcPr/>
          <w:p>
            <w:pPr>
              <w:pStyle w:val="Compact"/>
            </w:pPr>
            <w:r>
              <w:t xml:space="preserve">1</w:t>
            </w:r>
          </w:p>
        </w:tc>
      </w:tr>
      <w:tr>
        <w:tc>
          <w:tcPr/>
          <w:p>
            <w:pPr>
              <w:pStyle w:val="Compact"/>
            </w:pPr>
            <w:r>
              <w:t xml:space="preserve">Unsupported</w:t>
            </w:r>
          </w:p>
        </w:tc>
        <w:tc>
          <w:tcPr/>
          <w:p>
            <w:pPr>
              <w:pStyle w:val="Compact"/>
            </w:pPr>
            <w:r>
              <w:t xml:space="preserve">0</w:t>
            </w:r>
          </w:p>
        </w:tc>
      </w:tr>
      <w:tr>
        <w:tc>
          <w:tcPr/>
          <w:p>
            <w:pPr>
              <w:pStyle w:val="Compact"/>
            </w:pPr>
            <w:r>
              <w:t xml:space="preserve">Unverified (open legal question; no controlling authority located)</w:t>
            </w:r>
          </w:p>
        </w:tc>
        <w:tc>
          <w:tcPr/>
          <w:p>
            <w:pPr>
              <w:pStyle w:val="Compact"/>
            </w:pPr>
            <w:r>
              <w:t xml:space="preserve">1</w:t>
            </w:r>
          </w:p>
        </w:tc>
      </w:tr>
    </w:tbl>
    <w:p>
      <w:pPr>
        <w:pStyle w:val="BodyText"/>
      </w:pPr>
      <w:r>
        <w:t xml:space="preserve">All dollar limits and breakpoint dates match the official Judicial Council § 890 list. The PDF retrieved on 2026-10-09 has SHA-256</w:t>
      </w:r>
      <w:r>
        <w:t xml:space="preserve"> </w:t>
      </w:r>
      <w:r>
        <w:rPr>
          <w:rStyle w:val="VerbatimChar"/>
        </w:rPr>
        <w:t xml:space="preserve">cb30e97d3b4322512bcd3a5cda8eff5eb3de26c66a0473d9a15295e076eedf56</w:t>
      </w:r>
      <w:r>
        <w:t xml:space="preserve">, which matches</w:t>
      </w:r>
      <w:r>
        <w:t xml:space="preserve"> </w:t>
      </w:r>
      <w:r>
        <w:rPr>
          <w:rStyle w:val="VerbatimChar"/>
        </w:rPr>
        <w:t xml:space="preserve">sources.md</w:t>
      </w:r>
      <w:r>
        <w:t xml:space="preserve">. All 16 golden-scenario dates are consistent with the statute, except that the exact payment date in GS-CA-001 depends on Q3.</w:t>
      </w:r>
    </w:p>
    <w:p>
      <w:pPr>
        <w:pStyle w:val="BodyText"/>
      </w:pPr>
      <w:r>
        <w:rPr>
          <w:b/>
          <w:bCs/>
        </w:rPr>
        <w:t xml:space="preserve">Most important findings, ranked:</w:t>
      </w:r>
    </w:p>
    <w:p>
      <w:pPr>
        <w:pStyle w:val="Compact"/>
        <w:numPr>
          <w:ilvl w:val="0"/>
          <w:numId w:val="1021"/>
        </w:numPr>
      </w:pPr>
      <w:r>
        <w:rPr>
          <w:b/>
          <w:bCs/>
        </w:rPr>
        <w:t xml:space="preserve">The engine cannot treat "who may the institution pay" (§ 5405 protection) as "who owns the money" (§ 5302).</w:t>
      </w:r>
    </w:p>
    <w:p>
      <w:pPr>
        <w:pStyle w:val="Compact"/>
        <w:numPr>
          <w:ilvl w:val="1"/>
          <w:numId w:val="1022"/>
        </w:numPr>
      </w:pPr>
      <w:r>
        <w:t xml:space="preserve">Section 5302(a) and (c)(2) let clear and convincing evidence of a different intent override survivorship and Totten designations.</w:t>
      </w:r>
      <w:r>
        <w:t xml:space="preserve"> </w:t>
      </w:r>
      <w:r>
        <w:rPr>
          <w:i/>
          <w:iCs/>
        </w:rPr>
        <w:t xml:space="preserve">Placencia v. Strazicich</w:t>
      </w:r>
      <w:r>
        <w:t xml:space="preserve"> </w:t>
      </w:r>
      <w:r>
        <w:t xml:space="preserve">(2019) holds that a will can supply that evidence despite § 5302(e).</w:t>
      </w:r>
      <w:r>
        <w:t xml:space="preserve"> </w:t>
      </w:r>
      <w:r>
        <w:rPr>
          <w:i/>
          <w:iCs/>
        </w:rPr>
        <w:t xml:space="preserve">Araiza v. Younkin</w:t>
      </w:r>
      <w:r>
        <w:t xml:space="preserve"> </w:t>
      </w:r>
      <w:r>
        <w:t xml:space="preserve">(2010) holds the same for a living trust.</w:t>
      </w:r>
    </w:p>
    <w:p>
      <w:pPr>
        <w:pStyle w:val="Compact"/>
        <w:numPr>
          <w:ilvl w:val="1"/>
          <w:numId w:val="1022"/>
        </w:numPr>
      </w:pPr>
      <w:r>
        <w:t xml:space="preserve">Both courts say, or are consistent with, the rule that the institution is still protected if it pays according to the account terms.</w:t>
      </w:r>
    </w:p>
    <w:p>
      <w:pPr>
        <w:pStyle w:val="Compact"/>
        <w:numPr>
          <w:ilvl w:val="1"/>
          <w:numId w:val="1022"/>
        </w:numPr>
      </w:pPr>
      <w:r>
        <w:t xml:space="preserve">So the Washington spec's California entry, "will override: Not possible (§ 5302(e))", is misleading. Path A output should say "payment protected under § 5405", not "funds belong to".</w:t>
      </w:r>
    </w:p>
    <w:p>
      <w:pPr>
        <w:pStyle w:val="Compact"/>
        <w:numPr>
          <w:ilvl w:val="0"/>
          <w:numId w:val="1021"/>
        </w:numPr>
      </w:pPr>
      <w:r>
        <w:rPr>
          <w:b/>
          <w:bCs/>
        </w:rPr>
        <w:t xml:space="preserve">Path B has no rule for adverse claims or holds, and § 13106 protection depends on good faith.</w:t>
      </w:r>
    </w:p>
    <w:p>
      <w:pPr>
        <w:pStyle w:val="Compact"/>
        <w:numPr>
          <w:ilvl w:val="1"/>
          <w:numId w:val="1023"/>
        </w:numPr>
      </w:pPr>
      <w:r>
        <w:t xml:space="preserve">Section 13106(a) protects a holder that relies "in good faith".</w:t>
      </w:r>
      <w:r>
        <w:t xml:space="preserve"> </w:t>
      </w:r>
      <w:r>
        <w:rPr>
          <w:i/>
          <w:iCs/>
        </w:rPr>
        <w:t xml:space="preserve">Mautner v. Peralta</w:t>
      </w:r>
      <w:r>
        <w:t xml:space="preserve"> </w:t>
      </w:r>
      <w:r>
        <w:t xml:space="preserve">(1989) held that the predecessor immunity (former § 631) did not apply where the bank had actual notice of a superior claim and a request to hold before the affidavit arrived.</w:t>
      </w:r>
    </w:p>
    <w:p>
      <w:pPr>
        <w:pStyle w:val="Compact"/>
        <w:numPr>
          <w:ilvl w:val="1"/>
          <w:numId w:val="1023"/>
        </w:numPr>
      </w:pPr>
      <w:r>
        <w:t xml:space="preserve">Financial Code § 1450 (banks) and § 6661 (savings associations) add adverse-claim and court-order rules that CAMPAL does not limit.</w:t>
      </w:r>
    </w:p>
    <w:p>
      <w:pPr>
        <w:pStyle w:val="Compact"/>
        <w:numPr>
          <w:ilvl w:val="1"/>
          <w:numId w:val="1023"/>
        </w:numPr>
      </w:pPr>
      <w:r>
        <w:t xml:space="preserve">Path B needs a "notice of adverse claim / restraining order / levy received" not-determinable condition.</w:t>
      </w:r>
    </w:p>
    <w:p>
      <w:pPr>
        <w:pStyle w:val="Compact"/>
        <w:numPr>
          <w:ilvl w:val="0"/>
          <w:numId w:val="1021"/>
        </w:numPr>
      </w:pPr>
      <w:r>
        <w:rPr>
          <w:b/>
          <w:bCs/>
        </w:rPr>
        <w:t xml:space="preserve">Institution policy that is "stricter than the statute" carries fee risk on Path B.</w:t>
      </w:r>
      <w:r>
        <w:t xml:space="preserve"> </w:t>
      </w:r>
      <w:r>
        <w:t xml:space="preserve">Under § 13105(b), the court "shall award reasonable attorney's fees" if the holder acted unreasonably in refusing to pay. Section 12572 gives sister-state personal representatives the same right. Extra documents or waiting days are therefore not risk-free. This affects ARCHITECTURE.md's policy model, and it means Q8 is partly a Law question.</w:t>
      </w:r>
    </w:p>
    <w:p>
      <w:pPr>
        <w:pStyle w:val="Compact"/>
        <w:numPr>
          <w:ilvl w:val="0"/>
          <w:numId w:val="1021"/>
        </w:numPr>
      </w:pPr>
      <w:r>
        <w:rPr>
          <w:b/>
          <w:bCs/>
        </w:rPr>
        <w:t xml:space="preserve">The 40-day date (Q3) is unresolved.</w:t>
      </w:r>
    </w:p>
    <w:p>
      <w:pPr>
        <w:pStyle w:val="Compact"/>
        <w:numPr>
          <w:ilvl w:val="1"/>
          <w:numId w:val="1024"/>
        </w:numPr>
      </w:pPr>
      <w:r>
        <w:t xml:space="preserve">CCP § 12, Civil Code § 10 and Government Code § 6800 exclude the first day and include the last. Under that count, the 40th day after a 2025-06-01 death is 2025-07-11.</w:t>
      </w:r>
    </w:p>
    <w:p>
      <w:pPr>
        <w:pStyle w:val="Compact"/>
        <w:numPr>
          <w:ilvl w:val="1"/>
          <w:numId w:val="1024"/>
        </w:numPr>
      </w:pPr>
      <w:r>
        <w:t xml:space="preserve">Whether 40 days "have elapsed" on day 40 or only once day 40 has ended (2025-07-12) is not settled by any authority I located.</w:t>
      </w:r>
    </w:p>
    <w:p>
      <w:pPr>
        <w:pStyle w:val="Compact"/>
        <w:numPr>
          <w:ilvl w:val="1"/>
          <w:numId w:val="1024"/>
        </w:numPr>
      </w:pPr>
      <w:r>
        <w:t xml:space="preserve">Recommend a conservative default of death date + 41 until an attorney decides.</w:t>
      </w:r>
    </w:p>
    <w:p>
      <w:pPr>
        <w:pStyle w:val="Compact"/>
        <w:numPr>
          <w:ilvl w:val="0"/>
          <w:numId w:val="1021"/>
        </w:numPr>
      </w:pPr>
      <w:r>
        <w:rPr>
          <w:b/>
          <w:bCs/>
        </w:rPr>
        <w:t xml:space="preserve">The § 5040 (former spouse) rule also reaches joint-account survivorship, not only POD/Totten.</w:t>
      </w:r>
      <w:r>
        <w:t xml:space="preserve"> </w:t>
      </w:r>
      <w:r>
        <w:t xml:space="preserve">Section 5302 is expressly "Subject to Section 5040", and § 5040(e) covers account-agreement provisions. GS-CA-010 and the not-determinable list should be widened.</w:t>
      </w:r>
    </w:p>
    <w:p>
      <w:pPr>
        <w:pStyle w:val="Compact"/>
        <w:numPr>
          <w:ilvl w:val="0"/>
          <w:numId w:val="1021"/>
        </w:numPr>
      </w:pPr>
      <w:r>
        <w:rPr>
          <w:b/>
          <w:bCs/>
        </w:rPr>
        <w:t xml:space="preserve">Payees and successors who are minors, simultaneous deaths, and slayers are not handled.</w:t>
      </w:r>
    </w:p>
    <w:p>
      <w:pPr>
        <w:pStyle w:val="Compact"/>
        <w:numPr>
          <w:ilvl w:val="1"/>
          <w:numId w:val="1025"/>
        </w:numPr>
      </w:pPr>
      <w:r>
        <w:t xml:space="preserve">Statute says § 5407(b) requires that a POD or Totten payee who is a minor be paid under CUTMA or Prob. Code § 3400 et seq.</w:t>
      </w:r>
    </w:p>
    <w:p>
      <w:pPr>
        <w:pStyle w:val="Compact"/>
        <w:numPr>
          <w:ilvl w:val="1"/>
          <w:numId w:val="1025"/>
        </w:numPr>
      </w:pPr>
      <w:r>
        <w:t xml:space="preserve">Sections 220–223, 6403 and 21109 impose clear-and-convincing and 120-hour survival rules.</w:t>
      </w:r>
    </w:p>
    <w:p>
      <w:pPr>
        <w:pStyle w:val="Compact"/>
        <w:numPr>
          <w:ilvl w:val="1"/>
          <w:numId w:val="1025"/>
        </w:numPr>
      </w:pPr>
      <w:r>
        <w:t xml:space="preserve">Sections 250, 251 and 256 (slayer) protect the institution only until it receives written notice of a claim.</w:t>
      </w:r>
    </w:p>
    <w:p>
      <w:pPr>
        <w:pStyle w:val="Compact"/>
        <w:numPr>
          <w:ilvl w:val="0"/>
          <w:numId w:val="1021"/>
        </w:numPr>
      </w:pPr>
      <w:r>
        <w:rPr>
          <w:b/>
          <w:bCs/>
        </w:rPr>
        <w:t xml:space="preserve">One not-determinable condition is mis-stated.</w:t>
      </w:r>
      <w:r>
        <w:t xml:space="preserve"> </w:t>
      </w:r>
      <w:r>
        <w:t xml:space="preserve">The § 13106.5 item ("account is secured by a lien on real property") misdescribes the section. Section 13106.5 is about collecting a debt that is owed to the decedent and secured by a recorded real-property lien. A deposit account is not such a debt.</w:t>
      </w:r>
    </w:p>
    <w:p>
      <w:pPr>
        <w:pStyle w:val="Compact"/>
        <w:numPr>
          <w:ilvl w:val="0"/>
          <w:numId w:val="1021"/>
        </w:numPr>
      </w:pPr>
      <w:r>
        <w:rPr>
          <w:b/>
          <w:bCs/>
        </w:rPr>
        <w:t xml:space="preserve">Q5 (spouse collecting without the affidavit):</w:t>
      </w:r>
      <w:r>
        <w:t xml:space="preserve"> </w:t>
      </w:r>
      <w:r>
        <w:t xml:space="preserve">I found no statutory procedure that lets a surviving spouse collect a deposit account in the decedent's sole name on spousal status alone, with holder protection.</w:t>
      </w:r>
    </w:p>
    <w:p>
      <w:pPr>
        <w:pStyle w:val="Compact"/>
        <w:numPr>
          <w:ilvl w:val="1"/>
          <w:numId w:val="1026"/>
        </w:numPr>
      </w:pPr>
      <w:r>
        <w:t xml:space="preserve">Section 13600 covers employer wages only, and § 13545 covers securities registered in the surviving spouse's name.</w:t>
      </w:r>
    </w:p>
    <w:p>
      <w:pPr>
        <w:pStyle w:val="Compact"/>
        <w:numPr>
          <w:ilvl w:val="1"/>
          <w:numId w:val="1026"/>
        </w:numPr>
      </w:pPr>
      <w:r>
        <w:t xml:space="preserve">The available routes are the § 13100 affidavit (spouse as successor) or a § 13650 spousal property order (§§ 13656–13657).</w:t>
      </w:r>
    </w:p>
    <w:p>
      <w:pPr>
        <w:pStyle w:val="Compact"/>
        <w:numPr>
          <w:ilvl w:val="1"/>
          <w:numId w:val="1026"/>
        </w:numPr>
      </w:pPr>
      <w:r>
        <w:t xml:space="preserve">Path C can therefore stay not determinable, with a new "court order under § 13656" route as an option.</w:t>
      </w:r>
    </w:p>
    <w:p>
      <w:pPr>
        <w:pStyle w:val="Compact"/>
        <w:numPr>
          <w:ilvl w:val="0"/>
          <w:numId w:val="1021"/>
        </w:numPr>
      </w:pPr>
      <w:r>
        <w:rPr>
          <w:b/>
          <w:bCs/>
        </w:rPr>
        <w:t xml:space="preserve">The value test is "current" value.</w:t>
      </w:r>
      <w:r>
        <w:t xml:space="preserve"> </w:t>
      </w:r>
      <w:r>
        <w:t xml:space="preserve">Section 13101(a)(5) requires the affiant to state the</w:t>
      </w:r>
      <w:r>
        <w:t xml:space="preserve"> </w:t>
      </w:r>
      <w:r>
        <w:rPr>
          <w:b/>
          <w:bCs/>
        </w:rPr>
        <w:t xml:space="preserve">current</w:t>
      </w:r>
      <w:r>
        <w:t xml:space="preserve"> </w:t>
      </w:r>
      <w:r>
        <w:t xml:space="preserve">gross fair market value, while the dollar cap is fixed by the date of death. The spec and the facts schema don't say this.</w:t>
      </w:r>
    </w:p>
    <w:p>
      <w:pPr>
        <w:pStyle w:val="Compact"/>
        <w:numPr>
          <w:ilvl w:val="0"/>
          <w:numId w:val="1021"/>
        </w:numPr>
      </w:pPr>
      <w:r>
        <w:rPr>
          <w:b/>
          <w:bCs/>
        </w:rPr>
        <w:t xml:space="preserve">Federal and state overlays are missing.</w:t>
      </w:r>
      <w:r>
        <w:t xml:space="preserve"> </w:t>
      </w:r>
      <w:r>
        <w:t xml:space="preserve">These include Treasury reclamation of post-death federal benefit deposits (31 CFR 210.10), escheat of dormant deceased-owner accounts (CCP §§ 1513, 1532, 1560), FTB orders to withhold (Rev. &amp; Tax. Code § 18670), and Medi-Cal notice (Prob. Code § 215).</w:t>
      </w:r>
    </w:p>
    <w:p>
      <w:r>
        <w:pict>
          <v:rect style="width:0;height:1.5pt" o:hralign="center" o:hrstd="t" o:hr="t"/>
        </w:pict>
      </w:r>
    </w:p>
    <w:bookmarkEnd w:id="28"/>
    <w:bookmarkStart w:id="68" w:name="claim-audit"/>
    <w:p>
      <w:pPr>
        <w:pStyle w:val="Heading2"/>
      </w:pPr>
      <w:r>
        <w:t xml:space="preserve">Claim audit</w:t>
      </w:r>
    </w:p>
    <w:p>
      <w:pPr>
        <w:pStyle w:val="FirstParagraph"/>
      </w:pPr>
      <w:r>
        <w:t xml:space="preserve">Statute text was read on the mirror</w:t>
      </w:r>
      <w:r>
        <w:t xml:space="preserve"> </w:t>
      </w:r>
      <w:r>
        <w:rPr>
          <w:rStyle w:val="VerbatimChar"/>
        </w:rPr>
        <w:t xml:space="preserve">https://california.public.law/codes/&lt;code&gt;_section_&lt;n&gt;</w:t>
      </w:r>
      <w:r>
        <w:t xml:space="preserve">. The official URL for the attorney to confirm is</w:t>
      </w:r>
      <w:r>
        <w:t xml:space="preserve"> </w:t>
      </w:r>
      <w:r>
        <w:rPr>
          <w:rStyle w:val="VerbatimChar"/>
        </w:rPr>
        <w:t xml:space="preserve">https://leginfo.legislature.ca.gov/faces/codes_displaySection.xhtml?lawCode=PROB&amp;sectionNum=&lt;n&gt;</w:t>
      </w:r>
      <w:r>
        <w:t xml:space="preserve"> </w:t>
      </w:r>
      <w:r>
        <w:t xml:space="preserve">(replace PROB with CIV, CCP, GOV, FIN, RTC or WIC for other codes). All mirror pages were retrieved 2026-10-09.</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Location</w:t>
            </w:r>
          </w:p>
        </w:tc>
        <w:tc>
          <w:tcPr/>
          <w:p>
            <w:pPr>
              <w:pStyle w:val="Compact"/>
            </w:pPr>
            <w:r>
              <w:t xml:space="preserve">Claim</w:t>
            </w:r>
          </w:p>
        </w:tc>
        <w:tc>
          <w:tcPr/>
          <w:p>
            <w:pPr>
              <w:pStyle w:val="Compact"/>
            </w:pPr>
            <w:r>
              <w:t xml:space="preserve">Finding</w:t>
            </w:r>
          </w:p>
        </w:tc>
        <w:tc>
          <w:tcPr/>
          <w:p>
            <w:pPr>
              <w:pStyle w:val="Compact"/>
            </w:pPr>
            <w:r>
              <w:t xml:space="preserve">Authority (quote + URL)</w:t>
            </w:r>
          </w:p>
        </w:tc>
        <w:tc>
          <w:tcPr/>
          <w:p>
            <w:pPr>
              <w:pStyle w:val="Compact"/>
            </w:pPr>
            <w:r>
              <w:t xml:space="preserve">Recommended change</w:t>
            </w:r>
          </w:p>
        </w:tc>
      </w:tr>
      <w:tr>
        <w:tc>
          <w:tcPr/>
          <w:p>
            <w:pPr>
              <w:pStyle w:val="Compact"/>
            </w:pPr>
            <w:r>
              <w:t xml:space="preserve">1</w:t>
            </w:r>
          </w:p>
        </w:tc>
        <w:tc>
          <w:tcPr/>
          <w:p>
            <w:pPr>
              <w:pStyle w:val="Compact"/>
            </w:pPr>
            <w:r>
              <w:t xml:space="preserve">spec › Path A › Who is paid</w:t>
            </w:r>
          </w:p>
        </w:tc>
        <w:tc>
          <w:tcPr/>
          <w:p>
            <w:pPr>
              <w:pStyle w:val="Compact"/>
            </w:pPr>
            <w:r>
              <w:t xml:space="preserve">Joint account: sums belong to the surviving party or parties (§ 5302(a)).</w:t>
            </w:r>
          </w:p>
        </w:tc>
        <w:tc>
          <w:tcPr/>
          <w:p>
            <w:pPr>
              <w:pStyle w:val="Compact"/>
            </w:pPr>
            <w:r>
              <w:rPr>
                <w:b/>
                <w:bCs/>
              </w:rPr>
              <w:t xml:space="preserve">Verified with correction.</w:t>
            </w:r>
            <w:r>
              <w:t xml:space="preserve"> </w:t>
            </w:r>
            <w:r>
              <w:t xml:space="preserve">Statute says the rule is "subject to Section 5040" and is rebuttable. Case law holds that it governs beneficial ownership, while the institution may still pay per the account terms.</w:t>
            </w:r>
          </w:p>
        </w:tc>
        <w:tc>
          <w:tcPr/>
          <w:p>
            <w:pPr>
              <w:pStyle w:val="Compact"/>
            </w:pPr>
            <w:r>
              <w:t xml:space="preserve">§ 5302(a): "belong to the surviving party or parties as against the estate of the decedent unless there is clear and convincing evidence of a different intent."</w:t>
            </w:r>
            <w:r>
              <w:t xml:space="preserve"> </w:t>
            </w:r>
            <w:hyperlink r:id="rId29">
              <w:r>
                <w:rPr>
                  <w:rStyle w:val="Hyperlink"/>
                </w:rPr>
                <w:t xml:space="preserve">https://california.public.law/codes/probate_code_section_5302</w:t>
              </w:r>
            </w:hyperlink>
            <w:r>
              <w:t xml:space="preserve"> </w:t>
            </w:r>
            <w:r>
              <w:t xml:space="preserve">;</w:t>
            </w:r>
            <w:r>
              <w:t xml:space="preserve"> </w:t>
            </w:r>
            <w:r>
              <w:rPr>
                <w:i/>
                <w:iCs/>
              </w:rPr>
              <w:t xml:space="preserve">Placencia</w:t>
            </w:r>
            <w:r>
              <w:t xml:space="preserve"> </w:t>
            </w:r>
            <w:r>
              <w:t xml:space="preserve">(row 70 sources): "The financial institution may pay the surviving party according to the terms of the account, but the decedent's estate has a claim for the funds against the surviving party."</w:t>
            </w:r>
          </w:p>
        </w:tc>
        <w:tc>
          <w:tcPr/>
          <w:p>
            <w:pPr>
              <w:pStyle w:val="Compact"/>
            </w:pPr>
            <w:r>
              <w:t xml:space="preserve">Reword to "the institution may pay the surviving party(ies) per the account terms (§§ 5401, 5402) and is protected (§ 5405); beneficial ownership is rebuttable (§ 5302(a))."</w:t>
            </w:r>
          </w:p>
        </w:tc>
      </w:tr>
      <w:tr>
        <w:tc>
          <w:tcPr/>
          <w:p>
            <w:pPr>
              <w:pStyle w:val="Compact"/>
            </w:pPr>
            <w:r>
              <w:t xml:space="preserve">2</w:t>
            </w:r>
          </w:p>
        </w:tc>
        <w:tc>
          <w:tcPr/>
          <w:p>
            <w:pPr>
              <w:pStyle w:val="Compact"/>
            </w:pPr>
            <w:r>
              <w:t xml:space="preserve">spec › Path A › Who is paid</w:t>
            </w:r>
          </w:p>
        </w:tc>
        <w:tc>
          <w:tcPr/>
          <w:p>
            <w:pPr>
              <w:pStyle w:val="Compact"/>
            </w:pPr>
            <w:r>
              <w:t xml:space="preserve">POD, sole or last party deceased: sums belong to the surviving POD payee(s) (§ 5302(b)(2)).</w:t>
            </w:r>
          </w:p>
        </w:tc>
        <w:tc>
          <w:tcPr/>
          <w:p>
            <w:pPr>
              <w:pStyle w:val="Compact"/>
            </w:pPr>
            <w:r>
              <w:rPr>
                <w:b/>
                <w:bCs/>
              </w:rPr>
              <w:t xml:space="preserve">Verified.</w:t>
            </w:r>
            <w:r>
              <w:t xml:space="preserve"> </w:t>
            </w:r>
            <w:r>
              <w:t xml:space="preserve">Statute says that if a payee predeceases the party, the survivors among the payees take.</w:t>
            </w:r>
          </w:p>
        </w:tc>
        <w:tc>
          <w:tcPr/>
          <w:p>
            <w:pPr>
              <w:pStyle w:val="Compact"/>
            </w:pPr>
            <w:r>
              <w:t xml:space="preserve">§ 5302(b)(2)(A): "belong to the P.O.D. payee or payees if surviving, or to the survivor of them if one or more die before the party" (same URL)</w:t>
            </w:r>
          </w:p>
        </w:tc>
        <w:tc>
          <w:tcPr/>
          <w:p>
            <w:pPr>
              <w:pStyle w:val="Compact"/>
            </w:pPr>
            <w:r>
              <w:t xml:space="preserve">Add a scenario: two payees, one predeceased, so the survivor takes 1/1.</w:t>
            </w:r>
          </w:p>
        </w:tc>
      </w:tr>
      <w:tr>
        <w:tc>
          <w:tcPr/>
          <w:p>
            <w:pPr>
              <w:pStyle w:val="Compact"/>
            </w:pPr>
            <w:r>
              <w:t xml:space="preserve">3</w:t>
            </w:r>
          </w:p>
        </w:tc>
        <w:tc>
          <w:tcPr/>
          <w:p>
            <w:pPr>
              <w:pStyle w:val="Compact"/>
            </w:pPr>
            <w:r>
              <w:t xml:space="preserve">spec › Path A › Who is paid</w:t>
            </w:r>
          </w:p>
        </w:tc>
        <w:tc>
          <w:tcPr/>
          <w:p>
            <w:pPr>
              <w:pStyle w:val="Compact"/>
            </w:pPr>
            <w:r>
              <w:t xml:space="preserve">Totten, sole or last trustee deceased: sums belong to the surviving beneficiaries (§ 5302(c)(2)).</w:t>
            </w:r>
          </w:p>
        </w:tc>
        <w:tc>
          <w:tcPr/>
          <w:p>
            <w:pPr>
              <w:pStyle w:val="Compact"/>
            </w:pPr>
            <w:r>
              <w:rPr>
                <w:b/>
                <w:bCs/>
              </w:rPr>
              <w:t xml:space="preserve">Verified with correction.</w:t>
            </w:r>
            <w:r>
              <w:t xml:space="preserve"> </w:t>
            </w:r>
            <w:r>
              <w:t xml:space="preserve">Statute says this is rebuttable. Case law holds that a living trust can show a different intent.</w:t>
            </w:r>
          </w:p>
        </w:tc>
        <w:tc>
          <w:tcPr/>
          <w:p>
            <w:pPr>
              <w:pStyle w:val="Compact"/>
            </w:pPr>
            <w:r>
              <w:t xml:space="preserve">§ 5302(c)(2)(A): "unless there is clear and convincing evidence of a different intent" (same URL);</w:t>
            </w:r>
            <w:r>
              <w:t xml:space="preserve"> </w:t>
            </w:r>
            <w:r>
              <w:rPr>
                <w:i/>
                <w:iCs/>
              </w:rPr>
              <w:t xml:space="preserve">Araiza</w:t>
            </w:r>
            <w:r>
              <w:t xml:space="preserve">: "Because the change was made by a living trust rather than by a will, it is not invalidated by section 5302, subdivision (e)."</w:t>
            </w:r>
            <w:r>
              <w:t xml:space="preserve"> </w:t>
            </w:r>
            <w:hyperlink r:id="rId30">
              <w:r>
                <w:rPr>
                  <w:rStyle w:val="Hyperlink"/>
                </w:rPr>
                <w:t xml:space="preserve">https://static.case.law/cal-app-4th/188/cases/1120-01.json</w:t>
              </w:r>
            </w:hyperlink>
          </w:p>
        </w:tc>
        <w:tc>
          <w:tcPr/>
          <w:p>
            <w:pPr>
              <w:pStyle w:val="Compact"/>
            </w:pPr>
            <w:r>
              <w:t xml:space="preserve">Same as row 1. Also consider § 5406 (an account "as trustee for" is paid as a Totten account absent written notice).</w:t>
            </w:r>
          </w:p>
        </w:tc>
      </w:tr>
      <w:tr>
        <w:tc>
          <w:tcPr/>
          <w:p>
            <w:pPr>
              <w:pStyle w:val="Compact"/>
            </w:pPr>
            <w:r>
              <w:t xml:space="preserve">4</w:t>
            </w:r>
          </w:p>
        </w:tc>
        <w:tc>
          <w:tcPr/>
          <w:p>
            <w:pPr>
              <w:pStyle w:val="Compact"/>
            </w:pPr>
            <w:r>
              <w:t xml:space="preserve">spec › Path A › Shares</w:t>
            </w:r>
          </w:p>
        </w:tc>
        <w:tc>
          <w:tcPr/>
          <w:p>
            <w:pPr>
              <w:pStyle w:val="Compact"/>
            </w:pPr>
            <w:r>
              <w:t xml:space="preserve">POD/Totten: equal shares unless the account terms set different shares.</w:t>
            </w:r>
          </w:p>
        </w:tc>
        <w:tc>
          <w:tcPr/>
          <w:p>
            <w:pPr>
              <w:pStyle w:val="Compact"/>
            </w:pPr>
            <w:r>
              <w:rPr>
                <w:b/>
                <w:bCs/>
              </w:rPr>
              <w:t xml:space="preserve">Verified.</w:t>
            </w:r>
            <w:r>
              <w:t xml:space="preserve"> </w:t>
            </w:r>
            <w:r>
              <w:t xml:space="preserve">Statute requires that the terms "expressly provide".</w:t>
            </w:r>
          </w:p>
        </w:tc>
        <w:tc>
          <w:tcPr/>
          <w:p>
            <w:pPr>
              <w:pStyle w:val="Compact"/>
            </w:pPr>
            <w:r>
              <w:t xml:space="preserve">§ 5302(b)(2)(B), (c)(2)(B): "in equal and undivided shares unless the terms of the account or deposit agreement expressly provide for different shares" (same URL)</w:t>
            </w:r>
          </w:p>
        </w:tc>
        <w:tc>
          <w:tcPr/>
          <w:p>
            <w:pPr>
              <w:pStyle w:val="Compact"/>
            </w:pPr>
            <w:r>
              <w:t xml:space="preserve">Require that terms shares be express. Note: there is no survivorship among payees after the death unless the terms say so (§ 5302(b)(2)(C), (c)(2)(C)).</w:t>
            </w:r>
          </w:p>
        </w:tc>
      </w:tr>
      <w:tr>
        <w:tc>
          <w:tcPr/>
          <w:p>
            <w:pPr>
              <w:pStyle w:val="Compact"/>
            </w:pPr>
            <w:r>
              <w:t xml:space="preserve">5</w:t>
            </w:r>
          </w:p>
        </w:tc>
        <w:tc>
          <w:tcPr/>
          <w:p>
            <w:pPr>
              <w:pStyle w:val="Compact"/>
            </w:pPr>
            <w:r>
              <w:t xml:space="preserve">spec › Path A › Shares</w:t>
            </w:r>
          </w:p>
        </w:tc>
        <w:tc>
          <w:tcPr/>
          <w:p>
            <w:pPr>
              <w:pStyle w:val="Compact"/>
            </w:pPr>
            <w:r>
              <w:t xml:space="preserve">Joint, two or more survivors: may pay any one or more per the terms; no net-contribution inquiry; protected.</w:t>
            </w:r>
          </w:p>
        </w:tc>
        <w:tc>
          <w:tcPr/>
          <w:p>
            <w:pPr>
              <w:pStyle w:val="Compact"/>
            </w:pPr>
            <w:r>
              <w:rPr>
                <w:b/>
                <w:bCs/>
              </w:rPr>
              <w:t xml:space="preserve">Verified.</w:t>
            </w:r>
          </w:p>
        </w:tc>
        <w:tc>
          <w:tcPr/>
          <w:p>
            <w:pPr>
              <w:pStyle w:val="Compact"/>
            </w:pPr>
            <w:r>
              <w:t xml:space="preserve">§ 5401(a): "Any multiple-party account may be paid, on request and according to its terms, to any one or more of the parties or agents." § 5401(c)(2): not required to "Determine any party's net contribution."</w:t>
            </w:r>
            <w:r>
              <w:t xml:space="preserve"> </w:t>
            </w:r>
            <w:hyperlink r:id="rId31">
              <w:r>
                <w:rPr>
                  <w:rStyle w:val="Hyperlink"/>
                </w:rPr>
                <w:t xml:space="preserve">https://california.public.law/codes/probate_code_section_5401</w:t>
              </w:r>
            </w:hyperlink>
            <w:r>
              <w:t xml:space="preserve"> </w:t>
            </w:r>
            <w:r>
              <w:t xml:space="preserve">; § 5405(a) (row 10)</w:t>
            </w:r>
          </w:p>
        </w:tc>
        <w:tc>
          <w:tcPr/>
          <w:p>
            <w:pPr>
              <w:pStyle w:val="Compact"/>
            </w:pPr>
            <w:r>
              <w:t xml:space="preserve">None.</w:t>
            </w:r>
          </w:p>
        </w:tc>
      </w:tr>
      <w:tr>
        <w:tc>
          <w:tcPr/>
          <w:p>
            <w:pPr>
              <w:pStyle w:val="Compact"/>
            </w:pPr>
            <w:r>
              <w:t xml:space="preserve">6</w:t>
            </w:r>
          </w:p>
        </w:tc>
        <w:tc>
          <w:tcPr/>
          <w:p>
            <w:pPr>
              <w:pStyle w:val="Compact"/>
            </w:pPr>
            <w:r>
              <w:t xml:space="preserve">spec › Path A › Documents</w:t>
            </w:r>
          </w:p>
        </w:tc>
        <w:tc>
          <w:tcPr/>
          <w:p>
            <w:pPr>
              <w:pStyle w:val="Compact"/>
            </w:pPr>
            <w:r>
              <w:t xml:space="preserve">POD: proof the payee survived every original party.</w:t>
            </w:r>
          </w:p>
        </w:tc>
        <w:tc>
          <w:tcPr/>
          <w:p>
            <w:pPr>
              <w:pStyle w:val="Compact"/>
            </w:pPr>
            <w:r>
              <w:rPr>
                <w:b/>
                <w:bCs/>
              </w:rPr>
              <w:t xml:space="preserve">Verified.</w:t>
            </w:r>
          </w:p>
        </w:tc>
        <w:tc>
          <w:tcPr/>
          <w:p>
            <w:pPr>
              <w:pStyle w:val="Compact"/>
            </w:pPr>
            <w:r>
              <w:t xml:space="preserve">§ 5403: "upon presentation to the financial institution of proof of death showing that the P.O.D. payee survived all persons named as original payees."</w:t>
            </w:r>
            <w:r>
              <w:t xml:space="preserve"> </w:t>
            </w:r>
            <w:hyperlink r:id="rId32">
              <w:r>
                <w:rPr>
                  <w:rStyle w:val="Hyperlink"/>
                </w:rPr>
                <w:t xml:space="preserve">https://california.public.law/codes/probate_code_section_5403</w:t>
              </w:r>
            </w:hyperlink>
          </w:p>
        </w:tc>
        <w:tc>
          <w:tcPr/>
          <w:p>
            <w:pPr>
              <w:pStyle w:val="Compact"/>
            </w:pPr>
            <w:r>
              <w:t xml:space="preserve">Define "proof of death" per § 5144: a certified copy of the death certificate or another prima facie record.</w:t>
            </w:r>
            <w:r>
              <w:t xml:space="preserve"> </w:t>
            </w:r>
            <w:hyperlink r:id="rId33">
              <w:r>
                <w:rPr>
                  <w:rStyle w:val="Hyperlink"/>
                </w:rPr>
                <w:t xml:space="preserve">https://california.public.law/codes/probate_code_section_5144</w:t>
              </w:r>
            </w:hyperlink>
          </w:p>
        </w:tc>
      </w:tr>
      <w:tr>
        <w:tc>
          <w:tcPr/>
          <w:p>
            <w:pPr>
              <w:pStyle w:val="Compact"/>
            </w:pPr>
            <w:r>
              <w:t xml:space="preserve">7</w:t>
            </w:r>
          </w:p>
        </w:tc>
        <w:tc>
          <w:tcPr/>
          <w:p>
            <w:pPr>
              <w:pStyle w:val="Compact"/>
            </w:pPr>
            <w:r>
              <w:t xml:space="preserve">spec › Path A › Documents</w:t>
            </w:r>
          </w:p>
        </w:tc>
        <w:tc>
          <w:tcPr/>
          <w:p>
            <w:pPr>
              <w:pStyle w:val="Compact"/>
            </w:pPr>
            <w:r>
              <w:t xml:space="preserve">Totten: proof the beneficiary survived every trustee.</w:t>
            </w:r>
          </w:p>
        </w:tc>
        <w:tc>
          <w:tcPr/>
          <w:p>
            <w:pPr>
              <w:pStyle w:val="Compact"/>
            </w:pPr>
            <w:r>
              <w:rPr>
                <w:b/>
                <w:bCs/>
              </w:rPr>
              <w:t xml:space="preserve">Verified.</w:t>
            </w:r>
          </w:p>
        </w:tc>
        <w:tc>
          <w:tcPr/>
          <w:p>
            <w:pPr>
              <w:pStyle w:val="Compact"/>
            </w:pPr>
            <w:r>
              <w:t xml:space="preserve">§ 5404: "if proof of death is presented to the financial institution showing that the beneficiary or beneficiaries survived all persons named as trustees."</w:t>
            </w:r>
            <w:r>
              <w:t xml:space="preserve"> </w:t>
            </w:r>
            <w:hyperlink r:id="rId34">
              <w:r>
                <w:rPr>
                  <w:rStyle w:val="Hyperlink"/>
                </w:rPr>
                <w:t xml:space="preserve">https://california.public.law/codes/probate_code_section_5404</w:t>
              </w:r>
            </w:hyperlink>
          </w:p>
        </w:tc>
        <w:tc>
          <w:tcPr/>
          <w:p>
            <w:pPr>
              <w:pStyle w:val="Compact"/>
            </w:pPr>
            <w:r>
              <w:t xml:space="preserve">None.</w:t>
            </w:r>
          </w:p>
        </w:tc>
      </w:tr>
      <w:tr>
        <w:tc>
          <w:tcPr/>
          <w:p>
            <w:pPr>
              <w:pStyle w:val="Compact"/>
            </w:pPr>
            <w:r>
              <w:t xml:space="preserve">8</w:t>
            </w:r>
          </w:p>
        </w:tc>
        <w:tc>
          <w:tcPr/>
          <w:p>
            <w:pPr>
              <w:pStyle w:val="Compact"/>
            </w:pPr>
            <w:r>
              <w:t xml:space="preserve">spec › Path A › Documents</w:t>
            </w:r>
          </w:p>
        </w:tc>
        <w:tc>
          <w:tcPr/>
          <w:p>
            <w:pPr>
              <w:pStyle w:val="Compact"/>
            </w:pPr>
            <w:r>
              <w:t xml:space="preserve">Joint: claimant must be a surviving party; paying the representative or heirs needs proof the decedent was the last surviving party.</w:t>
            </w:r>
          </w:p>
        </w:tc>
        <w:tc>
          <w:tcPr/>
          <w:p>
            <w:pPr>
              <w:pStyle w:val="Compact"/>
            </w:pPr>
            <w:r>
              <w:rPr>
                <w:b/>
                <w:bCs/>
              </w:rPr>
              <w:t xml:space="preserve">Verified.</w:t>
            </w:r>
          </w:p>
        </w:tc>
        <w:tc>
          <w:tcPr/>
          <w:p>
            <w:pPr>
              <w:pStyle w:val="Compact"/>
            </w:pPr>
            <w:r>
              <w:t xml:space="preserve">§ 5402: "payment may not be made to the personal representative or heirs of a deceased party unless proof of death is presented ... showing that the decedent was the last surviving party or unless there is no right of survivorship under Section 5302."</w:t>
            </w:r>
            <w:r>
              <w:t xml:space="preserve"> </w:t>
            </w:r>
            <w:hyperlink r:id="rId35">
              <w:r>
                <w:rPr>
                  <w:rStyle w:val="Hyperlink"/>
                </w:rPr>
                <w:t xml:space="preserve">https://california.public.law/codes/probate_code_section_5402</w:t>
              </w:r>
            </w:hyperlink>
          </w:p>
        </w:tc>
        <w:tc>
          <w:tcPr/>
          <w:p>
            <w:pPr>
              <w:pStyle w:val="Compact"/>
            </w:pPr>
            <w:r>
              <w:t xml:space="preserve">None.</w:t>
            </w:r>
          </w:p>
        </w:tc>
      </w:tr>
      <w:tr>
        <w:tc>
          <w:tcPr/>
          <w:p>
            <w:pPr>
              <w:pStyle w:val="Compact"/>
            </w:pPr>
            <w:r>
              <w:t xml:space="preserve">9</w:t>
            </w:r>
          </w:p>
        </w:tc>
        <w:tc>
          <w:tcPr/>
          <w:p>
            <w:pPr>
              <w:pStyle w:val="Compact"/>
            </w:pPr>
            <w:r>
              <w:t xml:space="preserve">spec › Path A › Earliest payment</w:t>
            </w:r>
          </w:p>
        </w:tc>
        <w:tc>
          <w:tcPr/>
          <w:p>
            <w:pPr>
              <w:pStyle w:val="Compact"/>
            </w:pPr>
            <w:r>
              <w:t xml:space="preserve">Payable on request once proof of death is presented; no statutory waiting period.</w:t>
            </w:r>
          </w:p>
        </w:tc>
        <w:tc>
          <w:tcPr/>
          <w:p>
            <w:pPr>
              <w:pStyle w:val="Compact"/>
            </w:pPr>
            <w:r>
              <w:rPr>
                <w:b/>
                <w:bCs/>
              </w:rPr>
              <w:t xml:space="preserve">Verified.</w:t>
            </w:r>
            <w:r>
              <w:t xml:space="preserve"> </w:t>
            </w:r>
            <w:r>
              <w:t xml:space="preserve">§§ 5401–5404 contain no waiting period. That no other waiting period applies is a</w:t>
            </w:r>
            <w:r>
              <w:t xml:space="preserve"> </w:t>
            </w:r>
            <w:r>
              <w:rPr>
                <w:b/>
                <w:bCs/>
              </w:rPr>
              <w:t xml:space="preserve">Reviewer inference</w:t>
            </w:r>
            <w:r>
              <w:t xml:space="preserve"> </w:t>
            </w:r>
            <w:r>
              <w:t xml:space="preserve">from my reading of §§ 5401–5405.</w:t>
            </w:r>
          </w:p>
        </w:tc>
        <w:tc>
          <w:tcPr/>
          <w:p>
            <w:pPr>
              <w:pStyle w:val="Compact"/>
            </w:pPr>
            <w:r>
              <w:t xml:space="preserve">§§ 5402–5404 (URLs above): "on request"</w:t>
            </w:r>
          </w:p>
        </w:tc>
        <w:tc>
          <w:tcPr/>
          <w:p>
            <w:pPr>
              <w:pStyle w:val="Compact"/>
            </w:pPr>
            <w:r>
              <w:t xml:space="preserve">None. Gaps G9–G11 (levies, reclamation) may still delay payment in practice.</w:t>
            </w:r>
          </w:p>
        </w:tc>
      </w:tr>
      <w:tr>
        <w:tc>
          <w:tcPr/>
          <w:p>
            <w:pPr>
              <w:pStyle w:val="Compact"/>
            </w:pPr>
            <w:r>
              <w:t xml:space="preserve">10</w:t>
            </w:r>
          </w:p>
        </w:tc>
        <w:tc>
          <w:tcPr/>
          <w:p>
            <w:pPr>
              <w:pStyle w:val="Compact"/>
            </w:pPr>
            <w:r>
              <w:t xml:space="preserve">spec › Path A › Liability protection</w:t>
            </w:r>
          </w:p>
        </w:tc>
        <w:tc>
          <w:tcPr/>
          <w:p>
            <w:pPr>
              <w:pStyle w:val="Compact"/>
            </w:pPr>
            <w:r>
              <w:t xml:space="preserve">Payment under §§ 5401–5404 discharges the institution from all claims, even if inconsistent with beneficial ownership.</w:t>
            </w:r>
          </w:p>
        </w:tc>
        <w:tc>
          <w:tcPr/>
          <w:p>
            <w:pPr>
              <w:pStyle w:val="Compact"/>
            </w:pPr>
            <w:r>
              <w:rPr>
                <w:b/>
                <w:bCs/>
              </w:rPr>
              <w:t xml:space="preserve">Verified with correction.</w:t>
            </w:r>
            <w:r>
              <w:t xml:space="preserve"> </w:t>
            </w:r>
            <w:r>
              <w:t xml:space="preserve">Case law holds that protection presupposes the payee is a proper party under the account terms (e.g. not added in violation of § 5303). Statute says protection is not affected by other notices (§ 5405(b), second sentence).</w:t>
            </w:r>
          </w:p>
        </w:tc>
        <w:tc>
          <w:tcPr/>
          <w:p>
            <w:pPr>
              <w:pStyle w:val="Compact"/>
            </w:pPr>
            <w:r>
              <w:t xml:space="preserve">§ 5405(a): "discharges the financial institution from all claims for amounts so paid whether or not the payment is consistent with the beneficial ownership."</w:t>
            </w:r>
            <w:r>
              <w:t xml:space="preserve"> </w:t>
            </w:r>
            <w:hyperlink r:id="rId36">
              <w:r>
                <w:rPr>
                  <w:rStyle w:val="Hyperlink"/>
                </w:rPr>
                <w:t xml:space="preserve">https://california.public.law/codes/probate_code_section_5405</w:t>
              </w:r>
            </w:hyperlink>
            <w:r>
              <w:t xml:space="preserve"> </w:t>
            </w:r>
            <w:r>
              <w:t xml:space="preserve">;</w:t>
            </w:r>
            <w:r>
              <w:t xml:space="preserve"> </w:t>
            </w:r>
            <w:r>
              <w:rPr>
                <w:i/>
                <w:iCs/>
              </w:rPr>
              <w:t xml:space="preserve">Stevens</w:t>
            </w:r>
            <w:r>
              <w:t xml:space="preserve">: "this presupposes the person is a proper party."</w:t>
            </w:r>
            <w:r>
              <w:t xml:space="preserve"> </w:t>
            </w:r>
            <w:hyperlink r:id="rId37">
              <w:r>
                <w:rPr>
                  <w:rStyle w:val="Hyperlink"/>
                </w:rPr>
                <w:t xml:space="preserve">https://static.case.law/cal-app-4th/177/cases/0236-01.json</w:t>
              </w:r>
            </w:hyperlink>
          </w:p>
        </w:tc>
        <w:tc>
          <w:tcPr/>
          <w:p>
            <w:pPr>
              <w:pStyle w:val="Compact"/>
            </w:pPr>
            <w:r>
              <w:t xml:space="preserve">Add: protection assumes the payee's status comes from account terms validly set or changed under § 5303. Cite § 5405(b): "No other notice or any other information ... shall affect its right to the protection."</w:t>
            </w:r>
          </w:p>
        </w:tc>
      </w:tr>
      <w:tr>
        <w:tc>
          <w:tcPr/>
          <w:p>
            <w:pPr>
              <w:pStyle w:val="Compact"/>
            </w:pPr>
            <w:r>
              <w:t xml:space="preserve">11</w:t>
            </w:r>
          </w:p>
        </w:tc>
        <w:tc>
          <w:tcPr/>
          <w:p>
            <w:pPr>
              <w:pStyle w:val="Compact"/>
            </w:pPr>
            <w:r>
              <w:t xml:space="preserve">spec › Path A › Liability; Not determinable</w:t>
            </w:r>
          </w:p>
        </w:tc>
        <w:tc>
          <w:tcPr/>
          <w:p>
            <w:pPr>
              <w:pStyle w:val="Compact"/>
            </w:pPr>
            <w:r>
              <w:t xml:space="preserve">No protection after the institution is served with a court order restraining payment.</w:t>
            </w:r>
          </w:p>
        </w:tc>
        <w:tc>
          <w:tcPr/>
          <w:p>
            <w:pPr>
              <w:pStyle w:val="Compact"/>
            </w:pPr>
            <w:r>
              <w:rPr>
                <w:b/>
                <w:bCs/>
              </w:rPr>
              <w:t xml:space="preserve">Verified.</w:t>
            </w:r>
          </w:p>
        </w:tc>
        <w:tc>
          <w:tcPr/>
          <w:p>
            <w:pPr>
              <w:pStyle w:val="Compact"/>
            </w:pPr>
            <w:r>
              <w:t xml:space="preserve">§ 5405(b): "does not extend to payments made after the financial institution has been served with a court order restraining payment." (same URL)</w:t>
            </w:r>
          </w:p>
        </w:tc>
        <w:tc>
          <w:tcPr/>
          <w:p>
            <w:pPr>
              <w:pStyle w:val="Compact"/>
            </w:pPr>
            <w:r>
              <w:t xml:space="preserve">Also see Fin. Code § 1450(b), § 6661(b) and gap G4.</w:t>
            </w:r>
          </w:p>
        </w:tc>
      </w:tr>
      <w:tr>
        <w:tc>
          <w:tcPr/>
          <w:p>
            <w:pPr>
              <w:pStyle w:val="Compact"/>
            </w:pPr>
            <w:r>
              <w:t xml:space="preserve">12</w:t>
            </w:r>
          </w:p>
        </w:tc>
        <w:tc>
          <w:tcPr/>
          <w:p>
            <w:pPr>
              <w:pStyle w:val="Compact"/>
            </w:pPr>
            <w:r>
              <w:t xml:space="preserve">spec › Path A › Not determinable</w:t>
            </w:r>
          </w:p>
        </w:tc>
        <w:tc>
          <w:tcPr/>
          <w:p>
            <w:pPr>
              <w:pStyle w:val="Compact"/>
            </w:pPr>
            <w:r>
              <w:t xml:space="preserve">Former spouse as POD payee or Totten beneficiary: may fail under § 5040.</w:t>
            </w:r>
          </w:p>
        </w:tc>
        <w:tc>
          <w:tcPr/>
          <w:p>
            <w:pPr>
              <w:pStyle w:val="Compact"/>
            </w:pPr>
            <w:r>
              <w:rPr>
                <w:b/>
                <w:bCs/>
              </w:rPr>
              <w:t xml:space="preserve">Verified with correction.</w:t>
            </w:r>
            <w:r>
              <w:t xml:space="preserve"> </w:t>
            </w:r>
            <w:r>
              <w:t xml:space="preserve">Statute says it applies to any "nonprobate transfer", which includes account-agreement provisions (§§ 5040(e), 5000(a)). Section 5302 itself is "Subject to Section 5040", so joint-account survivorship in favor of a former spouse is also covered. Section 5040(a) requires an instrument "executed by the transferor before or during the marriage". Section 5048(c) keeps pre-2002 law where the dissolution was before 2002.</w:t>
            </w:r>
          </w:p>
        </w:tc>
        <w:tc>
          <w:tcPr/>
          <w:p>
            <w:pPr>
              <w:pStyle w:val="Compact"/>
            </w:pPr>
            <w:r>
              <w:t xml:space="preserve">§ 5040(a): "a nonprobate transfer to the transferor's former spouse ... fails if, at the time of the transferor's death, the former spouse is not the transferor's surviving spouse."</w:t>
            </w:r>
            <w:r>
              <w:t xml:space="preserve"> </w:t>
            </w:r>
            <w:hyperlink r:id="rId38">
              <w:r>
                <w:rPr>
                  <w:rStyle w:val="Hyperlink"/>
                </w:rPr>
                <w:t xml:space="preserve">https://california.public.law/codes/probate_code_section_5040</w:t>
              </w:r>
            </w:hyperlink>
            <w:r>
              <w:t xml:space="preserve"> </w:t>
            </w:r>
            <w:r>
              <w:t xml:space="preserve">; § 5048(c)</w:t>
            </w:r>
            <w:r>
              <w:t xml:space="preserve"> </w:t>
            </w:r>
            <w:hyperlink r:id="rId39">
              <w:r>
                <w:rPr>
                  <w:rStyle w:val="Hyperlink"/>
                </w:rPr>
                <w:t xml:space="preserve">https://california.public.law/codes/probate_code_section_5048</w:t>
              </w:r>
            </w:hyperlink>
          </w:p>
        </w:tc>
        <w:tc>
          <w:tcPr/>
          <w:p>
            <w:pPr>
              <w:pStyle w:val="Compact"/>
            </w:pPr>
            <w:r>
              <w:t xml:space="preserve">Extend to a surviving joint party who is a former spouse or former registered domestic partner. Keep it not determinable.</w:t>
            </w:r>
          </w:p>
        </w:tc>
      </w:tr>
      <w:tr>
        <w:tc>
          <w:tcPr/>
          <w:p>
            <w:pPr>
              <w:pStyle w:val="Compact"/>
            </w:pPr>
            <w:r>
              <w:t xml:space="preserve">13</w:t>
            </w:r>
          </w:p>
        </w:tc>
        <w:tc>
          <w:tcPr/>
          <w:p>
            <w:pPr>
              <w:pStyle w:val="Compact"/>
            </w:pPr>
            <w:r>
              <w:t xml:space="preserve">spec › Path A › Not determinable</w:t>
            </w:r>
          </w:p>
        </w:tc>
        <w:tc>
          <w:tcPr/>
          <w:p>
            <w:pPr>
              <w:pStyle w:val="Compact"/>
            </w:pPr>
            <w:r>
              <w:t xml:space="preserve">If no POD payee or Totten beneficiary survived, the account passes through the estate (Path B or probate).</w:t>
            </w:r>
          </w:p>
        </w:tc>
        <w:tc>
          <w:tcPr/>
          <w:p>
            <w:pPr>
              <w:pStyle w:val="Compact"/>
            </w:pPr>
            <w:r>
              <w:rPr>
                <w:b/>
                <w:bCs/>
              </w:rPr>
              <w:t xml:space="preserve">Verified with correction.</w:t>
            </w:r>
            <w:r>
              <w:t xml:space="preserve"> </w:t>
            </w:r>
            <w:r>
              <w:t xml:space="preserve">Statute says it goes to the estate only if</w:t>
            </w:r>
            <w:r>
              <w:t xml:space="preserve"> </w:t>
            </w:r>
            <w:r>
              <w:rPr>
                <w:b/>
                <w:bCs/>
              </w:rPr>
              <w:t xml:space="preserve">no</w:t>
            </w:r>
            <w:r>
              <w:t xml:space="preserve"> </w:t>
            </w:r>
            <w:r>
              <w:t xml:space="preserve">payee survived (§ 5302(b)(2)(A), "survivor of them"). Sections 5403 and 5404 also allow paying the personal representative or heirs of the last survivor on proof of death.</w:t>
            </w:r>
          </w:p>
        </w:tc>
        <w:tc>
          <w:tcPr/>
          <w:p>
            <w:pPr>
              <w:pStyle w:val="Compact"/>
            </w:pPr>
            <w:r>
              <w:t xml:space="preserve">§§ 5302, 5403, 5404 (URLs above)</w:t>
            </w:r>
          </w:p>
        </w:tc>
        <w:tc>
          <w:tcPr/>
          <w:p>
            <w:pPr>
              <w:pStyle w:val="Compact"/>
            </w:pPr>
            <w:r>
              <w:t xml:space="preserve">Clarify "no payee survived the last party".</w:t>
            </w:r>
          </w:p>
        </w:tc>
      </w:tr>
      <w:tr>
        <w:tc>
          <w:tcPr/>
          <w:p>
            <w:pPr>
              <w:pStyle w:val="Compact"/>
            </w:pPr>
            <w:r>
              <w:t xml:space="preserve">14</w:t>
            </w:r>
          </w:p>
        </w:tc>
        <w:tc>
          <w:tcPr/>
          <w:p>
            <w:pPr>
              <w:pStyle w:val="Compact"/>
            </w:pPr>
            <w:r>
              <w:t xml:space="preserve">spec › Path A › Not determinable</w:t>
            </w:r>
          </w:p>
        </w:tc>
        <w:tc>
          <w:tcPr/>
          <w:p>
            <w:pPr>
              <w:pStyle w:val="Compact"/>
            </w:pPr>
            <w:r>
              <w:t xml:space="preserve">Terms require multiple survivors' signatures (§ 5401(b)), or a § 5405(c) written notice is held.</w:t>
            </w:r>
          </w:p>
        </w:tc>
        <w:tc>
          <w:tcPr/>
          <w:p>
            <w:pPr>
              <w:pStyle w:val="Compact"/>
            </w:pPr>
            <w:r>
              <w:rPr>
                <w:b/>
                <w:bCs/>
              </w:rPr>
              <w:t xml:space="preserve">Verified.</w:t>
            </w:r>
            <w:r>
              <w:t xml:space="preserve"> </w:t>
            </w:r>
            <w:r>
              <w:t xml:space="preserve">Statute says § 5405(c) excludes checking, share-draft and similar accounts. Section 5401(b) says such terms "do not limit the right of the sole survivor or of all of the survivors to receive the sums."</w:t>
            </w:r>
          </w:p>
        </w:tc>
        <w:tc>
          <w:tcPr/>
          <w:p>
            <w:pPr>
              <w:pStyle w:val="Compact"/>
            </w:pPr>
            <w:r>
              <w:t xml:space="preserve">§ 5405(c) (URL above); § 5401(b) (URL above)</w:t>
            </w:r>
          </w:p>
        </w:tc>
        <w:tc>
          <w:tcPr/>
          <w:p>
            <w:pPr>
              <w:pStyle w:val="Compact"/>
            </w:pPr>
            <w:r>
              <w:t xml:space="preserve">Keep it not determinable (conservative). Note the checking-account carve-out for later refinement.</w:t>
            </w:r>
          </w:p>
        </w:tc>
      </w:tr>
      <w:tr>
        <w:tc>
          <w:tcPr/>
          <w:p>
            <w:pPr>
              <w:pStyle w:val="Compact"/>
            </w:pPr>
            <w:r>
              <w:t xml:space="preserve">15</w:t>
            </w:r>
          </w:p>
        </w:tc>
        <w:tc>
          <w:tcPr/>
          <w:p>
            <w:pPr>
              <w:pStyle w:val="Compact"/>
            </w:pPr>
            <w:r>
              <w:t xml:space="preserve">spec › Path B › Eligibility</w:t>
            </w:r>
          </w:p>
        </w:tc>
        <w:tc>
          <w:tcPr/>
          <w:p>
            <w:pPr>
              <w:pStyle w:val="Compact"/>
            </w:pPr>
            <w:r>
              <w:t xml:space="preserve">Gross value of California real and personal property ≤ the limit, excluding § 13050 property and § 13151-petition property; the listed exclusions.</w:t>
            </w:r>
          </w:p>
        </w:tc>
        <w:tc>
          <w:tcPr/>
          <w:p>
            <w:pPr>
              <w:pStyle w:val="Compact"/>
            </w:pPr>
            <w:r>
              <w:rPr>
                <w:b/>
                <w:bCs/>
              </w:rPr>
              <w:t xml:space="preserve">Verified with correction.</w:t>
            </w:r>
            <w:r>
              <w:t xml:space="preserve"> </w:t>
            </w:r>
            <w:r>
              <w:t xml:space="preserve">The spec's list omits § 13050(a)(1) "a life or other interest terminable upon the decedent's death". Vehicles also include those "titled under Division 16.5"; manufactured homes include "commercial coach, truck camper, or floating home". Statute says the affidavit states the</w:t>
            </w:r>
            <w:r>
              <w:t xml:space="preserve"> </w:t>
            </w:r>
            <w:r>
              <w:rPr>
                <w:b/>
                <w:bCs/>
              </w:rPr>
              <w:t xml:space="preserve">current</w:t>
            </w:r>
            <w:r>
              <w:t xml:space="preserve"> </w:t>
            </w:r>
            <w:r>
              <w:t xml:space="preserve">gross fair market value (§ 13101(a)(5)).</w:t>
            </w:r>
          </w:p>
        </w:tc>
        <w:tc>
          <w:tcPr/>
          <w:p>
            <w:pPr>
              <w:pStyle w:val="Compact"/>
            </w:pPr>
            <w:r>
              <w:t xml:space="preserve">§ 13050(a)(1): "held by the decedent as a joint tenant, or in which the decedent had a life or other interest terminable upon the decedent's death ... shall be excluded."</w:t>
            </w:r>
            <w:r>
              <w:t xml:space="preserve"> </w:t>
            </w:r>
            <w:hyperlink r:id="rId40">
              <w:r>
                <w:rPr>
                  <w:rStyle w:val="Hyperlink"/>
                </w:rPr>
                <w:t xml:space="preserve">https://california.public.law/codes/probate_code_section_13050</w:t>
              </w:r>
            </w:hyperlink>
            <w:r>
              <w:t xml:space="preserve"> </w:t>
            </w:r>
            <w:r>
              <w:t xml:space="preserve">; § 13101(a)(5): "The current gross fair market value..."</w:t>
            </w:r>
            <w:r>
              <w:t xml:space="preserve"> </w:t>
            </w:r>
            <w:hyperlink r:id="rId41">
              <w:r>
                <w:rPr>
                  <w:rStyle w:val="Hyperlink"/>
                </w:rPr>
                <w:t xml:space="preserve">https://california.public.law/codes/probate_code_section_13101</w:t>
              </w:r>
            </w:hyperlink>
          </w:p>
        </w:tc>
        <w:tc>
          <w:tcPr/>
          <w:p>
            <w:pPr>
              <w:pStyle w:val="Compact"/>
            </w:pPr>
            <w:r>
              <w:t xml:space="preserve">Add the missing exclusion. Define</w:t>
            </w:r>
            <w:r>
              <w:t xml:space="preserve"> </w:t>
            </w:r>
            <w:r>
              <w:rPr>
                <w:rStyle w:val="VerbatimChar"/>
              </w:rPr>
              <w:t xml:space="preserve">declared_value</w:t>
            </w:r>
            <w:r>
              <w:t xml:space="preserve"> </w:t>
            </w:r>
            <w:r>
              <w:t xml:space="preserve">as the current gross fair market value stated in the affidavit.</w:t>
            </w:r>
          </w:p>
        </w:tc>
      </w:tr>
      <w:tr>
        <w:tc>
          <w:tcPr/>
          <w:p>
            <w:pPr>
              <w:pStyle w:val="Compact"/>
            </w:pPr>
            <w:r>
              <w:t xml:space="preserve">16</w:t>
            </w:r>
          </w:p>
        </w:tc>
        <w:tc>
          <w:tcPr/>
          <w:p>
            <w:pPr>
              <w:pStyle w:val="Compact"/>
            </w:pPr>
            <w:r>
              <w:t xml:space="preserve">spec › Path B › Eligibility</w:t>
            </w:r>
          </w:p>
        </w:tc>
        <w:tc>
          <w:tcPr/>
          <w:p>
            <w:pPr>
              <w:pStyle w:val="Compact"/>
            </w:pPr>
            <w:r>
              <w:t xml:space="preserve">Excludes Armed Forces pay and wages up to the § 13050(c) adjusted amount.</w:t>
            </w:r>
          </w:p>
        </w:tc>
        <w:tc>
          <w:tcPr/>
          <w:p>
            <w:pPr>
              <w:pStyle w:val="Compact"/>
            </w:pPr>
            <w:r>
              <w:rPr>
                <w:b/>
                <w:bCs/>
              </w:rPr>
              <w:t xml:space="preserve">Verified.</w:t>
            </w:r>
            <w:r>
              <w:t xml:space="preserve"> </w:t>
            </w:r>
            <w:r>
              <w:t xml:space="preserve">The Judicial Council list gives $18,450 (deaths 2022-04-01 to 2025-03-31) and $20,875 (from 2025-04-01).</w:t>
            </w:r>
          </w:p>
        </w:tc>
        <w:tc>
          <w:tcPr/>
          <w:p>
            <w:pPr>
              <w:pStyle w:val="Compact"/>
            </w:pPr>
            <w:r>
              <w:t xml:space="preserve">§ 13050(c)(1)–(2) (URL above); JC list: "§ 13050(c) $16,625 $18,450 $20,875"</w:t>
            </w:r>
            <w:r>
              <w:t xml:space="preserve"> </w:t>
            </w:r>
            <w:hyperlink r:id="rId25">
              <w:r>
                <w:rPr>
                  <w:rStyle w:val="Hyperlink"/>
                </w:rPr>
                <w:t xml:space="preserve">https://courts.ca.gov/system/files/file/probate-code-890-adjusted-amounts.pdf</w:t>
              </w:r>
            </w:hyperlink>
          </w:p>
        </w:tc>
        <w:tc>
          <w:tcPr/>
          <w:p>
            <w:pPr>
              <w:pStyle w:val="Compact"/>
            </w:pPr>
            <w:r>
              <w:t xml:space="preserve">None.</w:t>
            </w:r>
          </w:p>
        </w:tc>
      </w:tr>
      <w:tr>
        <w:tc>
          <w:tcPr/>
          <w:p>
            <w:pPr>
              <w:pStyle w:val="Compact"/>
            </w:pPr>
            <w:r>
              <w:t xml:space="preserve">17</w:t>
            </w:r>
          </w:p>
        </w:tc>
        <w:tc>
          <w:tcPr/>
          <w:p>
            <w:pPr>
              <w:pStyle w:val="Compact"/>
            </w:pPr>
            <w:r>
              <w:t xml:space="preserve">spec › Path B › Eligibility</w:t>
            </w:r>
          </w:p>
        </w:tc>
        <w:tc>
          <w:tcPr/>
          <w:p>
            <w:pPr>
              <w:pStyle w:val="Compact"/>
            </w:pPr>
            <w:r>
              <w:t xml:space="preserve">At least 40 days have elapsed since the death (§§ 13100, 13101(a)(3)).</w:t>
            </w:r>
          </w:p>
        </w:tc>
        <w:tc>
          <w:tcPr/>
          <w:p>
            <w:pPr>
              <w:pStyle w:val="Compact"/>
            </w:pPr>
            <w:r>
              <w:rPr>
                <w:b/>
                <w:bCs/>
              </w:rPr>
              <w:t xml:space="preserve">Verified.</w:t>
            </w:r>
          </w:p>
        </w:tc>
        <w:tc>
          <w:tcPr/>
          <w:p>
            <w:pPr>
              <w:pStyle w:val="Compact"/>
            </w:pPr>
            <w:r>
              <w:t xml:space="preserve">§ 13100: "and if 40 days have elapsed since the death of the decedent"</w:t>
            </w:r>
            <w:r>
              <w:t xml:space="preserve"> </w:t>
            </w:r>
            <w:hyperlink r:id="rId42">
              <w:r>
                <w:rPr>
                  <w:rStyle w:val="Hyperlink"/>
                </w:rPr>
                <w:t xml:space="preserve">https://california.public.law/codes/probate_code_section_13100</w:t>
              </w:r>
            </w:hyperlink>
          </w:p>
        </w:tc>
        <w:tc>
          <w:tcPr/>
          <w:p>
            <w:pPr>
              <w:pStyle w:val="Compact"/>
            </w:pPr>
            <w:r>
              <w:t xml:space="preserve">See row 50 (Q3).</w:t>
            </w:r>
          </w:p>
        </w:tc>
      </w:tr>
      <w:tr>
        <w:tc>
          <w:tcPr/>
          <w:p>
            <w:pPr>
              <w:pStyle w:val="Compact"/>
            </w:pPr>
            <w:r>
              <w:t xml:space="preserve">18</w:t>
            </w:r>
          </w:p>
        </w:tc>
        <w:tc>
          <w:tcPr/>
          <w:p>
            <w:pPr>
              <w:pStyle w:val="Compact"/>
            </w:pPr>
            <w:r>
              <w:t xml:space="preserve">spec › Path B › Eligibility</w:t>
            </w:r>
          </w:p>
        </w:tc>
        <w:tc>
          <w:tcPr/>
          <w:p>
            <w:pPr>
              <w:pStyle w:val="Compact"/>
            </w:pPr>
            <w:r>
              <w:t xml:space="preserve">No California administration proceeding, or the personal representative consented in writing.</w:t>
            </w:r>
          </w:p>
        </w:tc>
        <w:tc>
          <w:tcPr/>
          <w:p>
            <w:pPr>
              <w:pStyle w:val="Compact"/>
            </w:pPr>
            <w:r>
              <w:rPr>
                <w:b/>
                <w:bCs/>
              </w:rPr>
              <w:t xml:space="preserve">Verified.</w:t>
            </w:r>
            <w:r>
              <w:t xml:space="preserve"> </w:t>
            </w:r>
            <w:r>
              <w:t xml:space="preserve">Statute says the same rule appears in § 13108(a). Only a</w:t>
            </w:r>
            <w:r>
              <w:t xml:space="preserve"> </w:t>
            </w:r>
            <w:r>
              <w:rPr>
                <w:b/>
                <w:bCs/>
              </w:rPr>
              <w:t xml:space="preserve">California</w:t>
            </w:r>
            <w:r>
              <w:t xml:space="preserve"> </w:t>
            </w:r>
            <w:r>
              <w:t xml:space="preserve">proceeding bars use.</w:t>
            </w:r>
          </w:p>
        </w:tc>
        <w:tc>
          <w:tcPr/>
          <w:p>
            <w:pPr>
              <w:pStyle w:val="Compact"/>
            </w:pPr>
            <w:r>
              <w:t xml:space="preserve">§ 13101(a)(4)(A): "No proceeding is now being or has been conducted in California for administration of the decedent's estate." § 13108(a)</w:t>
            </w:r>
            <w:r>
              <w:t xml:space="preserve"> </w:t>
            </w:r>
            <w:hyperlink r:id="rId43">
              <w:r>
                <w:rPr>
                  <w:rStyle w:val="Hyperlink"/>
                </w:rPr>
                <w:t xml:space="preserve">https://california.public.law/codes/probate_code_section_13108</w:t>
              </w:r>
            </w:hyperlink>
          </w:p>
        </w:tc>
        <w:tc>
          <w:tcPr/>
          <w:p>
            <w:pPr>
              <w:pStyle w:val="Compact"/>
            </w:pPr>
            <w:r>
              <w:t xml:space="preserve">Cite § 13108 too.</w:t>
            </w:r>
          </w:p>
        </w:tc>
      </w:tr>
      <w:tr>
        <w:tc>
          <w:tcPr/>
          <w:p>
            <w:pPr>
              <w:pStyle w:val="Compact"/>
            </w:pPr>
            <w:r>
              <w:t xml:space="preserve">19</w:t>
            </w:r>
          </w:p>
        </w:tc>
        <w:tc>
          <w:tcPr/>
          <w:p>
            <w:pPr>
              <w:pStyle w:val="Compact"/>
            </w:pPr>
            <w:r>
              <w:t xml:space="preserve">spec › Path B › Value limit</w:t>
            </w:r>
          </w:p>
        </w:tc>
        <w:tc>
          <w:tcPr/>
          <w:p>
            <w:pPr>
              <w:pStyle w:val="Compact"/>
            </w:pPr>
            <w:r>
              <w:t xml:space="preserve">Limit set under § 890 and published by the Judicial Council; a value equal to the limit is eligible.</w:t>
            </w:r>
          </w:p>
        </w:tc>
        <w:tc>
          <w:tcPr/>
          <w:p>
            <w:pPr>
              <w:pStyle w:val="Compact"/>
            </w:pPr>
            <w:r>
              <w:rPr>
                <w:b/>
                <w:bCs/>
              </w:rPr>
              <w:t xml:space="preserve">Verified.</w:t>
            </w:r>
          </w:p>
        </w:tc>
        <w:tc>
          <w:tcPr/>
          <w:p>
            <w:pPr>
              <w:pStyle w:val="Compact"/>
            </w:pPr>
            <w:r>
              <w:t xml:space="preserve">§ 13100: "does not exceed"; § 890(c)</w:t>
            </w:r>
            <w:r>
              <w:t xml:space="preserve"> </w:t>
            </w:r>
            <w:hyperlink r:id="rId44">
              <w:r>
                <w:rPr>
                  <w:rStyle w:val="Hyperlink"/>
                </w:rPr>
                <w:t xml:space="preserve">https://california.public.law/codes/probate_code_section_890</w:t>
              </w:r>
            </w:hyperlink>
          </w:p>
        </w:tc>
        <w:tc>
          <w:tcPr/>
          <w:p>
            <w:pPr>
              <w:pStyle w:val="Compact"/>
            </w:pPr>
            <w:r>
              <w:t xml:space="preserve">None.</w:t>
            </w:r>
          </w:p>
        </w:tc>
      </w:tr>
      <w:tr>
        <w:tc>
          <w:tcPr/>
          <w:p>
            <w:pPr>
              <w:pStyle w:val="Compact"/>
            </w:pPr>
            <w:r>
              <w:t xml:space="preserve">20</w:t>
            </w:r>
          </w:p>
        </w:tc>
        <w:tc>
          <w:tcPr/>
          <w:p>
            <w:pPr>
              <w:pStyle w:val="Compact"/>
            </w:pPr>
            <w:r>
              <w:t xml:space="preserve">spec › Path B › Value limit</w:t>
            </w:r>
          </w:p>
        </w:tc>
        <w:tc>
          <w:tcPr/>
          <w:p>
            <w:pPr>
              <w:pStyle w:val="Compact"/>
            </w:pPr>
            <w:r>
              <w:t xml:space="preserve">Death before 2022-04-01: $166,250.</w:t>
            </w:r>
          </w:p>
        </w:tc>
        <w:tc>
          <w:tcPr/>
          <w:p>
            <w:pPr>
              <w:pStyle w:val="Compact"/>
            </w:pPr>
            <w:r>
              <w:rPr>
                <w:b/>
                <w:bCs/>
              </w:rPr>
              <w:t xml:space="preserve">Verified.</w:t>
            </w:r>
          </w:p>
        </w:tc>
        <w:tc>
          <w:tcPr/>
          <w:p>
            <w:pPr>
              <w:pStyle w:val="Compact"/>
            </w:pPr>
            <w:r>
              <w:t xml:space="preserve">§ 13101(g)(1): "one hundred sixty-six thousand two hundred fifty dollars ($166,250)"; JC list</w:t>
            </w:r>
          </w:p>
        </w:tc>
        <w:tc>
          <w:tcPr/>
          <w:p>
            <w:pPr>
              <w:pStyle w:val="Compact"/>
            </w:pPr>
            <w:r>
              <w:t xml:space="preserve">None.</w:t>
            </w:r>
          </w:p>
        </w:tc>
      </w:tr>
      <w:tr>
        <w:tc>
          <w:tcPr/>
          <w:p>
            <w:pPr>
              <w:pStyle w:val="Compact"/>
            </w:pPr>
            <w:r>
              <w:t xml:space="preserve">21</w:t>
            </w:r>
          </w:p>
        </w:tc>
        <w:tc>
          <w:tcPr/>
          <w:p>
            <w:pPr>
              <w:pStyle w:val="Compact"/>
            </w:pPr>
            <w:r>
              <w:t xml:space="preserve">spec › Path B › Value limit</w:t>
            </w:r>
          </w:p>
        </w:tc>
        <w:tc>
          <w:tcPr/>
          <w:p>
            <w:pPr>
              <w:pStyle w:val="Compact"/>
            </w:pPr>
            <w:r>
              <w:t xml:space="preserve">Death 2022-04-01 to 2025-03-31: $184,500.</w:t>
            </w:r>
          </w:p>
        </w:tc>
        <w:tc>
          <w:tcPr/>
          <w:p>
            <w:pPr>
              <w:pStyle w:val="Compact"/>
            </w:pPr>
            <w:r>
              <w:rPr>
                <w:b/>
                <w:bCs/>
              </w:rPr>
              <w:t xml:space="preserve">Verified.</w:t>
            </w:r>
          </w:p>
        </w:tc>
        <w:tc>
          <w:tcPr/>
          <w:p>
            <w:pPr>
              <w:pStyle w:val="Compact"/>
            </w:pPr>
            <w:r>
              <w:t xml:space="preserve">JC list, row "§§ 13100, 13101 $166,250 $184,500 $208,850"</w:t>
            </w:r>
          </w:p>
        </w:tc>
        <w:tc>
          <w:tcPr/>
          <w:p>
            <w:pPr>
              <w:pStyle w:val="Compact"/>
            </w:pPr>
            <w:r>
              <w:t xml:space="preserve">None.</w:t>
            </w:r>
          </w:p>
        </w:tc>
      </w:tr>
      <w:tr>
        <w:tc>
          <w:tcPr/>
          <w:p>
            <w:pPr>
              <w:pStyle w:val="Compact"/>
            </w:pPr>
            <w:r>
              <w:t xml:space="preserve">22</w:t>
            </w:r>
          </w:p>
        </w:tc>
        <w:tc>
          <w:tcPr/>
          <w:p>
            <w:pPr>
              <w:pStyle w:val="Compact"/>
            </w:pPr>
            <w:r>
              <w:t xml:space="preserve">spec › Path B › Value limit</w:t>
            </w:r>
          </w:p>
        </w:tc>
        <w:tc>
          <w:tcPr/>
          <w:p>
            <w:pPr>
              <w:pStyle w:val="Compact"/>
            </w:pPr>
            <w:r>
              <w:t xml:space="preserve">Death on or after 2025-04-01: $208,850.</w:t>
            </w:r>
          </w:p>
        </w:tc>
        <w:tc>
          <w:tcPr/>
          <w:p>
            <w:pPr>
              <w:pStyle w:val="Compact"/>
            </w:pPr>
            <w:r>
              <w:rPr>
                <w:b/>
                <w:bCs/>
              </w:rPr>
              <w:t xml:space="preserve">Verified.</w:t>
            </w:r>
          </w:p>
        </w:tc>
        <w:tc>
          <w:tcPr/>
          <w:p>
            <w:pPr>
              <w:pStyle w:val="Compact"/>
            </w:pPr>
            <w:r>
              <w:t xml:space="preserve">JC list (as above)</w:t>
            </w:r>
          </w:p>
        </w:tc>
        <w:tc>
          <w:tcPr/>
          <w:p>
            <w:pPr>
              <w:pStyle w:val="Compact"/>
            </w:pPr>
            <w:r>
              <w:t xml:space="preserve">None.</w:t>
            </w:r>
          </w:p>
        </w:tc>
      </w:tr>
      <w:tr>
        <w:tc>
          <w:tcPr/>
          <w:p>
            <w:pPr>
              <w:pStyle w:val="Compact"/>
            </w:pPr>
            <w:r>
              <w:t xml:space="preserve">23</w:t>
            </w:r>
          </w:p>
        </w:tc>
        <w:tc>
          <w:tcPr/>
          <w:p>
            <w:pPr>
              <w:pStyle w:val="Compact"/>
            </w:pPr>
            <w:r>
              <w:t xml:space="preserve">spec › Path B › Value limit</w:t>
            </w:r>
          </w:p>
        </w:tc>
        <w:tc>
          <w:tcPr/>
          <w:p>
            <w:pPr>
              <w:pStyle w:val="Compact"/>
            </w:pPr>
            <w:r>
              <w:t xml:space="preserve">Next adjustment scheduled 2028-04-01.</w:t>
            </w:r>
          </w:p>
        </w:tc>
        <w:tc>
          <w:tcPr/>
          <w:p>
            <w:pPr>
              <w:pStyle w:val="Compact"/>
            </w:pPr>
            <w:r>
              <w:rPr>
                <w:b/>
                <w:bCs/>
              </w:rPr>
              <w:t xml:space="preserve">Verified.</w:t>
            </w:r>
          </w:p>
        </w:tc>
        <w:tc>
          <w:tcPr/>
          <w:p>
            <w:pPr>
              <w:pStyle w:val="Compact"/>
            </w:pPr>
            <w:r>
              <w:t xml:space="preserve">JC list: "Unless otherwise provided by statute, these amounts will next be adjusted on April 1, 2028."</w:t>
            </w:r>
          </w:p>
        </w:tc>
        <w:tc>
          <w:tcPr/>
          <w:p>
            <w:pPr>
              <w:pStyle w:val="Compact"/>
            </w:pPr>
            <w:r>
              <w:t xml:space="preserve">Keep the "unless otherwise provided by statute" caveat.</w:t>
            </w:r>
          </w:p>
        </w:tc>
      </w:tr>
      <w:tr>
        <w:tc>
          <w:tcPr/>
          <w:p>
            <w:pPr>
              <w:pStyle w:val="Compact"/>
            </w:pPr>
            <w:r>
              <w:t xml:space="preserve">24</w:t>
            </w:r>
          </w:p>
        </w:tc>
        <w:tc>
          <w:tcPr/>
          <w:p>
            <w:pPr>
              <w:pStyle w:val="Compact"/>
            </w:pPr>
            <w:r>
              <w:t xml:space="preserve">spec › Path B › Value limit</w:t>
            </w:r>
          </w:p>
        </w:tc>
        <w:tc>
          <w:tcPr/>
          <w:p>
            <w:pPr>
              <w:pStyle w:val="Compact"/>
            </w:pPr>
            <w:r>
              <w:t xml:space="preserve">An adjustment never applies to a death before its effective date (§ 890(d)).</w:t>
            </w:r>
          </w:p>
        </w:tc>
        <w:tc>
          <w:tcPr/>
          <w:p>
            <w:pPr>
              <w:pStyle w:val="Compact"/>
            </w:pPr>
            <w:r>
              <w:rPr>
                <w:b/>
                <w:bCs/>
              </w:rPr>
              <w:t xml:space="preserve">Verified.</w:t>
            </w:r>
          </w:p>
        </w:tc>
        <w:tc>
          <w:tcPr/>
          <w:p>
            <w:pPr>
              <w:pStyle w:val="Compact"/>
            </w:pPr>
            <w:r>
              <w:t xml:space="preserve">§ 890(d): "Adjustments ... do not apply when the decedent's death preceded the date of adjustment." (URL above)</w:t>
            </w:r>
          </w:p>
        </w:tc>
        <w:tc>
          <w:tcPr/>
          <w:p>
            <w:pPr>
              <w:pStyle w:val="Compact"/>
            </w:pPr>
            <w:r>
              <w:t xml:space="preserve">None.</w:t>
            </w:r>
          </w:p>
        </w:tc>
      </w:tr>
      <w:tr>
        <w:tc>
          <w:tcPr/>
          <w:p>
            <w:pPr>
              <w:pStyle w:val="Compact"/>
            </w:pPr>
            <w:r>
              <w:t xml:space="preserve">25</w:t>
            </w:r>
          </w:p>
        </w:tc>
        <w:tc>
          <w:tcPr/>
          <w:p>
            <w:pPr>
              <w:pStyle w:val="Compact"/>
            </w:pPr>
            <w:r>
              <w:t xml:space="preserve">spec › Path B › Value limit</w:t>
            </w:r>
          </w:p>
        </w:tc>
        <w:tc>
          <w:tcPr/>
          <w:p>
            <w:pPr>
              <w:pStyle w:val="Compact"/>
            </w:pPr>
            <w:r>
              <w:t xml:space="preserve">Coverage begins with deaths on 2022-04-01.</w:t>
            </w:r>
          </w:p>
        </w:tc>
        <w:tc>
          <w:tcPr/>
          <w:p>
            <w:pPr>
              <w:pStyle w:val="Compact"/>
            </w:pPr>
            <w:r>
              <w:rPr>
                <w:b/>
                <w:bCs/>
              </w:rPr>
              <w:t xml:space="preserve">Verified</w:t>
            </w:r>
            <w:r>
              <w:t xml:space="preserve"> </w:t>
            </w:r>
            <w:r>
              <w:t xml:space="preserve">as an owner decision. It is consistent with the statutory breakpoint in § 13101(f), (g).</w:t>
            </w:r>
          </w:p>
        </w:tc>
        <w:tc>
          <w:tcPr/>
          <w:p>
            <w:pPr>
              <w:pStyle w:val="Compact"/>
            </w:pPr>
            <w:r>
              <w:t xml:space="preserve">§ 13101(f), (g) (URL above)</w:t>
            </w:r>
          </w:p>
        </w:tc>
        <w:tc>
          <w:tcPr/>
          <w:p>
            <w:pPr>
              <w:pStyle w:val="Compact"/>
            </w:pPr>
            <w:r>
              <w:t xml:space="preserve">None.</w:t>
            </w:r>
          </w:p>
        </w:tc>
      </w:tr>
      <w:tr>
        <w:tc>
          <w:tcPr/>
          <w:p>
            <w:pPr>
              <w:pStyle w:val="Compact"/>
            </w:pPr>
            <w:r>
              <w:t xml:space="preserve">26</w:t>
            </w:r>
          </w:p>
        </w:tc>
        <w:tc>
          <w:tcPr/>
          <w:p>
            <w:pPr>
              <w:pStyle w:val="Compact"/>
            </w:pPr>
            <w:r>
              <w:t xml:space="preserve">spec › Path B › Who is paid</w:t>
            </w:r>
          </w:p>
        </w:tc>
        <w:tc>
          <w:tcPr/>
          <w:p>
            <w:pPr>
              <w:pStyle w:val="Compact"/>
            </w:pPr>
            <w:r>
              <w:t xml:space="preserve">Pay those who sign as successor, or as a § 13051 representative; a successor takes under the will or by intestacy.</w:t>
            </w:r>
          </w:p>
        </w:tc>
        <w:tc>
          <w:tcPr/>
          <w:p>
            <w:pPr>
              <w:pStyle w:val="Compact"/>
            </w:pPr>
            <w:r>
              <w:rPr>
                <w:b/>
                <w:bCs/>
              </w:rPr>
              <w:t xml:space="preserve">Verified with correction.</w:t>
            </w:r>
            <w:r>
              <w:t xml:space="preserve"> </w:t>
            </w:r>
            <w:r>
              <w:t xml:space="preserve">Statute says "successor" means the sole beneficiary</w:t>
            </w:r>
            <w:r>
              <w:t xml:space="preserve"> </w:t>
            </w:r>
            <w:r>
              <w:rPr>
                <w:b/>
                <w:bCs/>
              </w:rPr>
              <w:t xml:space="preserve">or all</w:t>
            </w:r>
            <w:r>
              <w:t xml:space="preserve"> </w:t>
            </w:r>
            <w:r>
              <w:t xml:space="preserve">of the beneficiaries. A trust can be a beneficiary under the will. Sister-state or foreign succession law may govern. A sister-state personal representative may also use the procedure (§§ 12570, 13051(d)).</w:t>
            </w:r>
          </w:p>
        </w:tc>
        <w:tc>
          <w:tcPr/>
          <w:p>
            <w:pPr>
              <w:pStyle w:val="Compact"/>
            </w:pPr>
            <w:r>
              <w:t xml:space="preserve">§ 13006(a): "the sole beneficiary or all of the beneficiaries who succeeded to a particular item of property."</w:t>
            </w:r>
            <w:r>
              <w:t xml:space="preserve"> </w:t>
            </w:r>
            <w:hyperlink r:id="rId45">
              <w:r>
                <w:rPr>
                  <w:rStyle w:val="Hyperlink"/>
                </w:rPr>
                <w:t xml:space="preserve">https://california.public.law/codes/probate_code_section_13006</w:t>
              </w:r>
            </w:hyperlink>
            <w:r>
              <w:t xml:space="preserve"> </w:t>
            </w:r>
            <w:r>
              <w:t xml:space="preserve">; § 12570: "a sister state personal representative may ... use the affidavit procedure."</w:t>
            </w:r>
            <w:r>
              <w:t xml:space="preserve"> </w:t>
            </w:r>
            <w:hyperlink r:id="rId46">
              <w:r>
                <w:rPr>
                  <w:rStyle w:val="Hyperlink"/>
                </w:rPr>
                <w:t xml:space="preserve">https://california.public.law/codes/probate_code_section_12570</w:t>
              </w:r>
            </w:hyperlink>
          </w:p>
        </w:tc>
        <w:tc>
          <w:tcPr/>
          <w:p>
            <w:pPr>
              <w:pStyle w:val="Compact"/>
            </w:pPr>
            <w:r>
              <w:t xml:space="preserve">Add the sister-state personal representative as an affiant capacity. Engine facts should show whether the affiants are all the successors.</w:t>
            </w:r>
          </w:p>
        </w:tc>
      </w:tr>
      <w:tr>
        <w:tc>
          <w:tcPr/>
          <w:p>
            <w:pPr>
              <w:pStyle w:val="Compact"/>
            </w:pPr>
            <w:r>
              <w:t xml:space="preserve">27</w:t>
            </w:r>
          </w:p>
        </w:tc>
        <w:tc>
          <w:tcPr/>
          <w:p>
            <w:pPr>
              <w:pStyle w:val="Compact"/>
            </w:pPr>
            <w:r>
              <w:t xml:space="preserve">spec › Path B › Who is paid</w:t>
            </w:r>
          </w:p>
        </w:tc>
        <w:tc>
          <w:tcPr/>
          <w:p>
            <w:pPr>
              <w:pStyle w:val="Compact"/>
            </w:pPr>
            <w:r>
              <w:t xml:space="preserve">The institution may rely in good faith on the affidavit and has no duty to check its statements.</w:t>
            </w:r>
          </w:p>
        </w:tc>
        <w:tc>
          <w:tcPr/>
          <w:p>
            <w:pPr>
              <w:pStyle w:val="Compact"/>
            </w:pPr>
            <w:r>
              <w:rPr>
                <w:b/>
                <w:bCs/>
              </w:rPr>
              <w:t xml:space="preserve">Verified with correction.</w:t>
            </w:r>
            <w:r>
              <w:t xml:space="preserve"> </w:t>
            </w:r>
            <w:r>
              <w:t xml:space="preserve">Statute says reliance must be "in good faith". Case law holds that, for the predecessor statute, actual notice of a superior claim plus a hold request removed the immunity.</w:t>
            </w:r>
          </w:p>
        </w:tc>
        <w:tc>
          <w:tcPr/>
          <w:p>
            <w:pPr>
              <w:pStyle w:val="Compact"/>
            </w:pPr>
            <w:r>
              <w:t xml:space="preserve">§ 13106(a): "The holder may rely in good faith on the statements ... and has no duty to inquire."</w:t>
            </w:r>
            <w:r>
              <w:t xml:space="preserve"> </w:t>
            </w:r>
            <w:hyperlink r:id="rId47">
              <w:r>
                <w:rPr>
                  <w:rStyle w:val="Hyperlink"/>
                </w:rPr>
                <w:t xml:space="preserve">https://california.public.law/codes/probate_code_section_13106</w:t>
              </w:r>
            </w:hyperlink>
            <w:r>
              <w:t xml:space="preserve"> </w:t>
            </w:r>
            <w:r>
              <w:t xml:space="preserve">;</w:t>
            </w:r>
            <w:r>
              <w:t xml:space="preserve"> </w:t>
            </w:r>
            <w:r>
              <w:rPr>
                <w:i/>
                <w:iCs/>
              </w:rPr>
              <w:t xml:space="preserve">Mautner</w:t>
            </w:r>
            <w:r>
              <w:t xml:space="preserve">: "renders its grant of immunity inapplicable where the holder has actual notice of a statutory heir's superior claim and a request to 'hold' distribution of decedent's funds prior to receiving a '630' affidavit."</w:t>
            </w:r>
            <w:r>
              <w:t xml:space="preserve"> </w:t>
            </w:r>
            <w:hyperlink r:id="rId48">
              <w:r>
                <w:rPr>
                  <w:rStyle w:val="Hyperlink"/>
                </w:rPr>
                <w:t xml:space="preserve">https://static.case.law/cal-app-3d/215/cases/0796-01.json</w:t>
              </w:r>
            </w:hyperlink>
          </w:p>
        </w:tc>
        <w:tc>
          <w:tcPr/>
          <w:p>
            <w:pPr>
              <w:pStyle w:val="Compact"/>
            </w:pPr>
            <w:r>
              <w:t xml:space="preserve">Add a fact "notice of adverse or superior claim received before payment"; if true, the result is not determinable.</w:t>
            </w:r>
          </w:p>
        </w:tc>
      </w:tr>
      <w:tr>
        <w:tc>
          <w:tcPr/>
          <w:p>
            <w:pPr>
              <w:pStyle w:val="Compact"/>
            </w:pPr>
            <w:r>
              <w:t xml:space="preserve">28</w:t>
            </w:r>
          </w:p>
        </w:tc>
        <w:tc>
          <w:tcPr/>
          <w:p>
            <w:pPr>
              <w:pStyle w:val="Compact"/>
            </w:pPr>
            <w:r>
              <w:t xml:space="preserve">spec › Path B › Shares</w:t>
            </w:r>
          </w:p>
        </w:tc>
        <w:tc>
          <w:tcPr/>
          <w:p>
            <w:pPr>
              <w:pStyle w:val="Compact"/>
            </w:pPr>
            <w:r>
              <w:t xml:space="preserve">One affiant receives 100%.</w:t>
            </w:r>
          </w:p>
        </w:tc>
        <w:tc>
          <w:tcPr/>
          <w:p>
            <w:pPr>
              <w:pStyle w:val="Compact"/>
            </w:pPr>
            <w:r>
              <w:rPr>
                <w:b/>
                <w:bCs/>
              </w:rPr>
              <w:t xml:space="preserve">Verified with correction.</w:t>
            </w:r>
            <w:r>
              <w:t xml:space="preserve"> </w:t>
            </w:r>
            <w:r>
              <w:t xml:space="preserve">This is a</w:t>
            </w:r>
            <w:r>
              <w:t xml:space="preserve"> </w:t>
            </w:r>
            <w:r>
              <w:rPr>
                <w:b/>
                <w:bCs/>
              </w:rPr>
              <w:t xml:space="preserve">Reviewer inference</w:t>
            </w:r>
            <w:r>
              <w:t xml:space="preserve"> </w:t>
            </w:r>
            <w:r>
              <w:t xml:space="preserve">from § 13006: it is correct only if the single affiant is the</w:t>
            </w:r>
            <w:r>
              <w:t xml:space="preserve"> </w:t>
            </w:r>
            <w:r>
              <w:rPr>
                <w:b/>
                <w:bCs/>
              </w:rPr>
              <w:t xml:space="preserve">sole</w:t>
            </w:r>
            <w:r>
              <w:t xml:space="preserve"> </w:t>
            </w:r>
            <w:r>
              <w:t xml:space="preserve">successor to the account, or a § 13051 representative of all successors. Statement (9) also requires "No other person has a superior right."</w:t>
            </w:r>
          </w:p>
        </w:tc>
        <w:tc>
          <w:tcPr/>
          <w:p>
            <w:pPr>
              <w:pStyle w:val="Compact"/>
            </w:pPr>
            <w:r>
              <w:t xml:space="preserve">§ 13006 (URL above); § 13101(a)(9) (URL above)</w:t>
            </w:r>
          </w:p>
        </w:tc>
        <w:tc>
          <w:tcPr/>
          <w:p>
            <w:pPr>
              <w:pStyle w:val="Compact"/>
            </w:pPr>
            <w:r>
              <w:t xml:space="preserve">Make it a fact that the affiant(s) are all the successors to this item; if not known, not determinable.</w:t>
            </w:r>
          </w:p>
        </w:tc>
      </w:tr>
      <w:tr>
        <w:tc>
          <w:tcPr/>
          <w:p>
            <w:pPr>
              <w:pStyle w:val="Compact"/>
            </w:pPr>
            <w:r>
              <w:t xml:space="preserve">29</w:t>
            </w:r>
          </w:p>
        </w:tc>
        <w:tc>
          <w:tcPr/>
          <w:p>
            <w:pPr>
              <w:pStyle w:val="Compact"/>
            </w:pPr>
            <w:r>
              <w:t xml:space="preserve">spec › Path B › Shares</w:t>
            </w:r>
          </w:p>
        </w:tc>
        <w:tc>
          <w:tcPr/>
          <w:p>
            <w:pPr>
              <w:pStyle w:val="Compact"/>
            </w:pPr>
            <w:r>
              <w:t xml:space="preserve">Several affiants are together entitled; the affidavit is "modified as appropriate".</w:t>
            </w:r>
          </w:p>
        </w:tc>
        <w:tc>
          <w:tcPr/>
          <w:p>
            <w:pPr>
              <w:pStyle w:val="Compact"/>
            </w:pPr>
            <w:r>
              <w:rPr>
                <w:b/>
                <w:bCs/>
              </w:rPr>
              <w:t xml:space="preserve">Verified.</w:t>
            </w:r>
          </w:p>
        </w:tc>
        <w:tc>
          <w:tcPr/>
          <w:p>
            <w:pPr>
              <w:pStyle w:val="Compact"/>
            </w:pPr>
            <w:r>
              <w:t xml:space="preserve">§ 13105(a)(1): "The person or persons executing the affidavit ... are entitled to have the property ... paid, delivered, or transferred to them."</w:t>
            </w:r>
            <w:r>
              <w:t xml:space="preserve"> </w:t>
            </w:r>
            <w:hyperlink r:id="rId49">
              <w:r>
                <w:rPr>
                  <w:rStyle w:val="Hyperlink"/>
                </w:rPr>
                <w:t xml:space="preserve">https://california.public.law/codes/probate_code_section_13105</w:t>
              </w:r>
            </w:hyperlink>
            <w:r>
              <w:t xml:space="preserve"> </w:t>
            </w:r>
            <w:r>
              <w:t xml:space="preserve">; § 13101(b)</w:t>
            </w:r>
          </w:p>
        </w:tc>
        <w:tc>
          <w:tcPr/>
          <w:p>
            <w:pPr>
              <w:pStyle w:val="Compact"/>
            </w:pPr>
            <w:r>
              <w:t xml:space="preserve">See Q2.</w:t>
            </w:r>
          </w:p>
        </w:tc>
      </w:tr>
      <w:tr>
        <w:tc>
          <w:tcPr/>
          <w:p>
            <w:pPr>
              <w:pStyle w:val="Compact"/>
            </w:pPr>
            <w:r>
              <w:t xml:space="preserve">30</w:t>
            </w:r>
          </w:p>
        </w:tc>
        <w:tc>
          <w:tcPr/>
          <w:p>
            <w:pPr>
              <w:pStyle w:val="Compact"/>
            </w:pPr>
            <w:r>
              <w:t xml:space="preserve">spec › Path B › Documents 1–4</w:t>
            </w:r>
          </w:p>
        </w:tc>
        <w:tc>
          <w:tcPr/>
          <w:p>
            <w:pPr>
              <w:pStyle w:val="Compact"/>
            </w:pPr>
            <w:r>
              <w:t xml:space="preserve">Affidavit with every § 13101(a) statement; certified death certificate; the § 890 list for deaths from 2022-04-01; PR consent and letters.</w:t>
            </w:r>
          </w:p>
        </w:tc>
        <w:tc>
          <w:tcPr/>
          <w:p>
            <w:pPr>
              <w:pStyle w:val="Compact"/>
            </w:pPr>
            <w:r>
              <w:rPr>
                <w:b/>
                <w:bCs/>
              </w:rPr>
              <w:t xml:space="preserve">Verified.</w:t>
            </w:r>
            <w:r>
              <w:t xml:space="preserve"> </w:t>
            </w:r>
            <w:r>
              <w:t xml:space="preserve">Statute says items 2–4 must be</w:t>
            </w:r>
            <w:r>
              <w:t xml:space="preserve"> </w:t>
            </w:r>
            <w:r>
              <w:rPr>
                <w:b/>
                <w:bCs/>
              </w:rPr>
              <w:t xml:space="preserve">attached</w:t>
            </w:r>
            <w:r>
              <w:t xml:space="preserve"> </w:t>
            </w:r>
            <w:r>
              <w:t xml:space="preserve">to the affidavit.</w:t>
            </w:r>
          </w:p>
        </w:tc>
        <w:tc>
          <w:tcPr/>
          <w:p>
            <w:pPr>
              <w:pStyle w:val="Compact"/>
            </w:pPr>
            <w:r>
              <w:t xml:space="preserve">§ 13101(d): "A certified copy of the decedent's death certificate shall be attached"; (e); (f): "the list of adjusted dollar amounts ... in effect on the date of the decedent's death, shall be attached" (URL above)</w:t>
            </w:r>
          </w:p>
        </w:tc>
        <w:tc>
          <w:tcPr/>
          <w:p>
            <w:pPr>
              <w:pStyle w:val="Compact"/>
            </w:pPr>
            <w:r>
              <w:t xml:space="preserve">Say "attached to the affidavit".</w:t>
            </w:r>
          </w:p>
        </w:tc>
      </w:tr>
      <w:tr>
        <w:tc>
          <w:tcPr/>
          <w:p>
            <w:pPr>
              <w:pStyle w:val="Compact"/>
            </w:pPr>
            <w:r>
              <w:t xml:space="preserve">31</w:t>
            </w:r>
          </w:p>
        </w:tc>
        <w:tc>
          <w:tcPr/>
          <w:p>
            <w:pPr>
              <w:pStyle w:val="Compact"/>
            </w:pPr>
            <w:r>
              <w:t xml:space="preserve">spec › Path B › Documents 5</w:t>
            </w:r>
          </w:p>
        </w:tc>
        <w:tc>
          <w:tcPr/>
          <w:p>
            <w:pPr>
              <w:pStyle w:val="Compact"/>
            </w:pPr>
            <w:r>
              <w:t xml:space="preserve">Evidence of ownership, or a bond or indemnity agreement.</w:t>
            </w:r>
          </w:p>
        </w:tc>
        <w:tc>
          <w:tcPr/>
          <w:p>
            <w:pPr>
              <w:pStyle w:val="Compact"/>
            </w:pPr>
            <w:r>
              <w:rPr>
                <w:b/>
                <w:bCs/>
              </w:rPr>
              <w:t xml:space="preserve">Verified with correction.</w:t>
            </w:r>
            <w:r>
              <w:t xml:space="preserve"> </w:t>
            </w:r>
            <w:r>
              <w:t xml:space="preserve">Statute says the evidence is required "if available". If it is not presented, the holder</w:t>
            </w:r>
            <w:r>
              <w:t xml:space="preserve"> </w:t>
            </w:r>
            <w:r>
              <w:rPr>
                <w:b/>
                <w:bCs/>
              </w:rPr>
              <w:t xml:space="preserve">may</w:t>
            </w:r>
            <w:r>
              <w:t xml:space="preserve"> </w:t>
            </w:r>
            <w:r>
              <w:t xml:space="preserve">require a bond, or may agree to an indemnity instead. A bond is not mandatory.</w:t>
            </w:r>
          </w:p>
        </w:tc>
        <w:tc>
          <w:tcPr/>
          <w:p>
            <w:pPr>
              <w:pStyle w:val="Compact"/>
            </w:pPr>
            <w:r>
              <w:t xml:space="preserve">§ 13102(b): "the holder may require, as a condition for the payment ... a bond or undertaking in a reasonable amount."</w:t>
            </w:r>
            <w:r>
              <w:t xml:space="preserve"> </w:t>
            </w:r>
            <w:hyperlink r:id="rId50">
              <w:r>
                <w:rPr>
                  <w:rStyle w:val="Hyperlink"/>
                </w:rPr>
                <w:t xml:space="preserve">https://california.public.law/codes/probate_code_section_13102</w:t>
              </w:r>
            </w:hyperlink>
          </w:p>
        </w:tc>
        <w:tc>
          <w:tcPr/>
          <w:p>
            <w:pPr>
              <w:pStyle w:val="Compact"/>
            </w:pPr>
            <w:r>
              <w:t xml:space="preserve">Model the bond as an institution option, not a statutory requirement.</w:t>
            </w:r>
          </w:p>
        </w:tc>
      </w:tr>
      <w:tr>
        <w:tc>
          <w:tcPr/>
          <w:p>
            <w:pPr>
              <w:pStyle w:val="Compact"/>
            </w:pPr>
            <w:r>
              <w:t xml:space="preserve">32</w:t>
            </w:r>
          </w:p>
        </w:tc>
        <w:tc>
          <w:tcPr/>
          <w:p>
            <w:pPr>
              <w:pStyle w:val="Compact"/>
            </w:pPr>
            <w:r>
              <w:t xml:space="preserve">spec › Path B › Documents 6</w:t>
            </w:r>
          </w:p>
        </w:tc>
        <w:tc>
          <w:tcPr/>
          <w:p>
            <w:pPr>
              <w:pStyle w:val="Compact"/>
            </w:pPr>
            <w:r>
              <w:t xml:space="preserve">California real property: inventory and appraisal by a probate referee.</w:t>
            </w:r>
          </w:p>
        </w:tc>
        <w:tc>
          <w:tcPr/>
          <w:p>
            <w:pPr>
              <w:pStyle w:val="Compact"/>
            </w:pPr>
            <w:r>
              <w:rPr>
                <w:b/>
                <w:bCs/>
              </w:rPr>
              <w:t xml:space="preserve">Verified.</w:t>
            </w:r>
          </w:p>
        </w:tc>
        <w:tc>
          <w:tcPr/>
          <w:p>
            <w:pPr>
              <w:pStyle w:val="Compact"/>
            </w:pPr>
            <w:r>
              <w:t xml:space="preserve">§ 13103: "the affidavit or declaration shall be accompanied by an inventory and appraisal of the real property."</w:t>
            </w:r>
            <w:r>
              <w:t xml:space="preserve"> </w:t>
            </w:r>
            <w:hyperlink r:id="rId51">
              <w:r>
                <w:rPr>
                  <w:rStyle w:val="Hyperlink"/>
                </w:rPr>
                <w:t xml:space="preserve">https://california.public.law/codes/probate_code_section_13103</w:t>
              </w:r>
            </w:hyperlink>
          </w:p>
        </w:tc>
        <w:tc>
          <w:tcPr/>
          <w:p>
            <w:pPr>
              <w:pStyle w:val="Compact"/>
            </w:pPr>
            <w:r>
              <w:t xml:space="preserve">None.</w:t>
            </w:r>
          </w:p>
        </w:tc>
      </w:tr>
      <w:tr>
        <w:tc>
          <w:tcPr/>
          <w:p>
            <w:pPr>
              <w:pStyle w:val="Compact"/>
            </w:pPr>
            <w:r>
              <w:t xml:space="preserve">33</w:t>
            </w:r>
          </w:p>
        </w:tc>
        <w:tc>
          <w:tcPr/>
          <w:p>
            <w:pPr>
              <w:pStyle w:val="Compact"/>
            </w:pPr>
            <w:r>
              <w:t xml:space="preserve">spec › Path B › Documents 7</w:t>
            </w:r>
          </w:p>
        </w:tc>
        <w:tc>
          <w:tcPr/>
          <w:p>
            <w:pPr>
              <w:pStyle w:val="Compact"/>
            </w:pPr>
            <w:r>
              <w:t xml:space="preserve">Reasonable proof of each affiant's identity.</w:t>
            </w:r>
          </w:p>
        </w:tc>
        <w:tc>
          <w:tcPr/>
          <w:p>
            <w:pPr>
              <w:pStyle w:val="Compact"/>
            </w:pPr>
            <w:r>
              <w:rPr>
                <w:b/>
                <w:bCs/>
              </w:rPr>
              <w:t xml:space="preserve">Verified with correction.</w:t>
            </w:r>
            <w:r>
              <w:t xml:space="preserve"> </w:t>
            </w:r>
            <w:r>
              <w:t xml:space="preserve">Statute adds a holder duty: unless notarized, the holder must note on the affidavit how identity was established.</w:t>
            </w:r>
          </w:p>
        </w:tc>
        <w:tc>
          <w:tcPr/>
          <w:p>
            <w:pPr>
              <w:pStyle w:val="Compact"/>
            </w:pPr>
            <w:r>
              <w:t xml:space="preserve">§ 13104(f): "the holder shall note on the affidavit or declaration either that the person ... is personally known or a description of the identification provided."</w:t>
            </w:r>
            <w:r>
              <w:t xml:space="preserve"> </w:t>
            </w:r>
            <w:hyperlink r:id="rId52">
              <w:r>
                <w:rPr>
                  <w:rStyle w:val="Hyperlink"/>
                </w:rPr>
                <w:t xml:space="preserve">https://california.public.law/codes/probate_code_section_13104</w:t>
              </w:r>
            </w:hyperlink>
          </w:p>
        </w:tc>
        <w:tc>
          <w:tcPr/>
          <w:p>
            <w:pPr>
              <w:pStyle w:val="Compact"/>
            </w:pPr>
            <w:r>
              <w:t xml:space="preserve">Add the notation duty to the documents and checklist output.</w:t>
            </w:r>
          </w:p>
        </w:tc>
      </w:tr>
      <w:tr>
        <w:tc>
          <w:tcPr/>
          <w:p>
            <w:pPr>
              <w:pStyle w:val="Compact"/>
            </w:pPr>
            <w:r>
              <w:t xml:space="preserve">34</w:t>
            </w:r>
          </w:p>
        </w:tc>
        <w:tc>
          <w:tcPr/>
          <w:p>
            <w:pPr>
              <w:pStyle w:val="Compact"/>
            </w:pPr>
            <w:r>
              <w:t xml:space="preserve">spec › Path B › Earliest payment</w:t>
            </w:r>
          </w:p>
        </w:tc>
        <w:tc>
          <w:tcPr/>
          <w:p>
            <w:pPr>
              <w:pStyle w:val="Compact"/>
            </w:pPr>
            <w:r>
              <w:t xml:space="preserve">Earliest payment is the date 40 days have elapsed (death date + 40 assumed).</w:t>
            </w:r>
          </w:p>
        </w:tc>
        <w:tc>
          <w:tcPr/>
          <w:p>
            <w:pPr>
              <w:pStyle w:val="Compact"/>
            </w:pPr>
            <w:r>
              <w:rPr>
                <w:b/>
                <w:bCs/>
              </w:rPr>
              <w:t xml:space="preserve">Unverified.</w:t>
            </w:r>
            <w:r>
              <w:t xml:space="preserve"> </w:t>
            </w:r>
            <w:r>
              <w:t xml:space="preserve">No controlling authority located (see Q3).</w:t>
            </w:r>
          </w:p>
        </w:tc>
        <w:tc>
          <w:tcPr/>
          <w:p>
            <w:pPr>
              <w:pStyle w:val="Compact"/>
            </w:pPr>
            <w:r>
              <w:t xml:space="preserve">CCP § 12, Civ. Code § 10, Gov. Code § 6800 (Sources)</w:t>
            </w:r>
          </w:p>
        </w:tc>
        <w:tc>
          <w:tcPr/>
          <w:p>
            <w:pPr>
              <w:pStyle w:val="Compact"/>
            </w:pPr>
            <w:r>
              <w:t xml:space="preserve">Default to death + 41 until an attorney decides.</w:t>
            </w:r>
          </w:p>
        </w:tc>
      </w:tr>
      <w:tr>
        <w:tc>
          <w:tcPr/>
          <w:p>
            <w:pPr>
              <w:pStyle w:val="Compact"/>
            </w:pPr>
            <w:r>
              <w:t xml:space="preserve">35</w:t>
            </w:r>
          </w:p>
        </w:tc>
        <w:tc>
          <w:tcPr/>
          <w:p>
            <w:pPr>
              <w:pStyle w:val="Compact"/>
            </w:pPr>
            <w:r>
              <w:t xml:space="preserve">spec › Path B › Liability protection</w:t>
            </w:r>
          </w:p>
        </w:tc>
        <w:tc>
          <w:tcPr/>
          <w:p>
            <w:pPr>
              <w:pStyle w:val="Compact"/>
            </w:pPr>
            <w:r>
              <w:t xml:space="preserve">If §§ 13100–13104 are satisfied, receipt of the affidavit discharges the holder; no liability for state taxes.</w:t>
            </w:r>
          </w:p>
        </w:tc>
        <w:tc>
          <w:tcPr/>
          <w:p>
            <w:pPr>
              <w:pStyle w:val="Compact"/>
            </w:pPr>
            <w:r>
              <w:rPr>
                <w:b/>
                <w:bCs/>
              </w:rPr>
              <w:t xml:space="preserve">Verified.</w:t>
            </w:r>
          </w:p>
        </w:tc>
        <w:tc>
          <w:tcPr/>
          <w:p>
            <w:pPr>
              <w:pStyle w:val="Compact"/>
            </w:pPr>
            <w:r>
              <w:t xml:space="preserve">§ 13106(a): "constitutes sufficient acquittance ... and discharges the holder from any further liability"; (b): "is not liable for any taxes due to this state." (URL above)</w:t>
            </w:r>
          </w:p>
        </w:tc>
        <w:tc>
          <w:tcPr/>
          <w:p>
            <w:pPr>
              <w:pStyle w:val="Compact"/>
            </w:pPr>
            <w:r>
              <w:t xml:space="preserve">Add the good-faith caveat (row 27).</w:t>
            </w:r>
          </w:p>
        </w:tc>
      </w:tr>
      <w:tr>
        <w:tc>
          <w:tcPr/>
          <w:p>
            <w:pPr>
              <w:pStyle w:val="Compact"/>
            </w:pPr>
            <w:r>
              <w:t xml:space="preserve">36</w:t>
            </w:r>
          </w:p>
        </w:tc>
        <w:tc>
          <w:tcPr/>
          <w:p>
            <w:pPr>
              <w:pStyle w:val="Compact"/>
            </w:pPr>
            <w:r>
              <w:t xml:space="preserve">spec › Path B › Not determinable</w:t>
            </w:r>
          </w:p>
        </w:tc>
        <w:tc>
          <w:tcPr/>
          <w:p>
            <w:pPr>
              <w:pStyle w:val="Compact"/>
            </w:pPr>
            <w:r>
              <w:t xml:space="preserve">"The account is secured by a lien on real property (§ 13106.5)."</w:t>
            </w:r>
          </w:p>
        </w:tc>
        <w:tc>
          <w:tcPr/>
          <w:p>
            <w:pPr>
              <w:pStyle w:val="Compact"/>
            </w:pPr>
            <w:r>
              <w:rPr>
                <w:b/>
                <w:bCs/>
              </w:rPr>
              <w:t xml:space="preserve">Inaccurate.</w:t>
            </w:r>
            <w:r>
              <w:t xml:space="preserve"> </w:t>
            </w:r>
            <w:r>
              <w:t xml:space="preserve">Statute says § 13106.5 governs collecting a</w:t>
            </w:r>
            <w:r>
              <w:t xml:space="preserve"> </w:t>
            </w:r>
            <w:r>
              <w:rPr>
                <w:b/>
                <w:bCs/>
              </w:rPr>
              <w:t xml:space="preserve">debt owed to the decedent</w:t>
            </w:r>
            <w:r>
              <w:t xml:space="preserve"> </w:t>
            </w:r>
            <w:r>
              <w:t xml:space="preserve">that is secured by a recorded real-property lien. A deposit account is not such a debt.</w:t>
            </w:r>
          </w:p>
        </w:tc>
        <w:tc>
          <w:tcPr/>
          <w:p>
            <w:pPr>
              <w:pStyle w:val="Compact"/>
            </w:pPr>
            <w:r>
              <w:t xml:space="preserve">§ 13106.5(a): "If the particular item of property transferred under this chapter is a debt or other obligation secured by a lien on real property..."</w:t>
            </w:r>
            <w:r>
              <w:t xml:space="preserve"> </w:t>
            </w:r>
            <w:hyperlink r:id="rId53">
              <w:r>
                <w:rPr>
                  <w:rStyle w:val="Hyperlink"/>
                </w:rPr>
                <w:t xml:space="preserve">https://california.public.law/codes/probate_code_section_13106.5</w:t>
              </w:r>
            </w:hyperlink>
          </w:p>
        </w:tc>
        <w:tc>
          <w:tcPr/>
          <w:p>
            <w:pPr>
              <w:pStyle w:val="Compact"/>
            </w:pPr>
            <w:r>
              <w:t xml:space="preserve">Delete, or restate as "item is not a deposit account (e.g. a secured note owed to the decedent): out of scope".</w:t>
            </w:r>
          </w:p>
        </w:tc>
      </w:tr>
      <w:tr>
        <w:tc>
          <w:tcPr/>
          <w:p>
            <w:pPr>
              <w:pStyle w:val="Compact"/>
            </w:pPr>
            <w:r>
              <w:t xml:space="preserve">37</w:t>
            </w:r>
          </w:p>
        </w:tc>
        <w:tc>
          <w:tcPr/>
          <w:p>
            <w:pPr>
              <w:pStyle w:val="Compact"/>
            </w:pPr>
            <w:r>
              <w:t xml:space="preserve">spec › Path B › Not determinable</w:t>
            </w:r>
          </w:p>
        </w:tc>
        <w:tc>
          <w:tcPr/>
          <w:p>
            <w:pPr>
              <w:pStyle w:val="Compact"/>
            </w:pPr>
            <w:r>
              <w:t xml:space="preserve">Over the limit; administration without consent; no declared value.</w:t>
            </w:r>
          </w:p>
        </w:tc>
        <w:tc>
          <w:tcPr/>
          <w:p>
            <w:pPr>
              <w:pStyle w:val="Compact"/>
            </w:pPr>
            <w:r>
              <w:rPr>
                <w:b/>
                <w:bCs/>
              </w:rPr>
              <w:t xml:space="preserve">Verified.</w:t>
            </w:r>
            <w:r>
              <w:t xml:space="preserve"> </w:t>
            </w:r>
            <w:r>
              <w:t xml:space="preserve">These follow from §§ 13100, 13101(a)(4) and (a)(5).</w:t>
            </w:r>
          </w:p>
        </w:tc>
        <w:tc>
          <w:tcPr/>
          <w:p>
            <w:pPr>
              <w:pStyle w:val="Compact"/>
            </w:pPr>
            <w:r>
              <w:t xml:space="preserve">URLs above</w:t>
            </w:r>
          </w:p>
        </w:tc>
        <w:tc>
          <w:tcPr/>
          <w:p>
            <w:pPr>
              <w:pStyle w:val="Compact"/>
            </w:pPr>
            <w:r>
              <w:t xml:space="preserve">None.</w:t>
            </w:r>
          </w:p>
        </w:tc>
      </w:tr>
      <w:tr>
        <w:tc>
          <w:tcPr/>
          <w:p>
            <w:pPr>
              <w:pStyle w:val="Compact"/>
            </w:pPr>
            <w:r>
              <w:t xml:space="preserve">38</w:t>
            </w:r>
          </w:p>
        </w:tc>
        <w:tc>
          <w:tcPr/>
          <w:p>
            <w:pPr>
              <w:pStyle w:val="Compact"/>
            </w:pPr>
            <w:r>
              <w:t xml:space="preserve">spec › Path C</w:t>
            </w:r>
          </w:p>
        </w:tc>
        <w:tc>
          <w:tcPr/>
          <w:p>
            <w:pPr>
              <w:pStyle w:val="Compact"/>
            </w:pPr>
            <w:r>
              <w:t xml:space="preserve">Under § 13500, property passing to a surviving spouse needs no administration.</w:t>
            </w:r>
          </w:p>
        </w:tc>
        <w:tc>
          <w:tcPr/>
          <w:p>
            <w:pPr>
              <w:pStyle w:val="Compact"/>
            </w:pPr>
            <w:r>
              <w:rPr>
                <w:b/>
                <w:bCs/>
              </w:rPr>
              <w:t xml:space="preserve">Verified with correction.</w:t>
            </w:r>
            <w:r>
              <w:t xml:space="preserve"> </w:t>
            </w:r>
            <w:r>
              <w:t xml:space="preserve">Statute says this is subject to Chapters 2 and 3 (§§ 13540 et seq., 13550 et seq.). Section 13501 lists property that</w:t>
            </w:r>
            <w:r>
              <w:t xml:space="preserve"> </w:t>
            </w:r>
            <w:r>
              <w:rPr>
                <w:b/>
                <w:bCs/>
              </w:rPr>
              <w:t xml:space="preserve">is</w:t>
            </w:r>
            <w:r>
              <w:t xml:space="preserve"> </w:t>
            </w:r>
            <w:r>
              <w:t xml:space="preserve">subject to administration (e.g. property left in trust, or qualified ownership). Section 13502 allows an election to administer.</w:t>
            </w:r>
          </w:p>
        </w:tc>
        <w:tc>
          <w:tcPr/>
          <w:p>
            <w:pPr>
              <w:pStyle w:val="Compact"/>
            </w:pPr>
            <w:r>
              <w:t xml:space="preserve">§ 13500: "the property passes to the survivor subject to the provisions of Chapter 2 ... and Chapter 3 ... and no administration is necessary."</w:t>
            </w:r>
            <w:r>
              <w:t xml:space="preserve"> </w:t>
            </w:r>
            <w:hyperlink r:id="rId54">
              <w:r>
                <w:rPr>
                  <w:rStyle w:val="Hyperlink"/>
                </w:rPr>
                <w:t xml:space="preserve">https://california.public.law/codes/probate_code_section_13500</w:t>
              </w:r>
            </w:hyperlink>
            <w:r>
              <w:t xml:space="preserve"> </w:t>
            </w:r>
            <w:r>
              <w:t xml:space="preserve">; § 13501</w:t>
            </w:r>
            <w:r>
              <w:t xml:space="preserve"> </w:t>
            </w:r>
            <w:hyperlink r:id="rId55">
              <w:r>
                <w:rPr>
                  <w:rStyle w:val="Hyperlink"/>
                </w:rPr>
                <w:t xml:space="preserve">https://california.public.law/codes/probate_code_section_13501</w:t>
              </w:r>
            </w:hyperlink>
          </w:p>
        </w:tc>
        <w:tc>
          <w:tcPr/>
          <w:p>
            <w:pPr>
              <w:pStyle w:val="Compact"/>
            </w:pPr>
            <w:r>
              <w:t xml:space="preserve">Note §§ 13501 and 13502. See Q5.</w:t>
            </w:r>
          </w:p>
        </w:tc>
      </w:tr>
      <w:tr>
        <w:tc>
          <w:tcPr/>
          <w:p>
            <w:pPr>
              <w:pStyle w:val="Compact"/>
            </w:pPr>
            <w:r>
              <w:t xml:space="preserve">39</w:t>
            </w:r>
          </w:p>
        </w:tc>
        <w:tc>
          <w:tcPr/>
          <w:p>
            <w:pPr>
              <w:pStyle w:val="Compact"/>
            </w:pPr>
            <w:r>
              <w:t xml:space="preserve">spec › Path C</w:t>
            </w:r>
          </w:p>
        </w:tc>
        <w:tc>
          <w:tcPr/>
          <w:p>
            <w:pPr>
              <w:pStyle w:val="Compact"/>
            </w:pPr>
            <w:r>
              <w:t xml:space="preserve">§ 13540 covers real property only.</w:t>
            </w:r>
          </w:p>
        </w:tc>
        <w:tc>
          <w:tcPr/>
          <w:p>
            <w:pPr>
              <w:pStyle w:val="Compact"/>
            </w:pPr>
            <w:r>
              <w:rPr>
                <w:b/>
                <w:bCs/>
              </w:rPr>
              <w:t xml:space="preserve">Verified.</w:t>
            </w:r>
            <w:r>
              <w:t xml:space="preserve"> </w:t>
            </w:r>
            <w:r>
              <w:t xml:space="preserve">Statute says § 13545 covers securities registered in the surviving spouse's name. Neither section covers a deposit account in the decedent's name.</w:t>
            </w:r>
          </w:p>
        </w:tc>
        <w:tc>
          <w:tcPr/>
          <w:p>
            <w:pPr>
              <w:pStyle w:val="Compact"/>
            </w:pPr>
            <w:r>
              <w:t xml:space="preserve">§ 13540(a): "full power to sell, convey, lease, mortgage ... the community or quasi-community real property"</w:t>
            </w:r>
            <w:r>
              <w:t xml:space="preserve"> </w:t>
            </w:r>
            <w:hyperlink r:id="rId56">
              <w:r>
                <w:rPr>
                  <w:rStyle w:val="Hyperlink"/>
                </w:rPr>
                <w:t xml:space="preserve">https://california.public.law/codes/probate_code_section_13540</w:t>
              </w:r>
            </w:hyperlink>
            <w:r>
              <w:t xml:space="preserve"> </w:t>
            </w:r>
            <w:r>
              <w:t xml:space="preserve">; § 13545</w:t>
            </w:r>
            <w:r>
              <w:t xml:space="preserve"> </w:t>
            </w:r>
            <w:hyperlink r:id="rId57">
              <w:r>
                <w:rPr>
                  <w:rStyle w:val="Hyperlink"/>
                </w:rPr>
                <w:t xml:space="preserve">https://california.public.law/codes/probate_code_section_13545</w:t>
              </w:r>
            </w:hyperlink>
          </w:p>
        </w:tc>
        <w:tc>
          <w:tcPr/>
          <w:p>
            <w:pPr>
              <w:pStyle w:val="Compact"/>
            </w:pPr>
            <w:r>
              <w:t xml:space="preserve">None.</w:t>
            </w:r>
          </w:p>
        </w:tc>
      </w:tr>
      <w:tr>
        <w:tc>
          <w:tcPr/>
          <w:p>
            <w:pPr>
              <w:pStyle w:val="Compact"/>
            </w:pPr>
            <w:r>
              <w:t xml:space="preserve">40</w:t>
            </w:r>
          </w:p>
        </w:tc>
        <w:tc>
          <w:tcPr/>
          <w:p>
            <w:pPr>
              <w:pStyle w:val="Compact"/>
            </w:pPr>
            <w:r>
              <w:t xml:space="preserve">spec › Path C</w:t>
            </w:r>
          </w:p>
        </w:tc>
        <w:tc>
          <w:tcPr/>
          <w:p>
            <w:pPr>
              <w:pStyle w:val="Compact"/>
            </w:pPr>
            <w:r>
              <w:t xml:space="preserve">A spouse who is a POD payee or joint party uses Path A; a spouse who signs an affidavit uses Path B.</w:t>
            </w:r>
          </w:p>
        </w:tc>
        <w:tc>
          <w:tcPr/>
          <w:p>
            <w:pPr>
              <w:pStyle w:val="Compact"/>
            </w:pPr>
            <w:r>
              <w:rPr>
                <w:b/>
                <w:bCs/>
              </w:rPr>
              <w:t xml:space="preserve">Verified.</w:t>
            </w:r>
            <w:r>
              <w:t xml:space="preserve"> </w:t>
            </w:r>
            <w:r>
              <w:t xml:space="preserve">Statute says the affidavit procedure is cumulative with other procedures (§ 13116). Property passing to the spouse under § 13500 is excluded from the value (§ 13050(a)(1)).</w:t>
            </w:r>
          </w:p>
        </w:tc>
        <w:tc>
          <w:tcPr/>
          <w:p>
            <w:pPr>
              <w:pStyle w:val="Compact"/>
            </w:pPr>
            <w:r>
              <w:t xml:space="preserve">§ 13116: "in addition to and supplemental to any other procedure"</w:t>
            </w:r>
            <w:r>
              <w:t xml:space="preserve"> </w:t>
            </w:r>
            <w:hyperlink r:id="rId58">
              <w:r>
                <w:rPr>
                  <w:rStyle w:val="Hyperlink"/>
                </w:rPr>
                <w:t xml:space="preserve">https://california.public.law/codes/probate_code_section_13116</w:t>
              </w:r>
            </w:hyperlink>
          </w:p>
        </w:tc>
        <w:tc>
          <w:tcPr/>
          <w:p>
            <w:pPr>
              <w:pStyle w:val="Compact"/>
            </w:pPr>
            <w:r>
              <w:t xml:space="preserve">Note that a spouse-successor's § 13500 property doesn't count toward the limit.</w:t>
            </w:r>
          </w:p>
        </w:tc>
      </w:tr>
      <w:tr>
        <w:tc>
          <w:tcPr/>
          <w:p>
            <w:pPr>
              <w:pStyle w:val="Compact"/>
            </w:pPr>
            <w:r>
              <w:t xml:space="preserve">41</w:t>
            </w:r>
          </w:p>
        </w:tc>
        <w:tc>
          <w:tcPr/>
          <w:p>
            <w:pPr>
              <w:pStyle w:val="Compact"/>
            </w:pPr>
            <w:r>
              <w:t xml:space="preserve">spec › Intestate shares</w:t>
            </w:r>
          </w:p>
        </w:tc>
        <w:tc>
          <w:tcPr/>
          <w:p>
            <w:pPr>
              <w:pStyle w:val="Compact"/>
            </w:pPr>
            <w:r>
              <w:t xml:space="preserve">Community property to the spouse; separate property split between the spouse and issue, parents, or siblings.</w:t>
            </w:r>
          </w:p>
        </w:tc>
        <w:tc>
          <w:tcPr/>
          <w:p>
            <w:pPr>
              <w:pStyle w:val="Compact"/>
            </w:pPr>
            <w:r>
              <w:rPr>
                <w:b/>
                <w:bCs/>
              </w:rPr>
              <w:t xml:space="preserve">Verified with correction.</w:t>
            </w:r>
            <w:r>
              <w:t xml:space="preserve"> </w:t>
            </w:r>
            <w:r>
              <w:t xml:space="preserve">Also covers quasi-community property (§ 6401(b)), more remote kin (§ 6402(d)–(g)), and § 6402.5.</w:t>
            </w:r>
          </w:p>
        </w:tc>
        <w:tc>
          <w:tcPr/>
          <w:p>
            <w:pPr>
              <w:pStyle w:val="Compact"/>
            </w:pPr>
            <w:r>
              <w:t xml:space="preserve">§ 6401(a): "the intestate share of the surviving spouse is the one-half of the community property that belongs to the decedent."</w:t>
            </w:r>
            <w:r>
              <w:t xml:space="preserve"> </w:t>
            </w:r>
            <w:hyperlink r:id="rId59">
              <w:r>
                <w:rPr>
                  <w:rStyle w:val="Hyperlink"/>
                </w:rPr>
                <w:t xml:space="preserve">https://california.public.law/codes/probate_code_section_6401</w:t>
              </w:r>
            </w:hyperlink>
            <w:r>
              <w:t xml:space="preserve"> </w:t>
            </w:r>
            <w:r>
              <w:t xml:space="preserve">;</w:t>
            </w:r>
            <w:r>
              <w:t xml:space="preserve"> </w:t>
            </w:r>
            <w:hyperlink r:id="rId60">
              <w:r>
                <w:rPr>
                  <w:rStyle w:val="Hyperlink"/>
                </w:rPr>
                <w:t xml:space="preserve">https://california.public.law/codes/probate_code_section_6402</w:t>
              </w:r>
            </w:hyperlink>
          </w:p>
        </w:tc>
        <w:tc>
          <w:tcPr/>
          <w:p>
            <w:pPr>
              <w:pStyle w:val="Compact"/>
            </w:pPr>
            <w:r>
              <w:t xml:space="preserve">Reference only. Acceptable as a summary.</w:t>
            </w:r>
          </w:p>
        </w:tc>
      </w:tr>
      <w:tr>
        <w:tc>
          <w:tcPr/>
          <w:p>
            <w:pPr>
              <w:pStyle w:val="Compact"/>
            </w:pPr>
            <w:r>
              <w:t xml:space="preserve">42</w:t>
            </w:r>
          </w:p>
        </w:tc>
        <w:tc>
          <w:tcPr/>
          <w:p>
            <w:pPr>
              <w:pStyle w:val="Compact"/>
            </w:pPr>
            <w:r>
              <w:t xml:space="preserve">spec › Intestate shares</w:t>
            </w:r>
          </w:p>
        </w:tc>
        <w:tc>
          <w:tcPr/>
          <w:p>
            <w:pPr>
              <w:pStyle w:val="Compact"/>
            </w:pPr>
            <w:r>
              <w:t xml:space="preserve">On Path B the institution relies on the affidavit's statement of who the successor is.</w:t>
            </w:r>
          </w:p>
        </w:tc>
        <w:tc>
          <w:tcPr/>
          <w:p>
            <w:pPr>
              <w:pStyle w:val="Compact"/>
            </w:pPr>
            <w:r>
              <w:rPr>
                <w:b/>
                <w:bCs/>
              </w:rPr>
              <w:t xml:space="preserve">Verified</w:t>
            </w:r>
            <w:r>
              <w:t xml:space="preserve"> </w:t>
            </w:r>
            <w:r>
              <w:t xml:space="preserve">(§ 13106(a)), subject to row 27.</w:t>
            </w:r>
          </w:p>
        </w:tc>
        <w:tc>
          <w:tcPr/>
          <w:p>
            <w:pPr>
              <w:pStyle w:val="Compact"/>
            </w:pPr>
            <w:r>
              <w:t xml:space="preserve">URL above</w:t>
            </w:r>
          </w:p>
        </w:tc>
        <w:tc>
          <w:tcPr/>
          <w:p>
            <w:pPr>
              <w:pStyle w:val="Compact"/>
            </w:pPr>
            <w:r>
              <w:t xml:space="preserve">None.</w:t>
            </w:r>
          </w:p>
        </w:tc>
      </w:tr>
      <w:tr>
        <w:tc>
          <w:tcPr/>
          <w:p>
            <w:pPr>
              <w:pStyle w:val="Compact"/>
            </w:pPr>
            <w:r>
              <w:t xml:space="preserve">43</w:t>
            </w:r>
          </w:p>
        </w:tc>
        <w:tc>
          <w:tcPr/>
          <w:p>
            <w:pPr>
              <w:pStyle w:val="Compact"/>
            </w:pPr>
            <w:r>
              <w:t xml:space="preserve">spec › Facts</w:t>
            </w:r>
          </w:p>
        </w:tc>
        <w:tc>
          <w:tcPr/>
          <w:p>
            <w:pPr>
              <w:pStyle w:val="Compact"/>
            </w:pPr>
            <w:r>
              <w:t xml:space="preserve">Joint with survivorship is California's default (§ 5302(a)).</w:t>
            </w:r>
          </w:p>
        </w:tc>
        <w:tc>
          <w:tcPr/>
          <w:p>
            <w:pPr>
              <w:pStyle w:val="Compact"/>
            </w:pPr>
            <w:r>
              <w:rPr>
                <w:b/>
                <w:bCs/>
              </w:rPr>
              <w:t xml:space="preserve">Verified with correction.</w:t>
            </w:r>
            <w:r>
              <w:t xml:space="preserve"> </w:t>
            </w:r>
            <w:r>
              <w:t xml:space="preserve">Statute says the default is rebuttable. A "tenancy in common" account has no survivorship unless express (§ 5306). A spousal "community property" account is governed by community-property law (§ 5307).</w:t>
            </w:r>
          </w:p>
        </w:tc>
        <w:tc>
          <w:tcPr/>
          <w:p>
            <w:pPr>
              <w:pStyle w:val="Compact"/>
            </w:pPr>
            <w:r>
              <w:t xml:space="preserve">§ 5306</w:t>
            </w:r>
            <w:r>
              <w:t xml:space="preserve"> </w:t>
            </w:r>
            <w:hyperlink r:id="rId61">
              <w:r>
                <w:rPr>
                  <w:rStyle w:val="Hyperlink"/>
                </w:rPr>
                <w:t xml:space="preserve">https://california.public.law/codes/probate_code_section_5306</w:t>
              </w:r>
            </w:hyperlink>
            <w:r>
              <w:t xml:space="preserve"> </w:t>
            </w:r>
            <w:r>
              <w:t xml:space="preserve">; § 5307: "governed by the law governing community property generally."</w:t>
            </w:r>
            <w:r>
              <w:t xml:space="preserve"> </w:t>
            </w:r>
            <w:hyperlink r:id="rId62">
              <w:r>
                <w:rPr>
                  <w:rStyle w:val="Hyperlink"/>
                </w:rPr>
                <w:t xml:space="preserve">https://california.public.law/codes/probate_code_section_5307</w:t>
              </w:r>
            </w:hyperlink>
          </w:p>
        </w:tc>
        <w:tc>
          <w:tcPr/>
          <w:p>
            <w:pPr>
              <w:pStyle w:val="Compact"/>
            </w:pPr>
            <w:r>
              <w:t xml:space="preserve">Add account-type flags for "tenancy in common" and "community property account" (not determinable).</w:t>
            </w:r>
          </w:p>
        </w:tc>
      </w:tr>
      <w:tr>
        <w:tc>
          <w:tcPr/>
          <w:p>
            <w:pPr>
              <w:pStyle w:val="Compact"/>
            </w:pPr>
            <w:r>
              <w:t xml:space="preserve">44</w:t>
            </w:r>
          </w:p>
        </w:tc>
        <w:tc>
          <w:tcPr/>
          <w:p>
            <w:pPr>
              <w:pStyle w:val="Compact"/>
            </w:pPr>
            <w:r>
              <w:t xml:space="preserve">spec › Facts</w:t>
            </w:r>
          </w:p>
        </w:tc>
        <w:tc>
          <w:tcPr/>
          <w:p>
            <w:pPr>
              <w:pStyle w:val="Compact"/>
            </w:pPr>
            <w:r>
              <w:t xml:space="preserve">A joint account without survivorship falls under § 5302(d).</w:t>
            </w:r>
          </w:p>
        </w:tc>
        <w:tc>
          <w:tcPr/>
          <w:p>
            <w:pPr>
              <w:pStyle w:val="Compact"/>
            </w:pPr>
            <w:r>
              <w:rPr>
                <w:b/>
                <w:bCs/>
              </w:rPr>
              <w:t xml:space="preserve">Verified.</w:t>
            </w:r>
          </w:p>
        </w:tc>
        <w:tc>
          <w:tcPr/>
          <w:p>
            <w:pPr>
              <w:pStyle w:val="Compact"/>
            </w:pPr>
            <w:r>
              <w:t xml:space="preserve">§ 5302(d): "has no effect on beneficial ownership ... other than to transfer the rights of the decedent as part of the decedent's estate." (URL above)</w:t>
            </w:r>
          </w:p>
        </w:tc>
        <w:tc>
          <w:tcPr/>
          <w:p>
            <w:pPr>
              <w:pStyle w:val="Compact"/>
            </w:pPr>
            <w:r>
              <w:t xml:space="preserve">None.</w:t>
            </w:r>
          </w:p>
        </w:tc>
      </w:tr>
      <w:tr>
        <w:tc>
          <w:tcPr/>
          <w:p>
            <w:pPr>
              <w:pStyle w:val="Compact"/>
            </w:pPr>
            <w:r>
              <w:t xml:space="preserve">45</w:t>
            </w:r>
          </w:p>
        </w:tc>
        <w:tc>
          <w:tcPr/>
          <w:p>
            <w:pPr>
              <w:pStyle w:val="Compact"/>
            </w:pPr>
            <w:r>
              <w:t xml:space="preserve">spec › Facts</w:t>
            </w:r>
          </w:p>
        </w:tc>
        <w:tc>
          <w:tcPr/>
          <w:p>
            <w:pPr>
              <w:pStyle w:val="Compact"/>
            </w:pPr>
            <w:r>
              <w:rPr>
                <w:rStyle w:val="VerbatimChar"/>
              </w:rPr>
              <w:t xml:space="preserve">estate.declared_value</w:t>
            </w:r>
            <w:r>
              <w:t xml:space="preserve"> </w:t>
            </w:r>
            <w:r>
              <w:t xml:space="preserve">excludes § 13050 property.</w:t>
            </w:r>
          </w:p>
        </w:tc>
        <w:tc>
          <w:tcPr/>
          <w:p>
            <w:pPr>
              <w:pStyle w:val="Compact"/>
            </w:pPr>
            <w:r>
              <w:rPr>
                <w:b/>
                <w:bCs/>
              </w:rPr>
              <w:t xml:space="preserve">Verified with correction.</w:t>
            </w:r>
            <w:r>
              <w:t xml:space="preserve"> </w:t>
            </w:r>
            <w:r>
              <w:t xml:space="preserve">It must also exclude § 13151-petition property, and it is the</w:t>
            </w:r>
            <w:r>
              <w:t xml:space="preserve"> </w:t>
            </w:r>
            <w:r>
              <w:rPr>
                <w:b/>
                <w:bCs/>
              </w:rPr>
              <w:t xml:space="preserve">current</w:t>
            </w:r>
            <w:r>
              <w:t xml:space="preserve"> </w:t>
            </w:r>
            <w:r>
              <w:t xml:space="preserve">value (row 15).</w:t>
            </w:r>
          </w:p>
        </w:tc>
        <w:tc>
          <w:tcPr/>
          <w:p>
            <w:pPr>
              <w:pStyle w:val="Compact"/>
            </w:pPr>
            <w:r>
              <w:t xml:space="preserve">§§ 13100, 13101(a)(5)</w:t>
            </w:r>
          </w:p>
        </w:tc>
        <w:tc>
          <w:tcPr/>
          <w:p>
            <w:pPr>
              <w:pStyle w:val="Compact"/>
            </w:pPr>
            <w:r>
              <w:t xml:space="preserve">Amend the definition.</w:t>
            </w:r>
          </w:p>
        </w:tc>
      </w:tr>
      <w:tr>
        <w:tc>
          <w:tcPr/>
          <w:p>
            <w:pPr>
              <w:pStyle w:val="Compact"/>
            </w:pPr>
            <w:r>
              <w:t xml:space="preserve">46</w:t>
            </w:r>
          </w:p>
        </w:tc>
        <w:tc>
          <w:tcPr/>
          <w:p>
            <w:pPr>
              <w:pStyle w:val="Compact"/>
            </w:pPr>
            <w:r>
              <w:t xml:space="preserve">spec › Facts</w:t>
            </w:r>
          </w:p>
        </w:tc>
        <w:tc>
          <w:tcPr/>
          <w:p>
            <w:pPr>
              <w:pStyle w:val="Compact"/>
            </w:pPr>
            <w:r>
              <w:rPr>
                <w:rStyle w:val="VerbatimChar"/>
              </w:rPr>
              <w:t xml:space="preserve">has_real_property_in_jurisdiction</w:t>
            </w:r>
            <w:r>
              <w:t xml:space="preserve"> </w:t>
            </w:r>
            <w:r>
              <w:t xml:space="preserve">(§ 13103).</w:t>
            </w:r>
          </w:p>
        </w:tc>
        <w:tc>
          <w:tcPr/>
          <w:p>
            <w:pPr>
              <w:pStyle w:val="Compact"/>
            </w:pPr>
            <w:r>
              <w:rPr>
                <w:b/>
                <w:bCs/>
              </w:rPr>
              <w:t xml:space="preserve">Verified.</w:t>
            </w:r>
          </w:p>
        </w:tc>
        <w:tc>
          <w:tcPr/>
          <w:p>
            <w:pPr>
              <w:pStyle w:val="Compact"/>
            </w:pPr>
            <w:r>
              <w:t xml:space="preserve">§ 13103</w:t>
            </w:r>
          </w:p>
        </w:tc>
        <w:tc>
          <w:tcPr/>
          <w:p>
            <w:pPr>
              <w:pStyle w:val="Compact"/>
            </w:pPr>
            <w:r>
              <w:t xml:space="preserve">None.</w:t>
            </w:r>
          </w:p>
        </w:tc>
      </w:tr>
      <w:tr>
        <w:tc>
          <w:tcPr/>
          <w:p>
            <w:pPr>
              <w:pStyle w:val="Compact"/>
            </w:pPr>
            <w:r>
              <w:t xml:space="preserve">47</w:t>
            </w:r>
          </w:p>
        </w:tc>
        <w:tc>
          <w:tcPr/>
          <w:p>
            <w:pPr>
              <w:pStyle w:val="Compact"/>
            </w:pPr>
            <w:r>
              <w:t xml:space="preserve">spec › Facts</w:t>
            </w:r>
          </w:p>
        </w:tc>
        <w:tc>
          <w:tcPr/>
          <w:p>
            <w:pPr>
              <w:pStyle w:val="Compact"/>
            </w:pPr>
            <w:r>
              <w:rPr>
                <w:rStyle w:val="VerbatimChar"/>
              </w:rPr>
              <w:t xml:space="preserve">ownership_instrument_issued</w:t>
            </w:r>
            <w:r>
              <w:t xml:space="preserve"> </w:t>
            </w:r>
            <w:r>
              <w:t xml:space="preserve">(§ 13102).</w:t>
            </w:r>
          </w:p>
        </w:tc>
        <w:tc>
          <w:tcPr/>
          <w:p>
            <w:pPr>
              <w:pStyle w:val="Compact"/>
            </w:pPr>
            <w:r>
              <w:rPr>
                <w:b/>
                <w:bCs/>
              </w:rPr>
              <w:t xml:space="preserve">Verified.</w:t>
            </w:r>
          </w:p>
        </w:tc>
        <w:tc>
          <w:tcPr/>
          <w:p>
            <w:pPr>
              <w:pStyle w:val="Compact"/>
            </w:pPr>
            <w:r>
              <w:t xml:space="preserve">§ 13102(a)</w:t>
            </w:r>
          </w:p>
        </w:tc>
        <w:tc>
          <w:tcPr/>
          <w:p>
            <w:pPr>
              <w:pStyle w:val="Compact"/>
            </w:pPr>
            <w:r>
              <w:t xml:space="preserve">None.</w:t>
            </w:r>
          </w:p>
        </w:tc>
      </w:tr>
      <w:tr>
        <w:tc>
          <w:tcPr/>
          <w:p>
            <w:pPr>
              <w:pStyle w:val="Compact"/>
            </w:pPr>
            <w:r>
              <w:t xml:space="preserve">48</w:t>
            </w:r>
          </w:p>
        </w:tc>
        <w:tc>
          <w:tcPr/>
          <w:p>
            <w:pPr>
              <w:pStyle w:val="Compact"/>
            </w:pPr>
            <w:r>
              <w:t xml:space="preserve">spec › Golden</w:t>
            </w:r>
          </w:p>
        </w:tc>
        <w:tc>
          <w:tcPr/>
          <w:p>
            <w:pPr>
              <w:pStyle w:val="Compact"/>
            </w:pPr>
            <w:r>
              <w:t xml:space="preserve">GS-CA-001: earliest payment 2025-07-11; documents listed; protected.</w:t>
            </w:r>
          </w:p>
        </w:tc>
        <w:tc>
          <w:tcPr/>
          <w:p>
            <w:pPr>
              <w:pStyle w:val="Compact"/>
            </w:pPr>
            <w:r>
              <w:rPr>
                <w:b/>
                <w:bCs/>
              </w:rPr>
              <w:t xml:space="preserve">Verified with correction.</w:t>
            </w:r>
            <w:r>
              <w:t xml:space="preserve"> </w:t>
            </w:r>
            <w:r>
              <w:t xml:space="preserve">2025-06-01 + 40 = 2025-07-11 (a Friday) under first-day-excluded counting. Whether day 40 itself is eligible is Q3.</w:t>
            </w:r>
          </w:p>
        </w:tc>
        <w:tc>
          <w:tcPr/>
          <w:p>
            <w:pPr>
              <w:pStyle w:val="Compact"/>
            </w:pPr>
            <w:r>
              <w:t xml:space="preserve">CCP § 12</w:t>
            </w:r>
          </w:p>
        </w:tc>
        <w:tc>
          <w:tcPr/>
          <w:p>
            <w:pPr>
              <w:pStyle w:val="Compact"/>
            </w:pPr>
            <w:r>
              <w:t xml:space="preserve">Hold the date open until Q3 is decided. The § 13104(f) notation may need to be added.</w:t>
            </w:r>
          </w:p>
        </w:tc>
      </w:tr>
      <w:tr>
        <w:tc>
          <w:tcPr/>
          <w:p>
            <w:pPr>
              <w:pStyle w:val="Compact"/>
            </w:pPr>
            <w:r>
              <w:t xml:space="preserve">49</w:t>
            </w:r>
          </w:p>
        </w:tc>
        <w:tc>
          <w:tcPr/>
          <w:p>
            <w:pPr>
              <w:pStyle w:val="Compact"/>
            </w:pPr>
            <w:r>
              <w:t xml:space="preserve">spec › Golden</w:t>
            </w:r>
          </w:p>
        </w:tc>
        <w:tc>
          <w:tcPr/>
          <w:p>
            <w:pPr>
              <w:pStyle w:val="Compact"/>
            </w:pPr>
            <w:r>
              <w:t xml:space="preserve">GS-CA-002 to 004: boundary values at $184,500 / $184,500.01 / $208,850 on 2025-03-31 and 2025-04-01.</w:t>
            </w:r>
          </w:p>
        </w:tc>
        <w:tc>
          <w:tcPr/>
          <w:p>
            <w:pPr>
              <w:pStyle w:val="Compact"/>
            </w:pPr>
            <w:r>
              <w:rPr>
                <w:b/>
                <w:bCs/>
              </w:rPr>
              <w:t xml:space="preserve">Verified.</w:t>
            </w:r>
          </w:p>
        </w:tc>
        <w:tc>
          <w:tcPr/>
          <w:p>
            <w:pPr>
              <w:pStyle w:val="Compact"/>
            </w:pPr>
            <w:r>
              <w:t xml:space="preserve">JC list; § 13101(g)(2)</w:t>
            </w:r>
          </w:p>
        </w:tc>
        <w:tc>
          <w:tcPr/>
          <w:p>
            <w:pPr>
              <w:pStyle w:val="Compact"/>
            </w:pPr>
            <w:r>
              <w:t xml:space="preserve">None.</w:t>
            </w:r>
          </w:p>
        </w:tc>
      </w:tr>
      <w:tr>
        <w:tc>
          <w:tcPr/>
          <w:p>
            <w:pPr>
              <w:pStyle w:val="Compact"/>
            </w:pPr>
            <w:r>
              <w:t xml:space="preserve">50</w:t>
            </w:r>
          </w:p>
        </w:tc>
        <w:tc>
          <w:tcPr/>
          <w:p>
            <w:pPr>
              <w:pStyle w:val="Compact"/>
            </w:pPr>
            <w:r>
              <w:t xml:space="preserve">spec › Golden</w:t>
            </w:r>
          </w:p>
        </w:tc>
        <w:tc>
          <w:tcPr/>
          <w:p>
            <w:pPr>
              <w:pStyle w:val="Compact"/>
            </w:pPr>
            <w:r>
              <w:t xml:space="preserve">GS-CA-005, 006: proceeding without consent is not determinable; with consent, add the consent and letters.</w:t>
            </w:r>
          </w:p>
        </w:tc>
        <w:tc>
          <w:tcPr/>
          <w:p>
            <w:pPr>
              <w:pStyle w:val="Compact"/>
            </w:pPr>
            <w:r>
              <w:rPr>
                <w:b/>
                <w:bCs/>
              </w:rPr>
              <w:t xml:space="preserve">Verified.</w:t>
            </w:r>
          </w:p>
        </w:tc>
        <w:tc>
          <w:tcPr/>
          <w:p>
            <w:pPr>
              <w:pStyle w:val="Compact"/>
            </w:pPr>
            <w:r>
              <w:t xml:space="preserve">§ 13101(a)(4), (e); § 13108</w:t>
            </w:r>
          </w:p>
        </w:tc>
        <w:tc>
          <w:tcPr/>
          <w:p>
            <w:pPr>
              <w:pStyle w:val="Compact"/>
            </w:pPr>
            <w:r>
              <w:t xml:space="preserve">None.</w:t>
            </w:r>
          </w:p>
        </w:tc>
      </w:tr>
      <w:tr>
        <w:tc>
          <w:tcPr/>
          <w:p>
            <w:pPr>
              <w:pStyle w:val="Compact"/>
            </w:pPr>
            <w:r>
              <w:t xml:space="preserve">51</w:t>
            </w:r>
          </w:p>
        </w:tc>
        <w:tc>
          <w:tcPr/>
          <w:p>
            <w:pPr>
              <w:pStyle w:val="Compact"/>
            </w:pPr>
            <w:r>
              <w:t xml:space="preserve">spec › Golden</w:t>
            </w:r>
          </w:p>
        </w:tc>
        <w:tc>
          <w:tcPr/>
          <w:p>
            <w:pPr>
              <w:pStyle w:val="Compact"/>
            </w:pPr>
            <w:r>
              <w:t xml:space="preserve">GS-CA-007: real property in the estate; eligible; add inventory and appraisal.</w:t>
            </w:r>
          </w:p>
        </w:tc>
        <w:tc>
          <w:tcPr/>
          <w:p>
            <w:pPr>
              <w:pStyle w:val="Compact"/>
            </w:pPr>
            <w:r>
              <w:rPr>
                <w:b/>
                <w:bCs/>
              </w:rPr>
              <w:t xml:space="preserve">Verified with correction.</w:t>
            </w:r>
            <w:r>
              <w:t xml:space="preserve"> </w:t>
            </w:r>
            <w:r>
              <w:t xml:space="preserve">The real property counts toward the limit unless it is in a § 13151 petition (for deaths from 2025-04-01, a primary residence up to $750,000). Section 13115 bars using the affidavit to obtain real property.</w:t>
            </w:r>
          </w:p>
        </w:tc>
        <w:tc>
          <w:tcPr/>
          <w:p>
            <w:pPr>
              <w:pStyle w:val="Compact"/>
            </w:pPr>
            <w:r>
              <w:t xml:space="preserve">§ 13103; § 13151(a)</w:t>
            </w:r>
            <w:r>
              <w:t xml:space="preserve"> </w:t>
            </w:r>
            <w:hyperlink r:id="rId63">
              <w:r>
                <w:rPr>
                  <w:rStyle w:val="Hyperlink"/>
                </w:rPr>
                <w:t xml:space="preserve">https://california.public.law/codes/probate_code_section_13151</w:t>
              </w:r>
            </w:hyperlink>
            <w:r>
              <w:t xml:space="preserve"> </w:t>
            </w:r>
            <w:r>
              <w:t xml:space="preserve">; JC list "§§ 13151, 13152, 13154 ... $750,000"</w:t>
            </w:r>
          </w:p>
        </w:tc>
        <w:tc>
          <w:tcPr/>
          <w:p>
            <w:pPr>
              <w:pStyle w:val="Compact"/>
            </w:pPr>
            <w:r>
              <w:t xml:space="preserve">State in the facts that the declared value includes the real property.</w:t>
            </w:r>
          </w:p>
        </w:tc>
      </w:tr>
      <w:tr>
        <w:tc>
          <w:tcPr/>
          <w:p>
            <w:pPr>
              <w:pStyle w:val="Compact"/>
            </w:pPr>
            <w:r>
              <w:t xml:space="preserve">52</w:t>
            </w:r>
          </w:p>
        </w:tc>
        <w:tc>
          <w:tcPr/>
          <w:p>
            <w:pPr>
              <w:pStyle w:val="Compact"/>
            </w:pPr>
            <w:r>
              <w:t xml:space="preserve">spec › Golden</w:t>
            </w:r>
          </w:p>
        </w:tc>
        <w:tc>
          <w:tcPr/>
          <w:p>
            <w:pPr>
              <w:pStyle w:val="Compact"/>
            </w:pPr>
            <w:r>
              <w:t xml:space="preserve">GS-CA-008: POD, two surviving payees, 1/2 each, payable on request, protected.</w:t>
            </w:r>
          </w:p>
        </w:tc>
        <w:tc>
          <w:tcPr/>
          <w:p>
            <w:pPr>
              <w:pStyle w:val="Compact"/>
            </w:pPr>
            <w:r>
              <w:rPr>
                <w:b/>
                <w:bCs/>
              </w:rPr>
              <w:t xml:space="preserve">Verified with correction.</w:t>
            </w:r>
            <w:r>
              <w:t xml:space="preserve"> </w:t>
            </w:r>
            <w:r>
              <w:t xml:space="preserve">Correct for adults. If a payee is a minor, § 5407(b) applies.</w:t>
            </w:r>
            <w:r>
              <w:t xml:space="preserve"> </w:t>
            </w:r>
            <w:r>
              <w:rPr>
                <w:b/>
                <w:bCs/>
              </w:rPr>
              <w:t xml:space="preserve">Reviewer inference:</w:t>
            </w:r>
            <w:r>
              <w:t xml:space="preserve"> </w:t>
            </w:r>
            <w:r>
              <w:t xml:space="preserve">after the death, the payees are "parties" (§ 5136(b)), so § 5401(a) may also allow payment to any one of them; equal shares is the safer output.</w:t>
            </w:r>
          </w:p>
        </w:tc>
        <w:tc>
          <w:tcPr/>
          <w:p>
            <w:pPr>
              <w:pStyle w:val="Compact"/>
            </w:pPr>
            <w:r>
              <w:t xml:space="preserve">§ 5302(b)(2)(B); § 5407(b)</w:t>
            </w:r>
            <w:r>
              <w:t xml:space="preserve"> </w:t>
            </w:r>
            <w:hyperlink r:id="rId64">
              <w:r>
                <w:rPr>
                  <w:rStyle w:val="Hyperlink"/>
                </w:rPr>
                <w:t xml:space="preserve">https://california.public.law/codes/probate_code_section_5407</w:t>
              </w:r>
            </w:hyperlink>
          </w:p>
        </w:tc>
        <w:tc>
          <w:tcPr/>
          <w:p>
            <w:pPr>
              <w:pStyle w:val="Compact"/>
            </w:pPr>
            <w:r>
              <w:t xml:space="preserve">Add a minor-payee fact; if true, not determinable.</w:t>
            </w:r>
          </w:p>
        </w:tc>
      </w:tr>
      <w:tr>
        <w:tc>
          <w:tcPr/>
          <w:p>
            <w:pPr>
              <w:pStyle w:val="Compact"/>
            </w:pPr>
            <w:r>
              <w:t xml:space="preserve">53</w:t>
            </w:r>
          </w:p>
        </w:tc>
        <w:tc>
          <w:tcPr/>
          <w:p>
            <w:pPr>
              <w:pStyle w:val="Compact"/>
            </w:pPr>
            <w:r>
              <w:t xml:space="preserve">spec › Golden</w:t>
            </w:r>
          </w:p>
        </w:tc>
        <w:tc>
          <w:tcPr/>
          <w:p>
            <w:pPr>
              <w:pStyle w:val="Compact"/>
            </w:pPr>
            <w:r>
              <w:t xml:space="preserve">GS-CA-009: joint, one survivor, 1/1, protected.</w:t>
            </w:r>
          </w:p>
        </w:tc>
        <w:tc>
          <w:tcPr/>
          <w:p>
            <w:pPr>
              <w:pStyle w:val="Compact"/>
            </w:pPr>
            <w:r>
              <w:rPr>
                <w:b/>
                <w:bCs/>
              </w:rPr>
              <w:t xml:space="preserve">Verified.</w:t>
            </w:r>
          </w:p>
        </w:tc>
        <w:tc>
          <w:tcPr/>
          <w:p>
            <w:pPr>
              <w:pStyle w:val="Compact"/>
            </w:pPr>
            <w:r>
              <w:t xml:space="preserve">§§ 5302(a), 5402, 5405(a)</w:t>
            </w:r>
          </w:p>
        </w:tc>
        <w:tc>
          <w:tcPr/>
          <w:p>
            <w:pPr>
              <w:pStyle w:val="Compact"/>
            </w:pPr>
            <w:r>
              <w:t xml:space="preserve">None.</w:t>
            </w:r>
          </w:p>
        </w:tc>
      </w:tr>
      <w:tr>
        <w:tc>
          <w:tcPr/>
          <w:p>
            <w:pPr>
              <w:pStyle w:val="Compact"/>
            </w:pPr>
            <w:r>
              <w:t xml:space="preserve">54</w:t>
            </w:r>
          </w:p>
        </w:tc>
        <w:tc>
          <w:tcPr/>
          <w:p>
            <w:pPr>
              <w:pStyle w:val="Compact"/>
            </w:pPr>
            <w:r>
              <w:t xml:space="preserve">spec › Golden</w:t>
            </w:r>
          </w:p>
        </w:tc>
        <w:tc>
          <w:tcPr/>
          <w:p>
            <w:pPr>
              <w:pStyle w:val="Compact"/>
            </w:pPr>
            <w:r>
              <w:t xml:space="preserve">GS-CA-010: POD payee is a former spouse, so not determinable.</w:t>
            </w:r>
          </w:p>
        </w:tc>
        <w:tc>
          <w:tcPr/>
          <w:p>
            <w:pPr>
              <w:pStyle w:val="Compact"/>
            </w:pPr>
            <w:r>
              <w:rPr>
                <w:b/>
                <w:bCs/>
              </w:rPr>
              <w:t xml:space="preserve">Verified with correction.</w:t>
            </w:r>
            <w:r>
              <w:t xml:space="preserve"> </w:t>
            </w:r>
            <w:r>
              <w:t xml:space="preserve">Add a joint-party former-spouse variant (row 12).</w:t>
            </w:r>
          </w:p>
        </w:tc>
        <w:tc>
          <w:tcPr/>
          <w:p>
            <w:pPr>
              <w:pStyle w:val="Compact"/>
            </w:pPr>
            <w:r>
              <w:t xml:space="preserve">§ 5040</w:t>
            </w:r>
          </w:p>
        </w:tc>
        <w:tc>
          <w:tcPr/>
          <w:p>
            <w:pPr>
              <w:pStyle w:val="Compact"/>
            </w:pPr>
            <w:r>
              <w:t xml:space="preserve">Add GS for a joint former spouse.</w:t>
            </w:r>
          </w:p>
        </w:tc>
      </w:tr>
      <w:tr>
        <w:tc>
          <w:tcPr/>
          <w:p>
            <w:pPr>
              <w:pStyle w:val="Compact"/>
            </w:pPr>
            <w:r>
              <w:t xml:space="preserve">55</w:t>
            </w:r>
          </w:p>
        </w:tc>
        <w:tc>
          <w:tcPr/>
          <w:p>
            <w:pPr>
              <w:pStyle w:val="Compact"/>
            </w:pPr>
            <w:r>
              <w:t xml:space="preserve">spec › Golden</w:t>
            </w:r>
          </w:p>
        </w:tc>
        <w:tc>
          <w:tcPr/>
          <w:p>
            <w:pPr>
              <w:pStyle w:val="Compact"/>
            </w:pPr>
            <w:r>
              <w:t xml:space="preserve">GS-CA-011: restraining order served before payment, so not determinable.</w:t>
            </w:r>
          </w:p>
        </w:tc>
        <w:tc>
          <w:tcPr/>
          <w:p>
            <w:pPr>
              <w:pStyle w:val="Compact"/>
            </w:pPr>
            <w:r>
              <w:rPr>
                <w:b/>
                <w:bCs/>
              </w:rPr>
              <w:t xml:space="preserve">Verified with correction.</w:t>
            </w:r>
            <w:r>
              <w:t xml:space="preserve"> </w:t>
            </w:r>
            <w:r>
              <w:t xml:space="preserve">The scenario doesn't name the path. Section 5405(b) is a Path A rule; Path B needs its own rule (G4).</w:t>
            </w:r>
          </w:p>
        </w:tc>
        <w:tc>
          <w:tcPr/>
          <w:p>
            <w:pPr>
              <w:pStyle w:val="Compact"/>
            </w:pPr>
            <w:r>
              <w:t xml:space="preserve">§ 5405(b); Fin. Code § 1450(b)</w:t>
            </w:r>
          </w:p>
        </w:tc>
        <w:tc>
          <w:tcPr/>
          <w:p>
            <w:pPr>
              <w:pStyle w:val="Compact"/>
            </w:pPr>
            <w:r>
              <w:t xml:space="preserve">Specify the path; add a Path B variant.</w:t>
            </w:r>
          </w:p>
        </w:tc>
      </w:tr>
      <w:tr>
        <w:tc>
          <w:tcPr/>
          <w:p>
            <w:pPr>
              <w:pStyle w:val="Compact"/>
            </w:pPr>
            <w:r>
              <w:t xml:space="preserve">56</w:t>
            </w:r>
          </w:p>
        </w:tc>
        <w:tc>
          <w:tcPr/>
          <w:p>
            <w:pPr>
              <w:pStyle w:val="Compact"/>
            </w:pPr>
            <w:r>
              <w:t xml:space="preserve">spec › Golden</w:t>
            </w:r>
          </w:p>
        </w:tc>
        <w:tc>
          <w:tcPr/>
          <w:p>
            <w:pPr>
              <w:pStyle w:val="Compact"/>
            </w:pPr>
            <w:r>
              <w:t xml:space="preserve">GS-CA-012: died 2022-03-31, so not determinable.</w:t>
            </w:r>
          </w:p>
        </w:tc>
        <w:tc>
          <w:tcPr/>
          <w:p>
            <w:pPr>
              <w:pStyle w:val="Compact"/>
            </w:pPr>
            <w:r>
              <w:rPr>
                <w:b/>
                <w:bCs/>
              </w:rPr>
              <w:t xml:space="preserve">Verified</w:t>
            </w:r>
            <w:r>
              <w:t xml:space="preserve"> </w:t>
            </w:r>
            <w:r>
              <w:t xml:space="preserve">(owner decision).</w:t>
            </w:r>
          </w:p>
        </w:tc>
        <w:tc>
          <w:tcPr/>
          <w:p>
            <w:pPr>
              <w:pStyle w:val="Compact"/>
            </w:pPr>
            <w:r>
              <w:t xml:space="preserve">—</w:t>
            </w:r>
          </w:p>
        </w:tc>
        <w:tc>
          <w:tcPr/>
          <w:p>
            <w:pPr>
              <w:pStyle w:val="Compact"/>
            </w:pPr>
            <w:r>
              <w:t xml:space="preserve">None.</w:t>
            </w:r>
          </w:p>
        </w:tc>
      </w:tr>
      <w:tr>
        <w:tc>
          <w:tcPr/>
          <w:p>
            <w:pPr>
              <w:pStyle w:val="Compact"/>
            </w:pPr>
            <w:r>
              <w:t xml:space="preserve">57</w:t>
            </w:r>
          </w:p>
        </w:tc>
        <w:tc>
          <w:tcPr/>
          <w:p>
            <w:pPr>
              <w:pStyle w:val="Compact"/>
            </w:pPr>
            <w:r>
              <w:t xml:space="preserve">spec › Golden</w:t>
            </w:r>
          </w:p>
        </w:tc>
        <w:tc>
          <w:tcPr/>
          <w:p>
            <w:pPr>
              <w:pStyle w:val="Compact"/>
            </w:pPr>
            <w:r>
              <w:t xml:space="preserve">GS-CA-013: died 2022-04-01, $184,500, eligible.</w:t>
            </w:r>
          </w:p>
        </w:tc>
        <w:tc>
          <w:tcPr/>
          <w:p>
            <w:pPr>
              <w:pStyle w:val="Compact"/>
            </w:pPr>
            <w:r>
              <w:rPr>
                <w:b/>
                <w:bCs/>
              </w:rPr>
              <w:t xml:space="preserve">Verified.</w:t>
            </w:r>
          </w:p>
        </w:tc>
        <w:tc>
          <w:tcPr/>
          <w:p>
            <w:pPr>
              <w:pStyle w:val="Compact"/>
            </w:pPr>
            <w:r>
              <w:t xml:space="preserve">§ 13101(g)(2); JC list</w:t>
            </w:r>
          </w:p>
        </w:tc>
        <w:tc>
          <w:tcPr/>
          <w:p>
            <w:pPr>
              <w:pStyle w:val="Compact"/>
            </w:pPr>
            <w:r>
              <w:t xml:space="preserve">None.</w:t>
            </w:r>
          </w:p>
        </w:tc>
      </w:tr>
      <w:tr>
        <w:tc>
          <w:tcPr/>
          <w:p>
            <w:pPr>
              <w:pStyle w:val="Compact"/>
            </w:pPr>
            <w:r>
              <w:t xml:space="preserve">58</w:t>
            </w:r>
          </w:p>
        </w:tc>
        <w:tc>
          <w:tcPr/>
          <w:p>
            <w:pPr>
              <w:pStyle w:val="Compact"/>
            </w:pPr>
            <w:r>
              <w:t xml:space="preserve">spec › Golden</w:t>
            </w:r>
          </w:p>
        </w:tc>
        <w:tc>
          <w:tcPr/>
          <w:p>
            <w:pPr>
              <w:pStyle w:val="Compact"/>
            </w:pPr>
            <w:r>
              <w:t xml:space="preserve">GS-CA-014: Totten, sole trustee, two beneficiaries, 1/2 each; proof both survived.</w:t>
            </w:r>
          </w:p>
        </w:tc>
        <w:tc>
          <w:tcPr/>
          <w:p>
            <w:pPr>
              <w:pStyle w:val="Compact"/>
            </w:pPr>
            <w:r>
              <w:rPr>
                <w:b/>
                <w:bCs/>
              </w:rPr>
              <w:t xml:space="preserve">Verified.</w:t>
            </w:r>
          </w:p>
        </w:tc>
        <w:tc>
          <w:tcPr/>
          <w:p>
            <w:pPr>
              <w:pStyle w:val="Compact"/>
            </w:pPr>
            <w:r>
              <w:t xml:space="preserve">§§ 5302(c)(2)(B), 5404</w:t>
            </w:r>
          </w:p>
        </w:tc>
        <w:tc>
          <w:tcPr/>
          <w:p>
            <w:pPr>
              <w:pStyle w:val="Compact"/>
            </w:pPr>
            <w:r>
              <w:t xml:space="preserve">None.</w:t>
            </w:r>
          </w:p>
        </w:tc>
      </w:tr>
      <w:tr>
        <w:tc>
          <w:tcPr/>
          <w:p>
            <w:pPr>
              <w:pStyle w:val="Compact"/>
            </w:pPr>
            <w:r>
              <w:t xml:space="preserve">59</w:t>
            </w:r>
          </w:p>
        </w:tc>
        <w:tc>
          <w:tcPr/>
          <w:p>
            <w:pPr>
              <w:pStyle w:val="Compact"/>
            </w:pPr>
            <w:r>
              <w:t xml:space="preserve">spec › Golden</w:t>
            </w:r>
          </w:p>
        </w:tc>
        <w:tc>
          <w:tcPr/>
          <w:p>
            <w:pPr>
              <w:pStyle w:val="Compact"/>
            </w:pPr>
            <w:r>
              <w:t xml:space="preserve">GS-CA-015: Totten terms 70/30.</w:t>
            </w:r>
          </w:p>
        </w:tc>
        <w:tc>
          <w:tcPr/>
          <w:p>
            <w:pPr>
              <w:pStyle w:val="Compact"/>
            </w:pPr>
            <w:r>
              <w:rPr>
                <w:b/>
                <w:bCs/>
              </w:rPr>
              <w:t xml:space="preserve">Verified.</w:t>
            </w:r>
            <w:r>
              <w:t xml:space="preserve"> </w:t>
            </w:r>
            <w:r>
              <w:t xml:space="preserve">The terms must "expressly provide".</w:t>
            </w:r>
          </w:p>
        </w:tc>
        <w:tc>
          <w:tcPr/>
          <w:p>
            <w:pPr>
              <w:pStyle w:val="Compact"/>
            </w:pPr>
            <w:r>
              <w:t xml:space="preserve">§ 5302(c)(2)(B)</w:t>
            </w:r>
          </w:p>
        </w:tc>
        <w:tc>
          <w:tcPr/>
          <w:p>
            <w:pPr>
              <w:pStyle w:val="Compact"/>
            </w:pPr>
            <w:r>
              <w:t xml:space="preserve">None.</w:t>
            </w:r>
          </w:p>
        </w:tc>
      </w:tr>
      <w:tr>
        <w:tc>
          <w:tcPr/>
          <w:p>
            <w:pPr>
              <w:pStyle w:val="Compact"/>
            </w:pPr>
            <w:r>
              <w:t xml:space="preserve">60</w:t>
            </w:r>
          </w:p>
        </w:tc>
        <w:tc>
          <w:tcPr/>
          <w:p>
            <w:pPr>
              <w:pStyle w:val="Compact"/>
            </w:pPr>
            <w:r>
              <w:t xml:space="preserve">spec › Golden</w:t>
            </w:r>
          </w:p>
        </w:tc>
        <w:tc>
          <w:tcPr/>
          <w:p>
            <w:pPr>
              <w:pStyle w:val="Compact"/>
            </w:pPr>
            <w:r>
              <w:t xml:space="preserve">GS-CA-016: joint, two survivors,</w:t>
            </w:r>
            <w:r>
              <w:t xml:space="preserve"> </w:t>
            </w:r>
            <w:r>
              <w:rPr>
                <w:rStyle w:val="VerbatimChar"/>
              </w:rPr>
              <w:t xml:space="preserve">any_of</w:t>
            </w:r>
            <w:r>
              <w:t xml:space="preserve">, protected.</w:t>
            </w:r>
          </w:p>
        </w:tc>
        <w:tc>
          <w:tcPr/>
          <w:p>
            <w:pPr>
              <w:pStyle w:val="Compact"/>
            </w:pPr>
            <w:r>
              <w:rPr>
                <w:b/>
                <w:bCs/>
              </w:rPr>
              <w:t xml:space="preserve">Verified.</w:t>
            </w:r>
          </w:p>
        </w:tc>
        <w:tc>
          <w:tcPr/>
          <w:p>
            <w:pPr>
              <w:pStyle w:val="Compact"/>
            </w:pPr>
            <w:r>
              <w:t xml:space="preserve">§§ 5401(a), 5402, 5405(a)</w:t>
            </w:r>
          </w:p>
        </w:tc>
        <w:tc>
          <w:tcPr/>
          <w:p>
            <w:pPr>
              <w:pStyle w:val="Compact"/>
            </w:pPr>
            <w:r>
              <w:t xml:space="preserve">None.</w:t>
            </w:r>
          </w:p>
        </w:tc>
      </w:tr>
      <w:tr>
        <w:tc>
          <w:tcPr/>
          <w:p>
            <w:pPr>
              <w:pStyle w:val="Compact"/>
            </w:pPr>
            <w:r>
              <w:t xml:space="preserve">61</w:t>
            </w:r>
          </w:p>
        </w:tc>
        <w:tc>
          <w:tcPr/>
          <w:p>
            <w:pPr>
              <w:pStyle w:val="Compact"/>
            </w:pPr>
            <w:r>
              <w:t xml:space="preserve">open-questions › Q6</w:t>
            </w:r>
          </w:p>
        </w:tc>
        <w:tc>
          <w:tcPr/>
          <w:p>
            <w:pPr>
              <w:pStyle w:val="Compact"/>
            </w:pPr>
            <w:r>
              <w:t xml:space="preserve">The statute lets the institution pay any one or more surviving parties per the terms; protected.</w:t>
            </w:r>
          </w:p>
        </w:tc>
        <w:tc>
          <w:tcPr/>
          <w:p>
            <w:pPr>
              <w:pStyle w:val="Compact"/>
            </w:pPr>
            <w:r>
              <w:rPr>
                <w:b/>
                <w:bCs/>
              </w:rPr>
              <w:t xml:space="preserve">Verified.</w:t>
            </w:r>
            <w:r>
              <w:t xml:space="preserve"> </w:t>
            </w:r>
            <w:r>
              <w:t xml:space="preserve">Case law (</w:t>
            </w:r>
            <w:r>
              <w:rPr>
                <w:i/>
                <w:iCs/>
              </w:rPr>
              <w:t xml:space="preserve">Placencia</w:t>
            </w:r>
            <w:r>
              <w:t xml:space="preserve">) applies § 5405 to payment of a joint account to a survivor per the terms.</w:t>
            </w:r>
          </w:p>
        </w:tc>
        <w:tc>
          <w:tcPr/>
          <w:p>
            <w:pPr>
              <w:pStyle w:val="Compact"/>
            </w:pPr>
            <w:r>
              <w:t xml:space="preserve">§ 5401(a); § 5402 ("to any party without regard to whether any other party is ... deceased");</w:t>
            </w:r>
            <w:r>
              <w:t xml:space="preserve"> </w:t>
            </w:r>
            <w:r>
              <w:rPr>
                <w:i/>
                <w:iCs/>
              </w:rPr>
              <w:t xml:space="preserve">Placencia</w:t>
            </w:r>
          </w:p>
        </w:tc>
        <w:tc>
          <w:tcPr/>
          <w:p>
            <w:pPr>
              <w:pStyle w:val="Compact"/>
            </w:pPr>
            <w:r>
              <w:t xml:space="preserve">Mark Q6 as answerable (see notes).</w:t>
            </w:r>
          </w:p>
        </w:tc>
      </w:tr>
      <w:tr>
        <w:tc>
          <w:tcPr/>
          <w:p>
            <w:pPr>
              <w:pStyle w:val="Compact"/>
            </w:pPr>
            <w:r>
              <w:t xml:space="preserve">62</w:t>
            </w:r>
          </w:p>
        </w:tc>
        <w:tc>
          <w:tcPr/>
          <w:p>
            <w:pPr>
              <w:pStyle w:val="Compact"/>
            </w:pPr>
            <w:r>
              <w:t xml:space="preserve">sources › JC list</w:t>
            </w:r>
          </w:p>
        </w:tc>
        <w:tc>
          <w:tcPr/>
          <w:p>
            <w:pPr>
              <w:pStyle w:val="Compact"/>
            </w:pPr>
            <w:r>
              <w:t xml:space="preserve">Official JC list; SHA-256</w:t>
            </w:r>
            <w:r>
              <w:t xml:space="preserve"> </w:t>
            </w:r>
            <w:r>
              <w:rPr>
                <w:rStyle w:val="VerbatimChar"/>
              </w:rPr>
              <w:t xml:space="preserve">cb30e97d…edf56</w:t>
            </w:r>
            <w:r>
              <w:t xml:space="preserve">.</w:t>
            </w:r>
          </w:p>
        </w:tc>
        <w:tc>
          <w:tcPr/>
          <w:p>
            <w:pPr>
              <w:pStyle w:val="Compact"/>
            </w:pPr>
            <w:r>
              <w:rPr>
                <w:b/>
                <w:bCs/>
              </w:rPr>
              <w:t xml:space="preserve">Verified.</w:t>
            </w:r>
            <w:r>
              <w:t xml:space="preserve"> </w:t>
            </w:r>
            <w:r>
              <w:t xml:space="preserve">The full hash of the copy I downloaded is</w:t>
            </w:r>
            <w:r>
              <w:t xml:space="preserve"> </w:t>
            </w:r>
            <w:r>
              <w:rPr>
                <w:rStyle w:val="VerbatimChar"/>
              </w:rPr>
              <w:t xml:space="preserve">cb30e97d3b4322512bcd3a5cda8eff5eb3de26c66a0473d9a15295e076eedf56</w:t>
            </w:r>
            <w:r>
              <w:t xml:space="preserve">.</w:t>
            </w:r>
          </w:p>
        </w:tc>
        <w:tc>
          <w:tcPr/>
          <w:p>
            <w:pPr>
              <w:pStyle w:val="Compact"/>
            </w:pPr>
            <w:r>
              <w:t xml:space="preserve">JC URL above</w:t>
            </w:r>
          </w:p>
        </w:tc>
        <w:tc>
          <w:tcPr/>
          <w:p>
            <w:pPr>
              <w:pStyle w:val="Compact"/>
            </w:pPr>
            <w:r>
              <w:t xml:space="preserve">Record the full hash.</w:t>
            </w:r>
          </w:p>
        </w:tc>
      </w:tr>
      <w:tr>
        <w:tc>
          <w:tcPr/>
          <w:p>
            <w:pPr>
              <w:pStyle w:val="Compact"/>
            </w:pPr>
            <w:r>
              <w:t xml:space="preserve">63</w:t>
            </w:r>
          </w:p>
        </w:tc>
        <w:tc>
          <w:tcPr/>
          <w:p>
            <w:pPr>
              <w:pStyle w:val="Compact"/>
            </w:pPr>
            <w:r>
              <w:t xml:space="preserve">sources › mirror dates</w:t>
            </w:r>
          </w:p>
        </w:tc>
        <w:tc>
          <w:tcPr/>
          <w:p>
            <w:pPr>
              <w:pStyle w:val="Compact"/>
            </w:pPr>
            <w:r>
              <w:t xml:space="preserve">"Updated" dates: § 890 2020; § 13006 1991; § 13050 2020; § 13051 1991; §§ 13100–13101 2025; § 13100.5 2023; §§ 13102–13106 1990; § 13500 2017; § 13540 1995; § 5040 2017; § 5302 2016; § 5401 2013; §§ 5402–5405 1990; §§ 6401–6402 2015.</w:t>
            </w:r>
          </w:p>
        </w:tc>
        <w:tc>
          <w:tcPr/>
          <w:p>
            <w:pPr>
              <w:pStyle w:val="Compact"/>
            </w:pPr>
            <w:r>
              <w:rPr>
                <w:b/>
                <w:bCs/>
              </w:rPr>
              <w:t xml:space="preserve">Verified.</w:t>
            </w:r>
            <w:r>
              <w:t xml:space="preserve"> </w:t>
            </w:r>
            <w:r>
              <w:t xml:space="preserve">All match the mirror pages I fetched.</w:t>
            </w:r>
          </w:p>
        </w:tc>
        <w:tc>
          <w:tcPr/>
          <w:p>
            <w:pPr>
              <w:pStyle w:val="Compact"/>
            </w:pPr>
            <w:r>
              <w:t xml:space="preserve">Mirror pages</w:t>
            </w:r>
          </w:p>
        </w:tc>
        <w:tc>
          <w:tcPr/>
          <w:p>
            <w:pPr>
              <w:pStyle w:val="Compact"/>
            </w:pPr>
            <w:r>
              <w:t xml:space="preserve">Add §§ 13108–13117 (2023 transferee-liability amendments), § 13151 (2025, AB 2016) and the sections in the Gaps section.</w:t>
            </w:r>
          </w:p>
        </w:tc>
      </w:tr>
      <w:tr>
        <w:tc>
          <w:tcPr/>
          <w:p>
            <w:pPr>
              <w:pStyle w:val="Compact"/>
            </w:pPr>
            <w:r>
              <w:t xml:space="preserve">64</w:t>
            </w:r>
          </w:p>
        </w:tc>
        <w:tc>
          <w:tcPr/>
          <w:p>
            <w:pPr>
              <w:pStyle w:val="Compact"/>
            </w:pPr>
            <w:r>
              <w:t xml:space="preserve">WA spec › CA column</w:t>
            </w:r>
          </w:p>
        </w:tc>
        <w:tc>
          <w:tcPr/>
          <w:p>
            <w:pPr>
              <w:pStyle w:val="Compact"/>
            </w:pPr>
            <w:r>
              <w:t xml:space="preserve">California limit is $208,850, "adjusted every 3 years".</w:t>
            </w:r>
          </w:p>
        </w:tc>
        <w:tc>
          <w:tcPr/>
          <w:p>
            <w:pPr>
              <w:pStyle w:val="Compact"/>
            </w:pPr>
            <w:r>
              <w:rPr>
                <w:b/>
                <w:bCs/>
              </w:rPr>
              <w:t xml:space="preserve">Verified with correction.</w:t>
            </w:r>
            <w:r>
              <w:t xml:space="preserve"> </w:t>
            </w:r>
            <w:r>
              <w:t xml:space="preserve">That amount applies only to deaths from 2025-04-01.</w:t>
            </w:r>
          </w:p>
        </w:tc>
        <w:tc>
          <w:tcPr/>
          <w:p>
            <w:pPr>
              <w:pStyle w:val="Compact"/>
            </w:pPr>
            <w:r>
              <w:t xml:space="preserve">JC list</w:t>
            </w:r>
          </w:p>
        </w:tc>
        <w:tc>
          <w:tcPr/>
          <w:p>
            <w:pPr>
              <w:pStyle w:val="Compact"/>
            </w:pPr>
            <w:r>
              <w:t xml:space="preserve">Say "$184,500 or $208,850 depending on date of death".</w:t>
            </w:r>
          </w:p>
        </w:tc>
      </w:tr>
      <w:tr>
        <w:tc>
          <w:tcPr/>
          <w:p>
            <w:pPr>
              <w:pStyle w:val="Compact"/>
            </w:pPr>
            <w:r>
              <w:t xml:space="preserve">65</w:t>
            </w:r>
          </w:p>
        </w:tc>
        <w:tc>
          <w:tcPr/>
          <w:p>
            <w:pPr>
              <w:pStyle w:val="Compact"/>
            </w:pPr>
            <w:r>
              <w:t xml:space="preserve">WA spec › CA column</w:t>
            </w:r>
          </w:p>
        </w:tc>
        <w:tc>
          <w:tcPr/>
          <w:p>
            <w:pPr>
              <w:pStyle w:val="Compact"/>
            </w:pPr>
            <w:r>
              <w:t xml:space="preserve">Measures gross value of California property, with listed exclusions.</w:t>
            </w:r>
          </w:p>
        </w:tc>
        <w:tc>
          <w:tcPr/>
          <w:p>
            <w:pPr>
              <w:pStyle w:val="Compact"/>
            </w:pPr>
            <w:r>
              <w:rPr>
                <w:b/>
                <w:bCs/>
              </w:rPr>
              <w:t xml:space="preserve">Verified.</w:t>
            </w:r>
          </w:p>
        </w:tc>
        <w:tc>
          <w:tcPr/>
          <w:p>
            <w:pPr>
              <w:pStyle w:val="Compact"/>
            </w:pPr>
            <w:r>
              <w:t xml:space="preserve">§§ 13100, 13050</w:t>
            </w:r>
          </w:p>
        </w:tc>
        <w:tc>
          <w:tcPr/>
          <w:p>
            <w:pPr>
              <w:pStyle w:val="Compact"/>
            </w:pPr>
            <w:r>
              <w:t xml:space="preserve">None.</w:t>
            </w:r>
          </w:p>
        </w:tc>
      </w:tr>
      <w:tr>
        <w:tc>
          <w:tcPr/>
          <w:p>
            <w:pPr>
              <w:pStyle w:val="Compact"/>
            </w:pPr>
            <w:r>
              <w:t xml:space="preserve">66</w:t>
            </w:r>
          </w:p>
        </w:tc>
        <w:tc>
          <w:tcPr/>
          <w:p>
            <w:pPr>
              <w:pStyle w:val="Compact"/>
            </w:pPr>
            <w:r>
              <w:t xml:space="preserve">WA spec › CA column</w:t>
            </w:r>
          </w:p>
        </w:tc>
        <w:tc>
          <w:tcPr/>
          <w:p>
            <w:pPr>
              <w:pStyle w:val="Compact"/>
            </w:pPr>
            <w:r>
              <w:t xml:space="preserve">Existing administration: allowed with the personal representative's written consent.</w:t>
            </w:r>
          </w:p>
        </w:tc>
        <w:tc>
          <w:tcPr/>
          <w:p>
            <w:pPr>
              <w:pStyle w:val="Compact"/>
            </w:pPr>
            <w:r>
              <w:rPr>
                <w:b/>
                <w:bCs/>
              </w:rPr>
              <w:t xml:space="preserve">Verified with correction.</w:t>
            </w:r>
            <w:r>
              <w:t xml:space="preserve"> </w:t>
            </w:r>
            <w:r>
              <w:t xml:space="preserve">Only a</w:t>
            </w:r>
            <w:r>
              <w:t xml:space="preserve"> </w:t>
            </w:r>
            <w:r>
              <w:rPr>
                <w:b/>
                <w:bCs/>
              </w:rPr>
              <w:t xml:space="preserve">California</w:t>
            </w:r>
            <w:r>
              <w:t xml:space="preserve"> </w:t>
            </w:r>
            <w:r>
              <w:t xml:space="preserve">proceeding is a bar. A proceeding elsewhere does not bar use (§ 13101(a)(4)(A)), and a sister-state personal representative can itself use the affidavit (§ 12570).</w:t>
            </w:r>
          </w:p>
        </w:tc>
        <w:tc>
          <w:tcPr/>
          <w:p>
            <w:pPr>
              <w:pStyle w:val="Compact"/>
            </w:pPr>
            <w:r>
              <w:t xml:space="preserve">§§ 13101(a)(4), 12570</w:t>
            </w:r>
          </w:p>
        </w:tc>
        <w:tc>
          <w:tcPr/>
          <w:p>
            <w:pPr>
              <w:pStyle w:val="Compact"/>
            </w:pPr>
            <w:r>
              <w:t xml:space="preserve">Add "California proceedings only".</w:t>
            </w:r>
          </w:p>
        </w:tc>
      </w:tr>
      <w:tr>
        <w:tc>
          <w:tcPr/>
          <w:p>
            <w:pPr>
              <w:pStyle w:val="Compact"/>
            </w:pPr>
            <w:r>
              <w:t xml:space="preserve">67</w:t>
            </w:r>
          </w:p>
        </w:tc>
        <w:tc>
          <w:tcPr/>
          <w:p>
            <w:pPr>
              <w:pStyle w:val="Compact"/>
            </w:pPr>
            <w:r>
              <w:t xml:space="preserve">WA spec › CA column</w:t>
            </w:r>
          </w:p>
        </w:tc>
        <w:tc>
          <w:tcPr/>
          <w:p>
            <w:pPr>
              <w:pStyle w:val="Compact"/>
            </w:pPr>
            <w:r>
              <w:t xml:space="preserve">Extra conditions: "None comparable."</w:t>
            </w:r>
          </w:p>
        </w:tc>
        <w:tc>
          <w:tcPr/>
          <w:p>
            <w:pPr>
              <w:pStyle w:val="Compact"/>
            </w:pPr>
            <w:r>
              <w:rPr>
                <w:b/>
                <w:bCs/>
              </w:rPr>
              <w:t xml:space="preserve">Verified.</w:t>
            </w:r>
            <w:r>
              <w:t xml:space="preserve"> </w:t>
            </w:r>
            <w:r>
              <w:t xml:space="preserve">I found no residency, debts-paid or notice-to-successors condition in §§ 13100–13101. Section 12570 shows nondomiciliary decedents qualify.</w:t>
            </w:r>
          </w:p>
        </w:tc>
        <w:tc>
          <w:tcPr/>
          <w:p>
            <w:pPr>
              <w:pStyle w:val="Compact"/>
            </w:pPr>
            <w:r>
              <w:t xml:space="preserve">§§ 13100, 13101, 12570</w:t>
            </w:r>
          </w:p>
        </w:tc>
        <w:tc>
          <w:tcPr/>
          <w:p>
            <w:pPr>
              <w:pStyle w:val="Compact"/>
            </w:pPr>
            <w:r>
              <w:t xml:space="preserve">None.</w:t>
            </w:r>
          </w:p>
        </w:tc>
      </w:tr>
      <w:tr>
        <w:tc>
          <w:tcPr/>
          <w:p>
            <w:pPr>
              <w:pStyle w:val="Compact"/>
            </w:pPr>
            <w:r>
              <w:t xml:space="preserve">68</w:t>
            </w:r>
          </w:p>
        </w:tc>
        <w:tc>
          <w:tcPr/>
          <w:p>
            <w:pPr>
              <w:pStyle w:val="Compact"/>
            </w:pPr>
            <w:r>
              <w:t xml:space="preserve">WA spec › CA column</w:t>
            </w:r>
          </w:p>
        </w:tc>
        <w:tc>
          <w:tcPr/>
          <w:p>
            <w:pPr>
              <w:pStyle w:val="Compact"/>
            </w:pPr>
            <w:r>
              <w:t xml:space="preserve">Joint accounts: "Survivorship presumed (§ 5302(a))".</w:t>
            </w:r>
          </w:p>
        </w:tc>
        <w:tc>
          <w:tcPr/>
          <w:p>
            <w:pPr>
              <w:pStyle w:val="Compact"/>
            </w:pPr>
            <w:r>
              <w:rPr>
                <w:b/>
                <w:bCs/>
              </w:rPr>
              <w:t xml:space="preserve">Verified with correction.</w:t>
            </w:r>
            <w:r>
              <w:t xml:space="preserve"> </w:t>
            </w:r>
            <w:r>
              <w:t xml:space="preserve">Rebuttable by clear and convincing evidence; § 5306 and § 5307 exceptions.</w:t>
            </w:r>
          </w:p>
        </w:tc>
        <w:tc>
          <w:tcPr/>
          <w:p>
            <w:pPr>
              <w:pStyle w:val="Compact"/>
            </w:pPr>
            <w:r>
              <w:t xml:space="preserve">§ 5302(a); §§ 5306, 5307</w:t>
            </w:r>
          </w:p>
        </w:tc>
        <w:tc>
          <w:tcPr/>
          <w:p>
            <w:pPr>
              <w:pStyle w:val="Compact"/>
            </w:pPr>
            <w:r>
              <w:t xml:space="preserve">Add "rebuttable".</w:t>
            </w:r>
          </w:p>
        </w:tc>
      </w:tr>
      <w:tr>
        <w:tc>
          <w:tcPr/>
          <w:p>
            <w:pPr>
              <w:pStyle w:val="Compact"/>
            </w:pPr>
            <w:r>
              <w:t xml:space="preserve">69</w:t>
            </w:r>
          </w:p>
        </w:tc>
        <w:tc>
          <w:tcPr/>
          <w:p>
            <w:pPr>
              <w:pStyle w:val="Compact"/>
            </w:pPr>
            <w:r>
              <w:t xml:space="preserve">WA spec › CA column</w:t>
            </w:r>
          </w:p>
        </w:tc>
        <w:tc>
          <w:tcPr/>
          <w:p>
            <w:pPr>
              <w:pStyle w:val="Compact"/>
            </w:pPr>
            <w:r>
              <w:t xml:space="preserve">A will overriding a POD designation: "Not possible (§ 5302(e))".</w:t>
            </w:r>
          </w:p>
        </w:tc>
        <w:tc>
          <w:tcPr/>
          <w:p>
            <w:pPr>
              <w:pStyle w:val="Compact"/>
            </w:pPr>
            <w:r>
              <w:rPr>
                <w:b/>
                <w:bCs/>
              </w:rPr>
              <w:t xml:space="preserve">Verified with correction (misleading as stated).</w:t>
            </w:r>
            <w:r>
              <w:t xml:space="preserve"> </w:t>
            </w:r>
            <w:r>
              <w:t xml:space="preserve">Statute says a designation "cannot be changed by will" (§ 5302(e); see also § 5305(c)). Case law holds that a will may still be clear and convincing evidence of a different intent, so the estate can recover from the survivor, while the bank is protected paying per the terms.</w:t>
            </w:r>
          </w:p>
        </w:tc>
        <w:tc>
          <w:tcPr/>
          <w:p>
            <w:pPr>
              <w:pStyle w:val="Compact"/>
            </w:pPr>
            <w:r>
              <w:t xml:space="preserve">§ 5302(e): "cannot be changed by will."</w:t>
            </w:r>
            <w:r>
              <w:t xml:space="preserve"> </w:t>
            </w:r>
            <w:r>
              <w:rPr>
                <w:i/>
                <w:iCs/>
              </w:rPr>
              <w:t xml:space="preserve">Placencia</w:t>
            </w:r>
            <w:r>
              <w:t xml:space="preserve">: "The court may still look to the will as an expression of intent to negate survivorship."</w:t>
            </w:r>
          </w:p>
        </w:tc>
        <w:tc>
          <w:tcPr/>
          <w:p>
            <w:pPr>
              <w:pStyle w:val="Compact"/>
            </w:pPr>
            <w:r>
              <w:t xml:space="preserve">Reword: "A will cannot change the account terms, and the institution is protected paying per the terms. A will can be evidence redirecting beneficial ownership (</w:t>
            </w:r>
            <w:r>
              <w:rPr>
                <w:i/>
                <w:iCs/>
              </w:rPr>
              <w:t xml:space="preserve">Placencia</w:t>
            </w:r>
            <w:r>
              <w:t xml:space="preserve">)."</w:t>
            </w:r>
          </w:p>
        </w:tc>
      </w:tr>
      <w:tr>
        <w:tc>
          <w:tcPr/>
          <w:p>
            <w:pPr>
              <w:pStyle w:val="Compact"/>
            </w:pPr>
            <w:r>
              <w:t xml:space="preserve">70</w:t>
            </w:r>
          </w:p>
        </w:tc>
        <w:tc>
          <w:tcPr/>
          <w:p>
            <w:pPr>
              <w:pStyle w:val="Compact"/>
            </w:pPr>
            <w:r>
              <w:t xml:space="preserve">spec › Path A (implicit)</w:t>
            </w:r>
          </w:p>
        </w:tc>
        <w:tc>
          <w:tcPr/>
          <w:p>
            <w:pPr>
              <w:pStyle w:val="Compact"/>
            </w:pPr>
            <w:r>
              <w:t xml:space="preserve">§ 5302 rules govern whom the institution pays.</w:t>
            </w:r>
          </w:p>
        </w:tc>
        <w:tc>
          <w:tcPr/>
          <w:p>
            <w:pPr>
              <w:pStyle w:val="Compact"/>
            </w:pPr>
            <w:r>
              <w:rPr>
                <w:b/>
                <w:bCs/>
              </w:rPr>
              <w:t xml:space="preserve">Verified with correction.</w:t>
            </w:r>
            <w:r>
              <w:t xml:space="preserve"> </w:t>
            </w:r>
            <w:r>
              <w:t xml:space="preserve">Statute says ownership rules in Chapter 3 "have no bearing on the power of withdrawal"; Chapter 4 governs institution liability (§ 5201).</w:t>
            </w:r>
          </w:p>
        </w:tc>
        <w:tc>
          <w:tcPr/>
          <w:p>
            <w:pPr>
              <w:pStyle w:val="Compact"/>
            </w:pPr>
            <w:r>
              <w:t xml:space="preserve">§ 5201(a), (b)</w:t>
            </w:r>
            <w:r>
              <w:t xml:space="preserve"> </w:t>
            </w:r>
            <w:hyperlink r:id="rId65">
              <w:r>
                <w:rPr>
                  <w:rStyle w:val="Hyperlink"/>
                </w:rPr>
                <w:t xml:space="preserve">https://california.public.law/codes/probate_code_section_5201</w:t>
              </w:r>
            </w:hyperlink>
          </w:p>
        </w:tc>
        <w:tc>
          <w:tcPr/>
          <w:p>
            <w:pPr>
              <w:pStyle w:val="Compact"/>
            </w:pPr>
            <w:r>
              <w:t xml:space="preserve">Cite §§ 5201 and 5401–5405 as the payment authority, and § 5302 only for default shares.</w:t>
            </w:r>
          </w:p>
        </w:tc>
      </w:tr>
      <w:tr>
        <w:tc>
          <w:tcPr/>
          <w:p>
            <w:pPr>
              <w:pStyle w:val="Compact"/>
            </w:pPr>
            <w:r>
              <w:t xml:space="preserve">71</w:t>
            </w:r>
          </w:p>
        </w:tc>
        <w:tc>
          <w:tcPr/>
          <w:p>
            <w:pPr>
              <w:pStyle w:val="Compact"/>
            </w:pPr>
            <w:r>
              <w:t xml:space="preserve">spec › Path B › Documents (implicit)</w:t>
            </w:r>
          </w:p>
        </w:tc>
        <w:tc>
          <w:tcPr/>
          <w:p>
            <w:pPr>
              <w:pStyle w:val="Compact"/>
            </w:pPr>
            <w:r>
              <w:t xml:space="preserve">The statutory document list is complete.</w:t>
            </w:r>
          </w:p>
        </w:tc>
        <w:tc>
          <w:tcPr/>
          <w:p>
            <w:pPr>
              <w:pStyle w:val="Compact"/>
            </w:pPr>
            <w:r>
              <w:rPr>
                <w:b/>
                <w:bCs/>
              </w:rPr>
              <w:t xml:space="preserve">Verified with correction.</w:t>
            </w:r>
            <w:r>
              <w:t xml:space="preserve"> </w:t>
            </w:r>
            <w:r>
              <w:t xml:space="preserve">Section 13101(c) and § 13106.5 add recording requirements only for secured debts (not deposits). Section 13114 lets a public administrator or coroner who holds property refuse until costs are paid (not applicable to banks). Otherwise the list is complete.</w:t>
            </w:r>
          </w:p>
        </w:tc>
        <w:tc>
          <w:tcPr/>
          <w:p>
            <w:pPr>
              <w:pStyle w:val="Compact"/>
            </w:pPr>
            <w:r>
              <w:t xml:space="preserve">§ 13114</w:t>
            </w:r>
            <w:r>
              <w:t xml:space="preserve"> </w:t>
            </w:r>
            <w:hyperlink r:id="rId66">
              <w:r>
                <w:rPr>
                  <w:rStyle w:val="Hyperlink"/>
                </w:rPr>
                <w:t xml:space="preserve">https://california.public.law/codes/probate_code_section_13114</w:t>
              </w:r>
            </w:hyperlink>
          </w:p>
        </w:tc>
        <w:tc>
          <w:tcPr/>
          <w:p>
            <w:pPr>
              <w:pStyle w:val="Compact"/>
            </w:pPr>
            <w:r>
              <w:t xml:space="preserve">None for deposit accounts.</w:t>
            </w:r>
          </w:p>
        </w:tc>
      </w:tr>
      <w:tr>
        <w:tc>
          <w:tcPr/>
          <w:p>
            <w:pPr>
              <w:pStyle w:val="Compact"/>
            </w:pPr>
            <w:r>
              <w:t xml:space="preserve">72</w:t>
            </w:r>
          </w:p>
        </w:tc>
        <w:tc>
          <w:tcPr/>
          <w:p>
            <w:pPr>
              <w:pStyle w:val="Compact"/>
            </w:pPr>
            <w:r>
              <w:t xml:space="preserve">spec › Path B (implicit)</w:t>
            </w:r>
          </w:p>
        </w:tc>
        <w:tc>
          <w:tcPr/>
          <w:p>
            <w:pPr>
              <w:pStyle w:val="Compact"/>
            </w:pPr>
            <w:r>
              <w:t xml:space="preserve">After a Path B payment, the matter is closed for the institution.</w:t>
            </w:r>
          </w:p>
        </w:tc>
        <w:tc>
          <w:tcPr/>
          <w:p>
            <w:pPr>
              <w:pStyle w:val="Compact"/>
            </w:pPr>
            <w:r>
              <w:rPr>
                <w:b/>
                <w:bCs/>
              </w:rPr>
              <w:t xml:space="preserve">Verified with correction.</w:t>
            </w:r>
            <w:r>
              <w:t xml:space="preserve"> </w:t>
            </w:r>
            <w:r>
              <w:t xml:space="preserve">Statute says a later administration is not precluded (§ 13108(b)). Liability then runs to the</w:t>
            </w:r>
            <w:r>
              <w:t xml:space="preserve"> </w:t>
            </w:r>
            <w:r>
              <w:rPr>
                <w:b/>
                <w:bCs/>
              </w:rPr>
              <w:t xml:space="preserve">transferee</w:t>
            </w:r>
            <w:r>
              <w:t xml:space="preserve">, not the holder (§§ 13109, 13109.5, 13110, 13111).</w:t>
            </w:r>
          </w:p>
        </w:tc>
        <w:tc>
          <w:tcPr/>
          <w:p>
            <w:pPr>
              <w:pStyle w:val="Compact"/>
            </w:pPr>
            <w:r>
              <w:t xml:space="preserve">§ 13108(b): "does not preclude later proceedings for administration." § 13111(a): "the transferee is liable for ... restitution."</w:t>
            </w:r>
            <w:r>
              <w:t xml:space="preserve"> </w:t>
            </w:r>
            <w:hyperlink r:id="rId67">
              <w:r>
                <w:rPr>
                  <w:rStyle w:val="Hyperlink"/>
                </w:rPr>
                <w:t xml:space="preserve">https://california.public.law/codes/probate_code_section_13111</w:t>
              </w:r>
            </w:hyperlink>
          </w:p>
        </w:tc>
        <w:tc>
          <w:tcPr/>
          <w:p>
            <w:pPr>
              <w:pStyle w:val="Compact"/>
            </w:pPr>
            <w:r>
              <w:t xml:space="preserve">Add an explanatory note in the decision output.</w:t>
            </w:r>
          </w:p>
        </w:tc>
      </w:tr>
    </w:tbl>
    <w:p>
      <w:pPr>
        <w:pStyle w:val="BodyText"/>
      </w:pPr>
      <w:r>
        <w:t xml:space="preserve">(Rows 1–72 make up the counts in the Summary.)</w:t>
      </w:r>
    </w:p>
    <w:p>
      <w:r>
        <w:pict>
          <v:rect style="width:0;height:1.5pt" o:hralign="center" o:hrstd="t" o:hr="t"/>
        </w:pict>
      </w:r>
    </w:p>
    <w:bookmarkEnd w:id="68"/>
    <w:bookmarkStart w:id="85" w:name="gaps-and-omissions"/>
    <w:p>
      <w:pPr>
        <w:pStyle w:val="Heading2"/>
      </w:pPr>
      <w:r>
        <w:t xml:space="preserve">Gaps and omissions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Gap</w:t>
            </w:r>
          </w:p>
        </w:tc>
        <w:tc>
          <w:tcPr/>
          <w:p>
            <w:pPr>
              <w:pStyle w:val="Compact"/>
            </w:pPr>
            <w:r>
              <w:t xml:space="preserve">Authority</w:t>
            </w:r>
          </w:p>
        </w:tc>
        <w:tc>
          <w:tcPr/>
          <w:p>
            <w:pPr>
              <w:pStyle w:val="Compact"/>
            </w:pPr>
            <w:r>
              <w:t xml:space="preserve">Label</w:t>
            </w:r>
          </w:p>
        </w:tc>
        <w:tc>
          <w:tcPr/>
          <w:p>
            <w:pPr>
              <w:pStyle w:val="Compact"/>
            </w:pPr>
            <w:r>
              <w:t xml:space="preserve">Recommendation</w:t>
            </w:r>
          </w:p>
        </w:tc>
      </w:tr>
      <w:tr>
        <w:tc>
          <w:tcPr/>
          <w:p>
            <w:pPr>
              <w:pStyle w:val="Compact"/>
            </w:pPr>
            <w:r>
              <w:t xml:space="preserve">G1</w:t>
            </w:r>
          </w:p>
        </w:tc>
        <w:tc>
          <w:tcPr/>
          <w:p>
            <w:pPr>
              <w:pStyle w:val="Compact"/>
            </w:pPr>
            <w:r>
              <w:rPr>
                <w:b/>
                <w:bCs/>
              </w:rPr>
              <w:t xml:space="preserve">§ 13600 et seq. (spouse collecting compensation)</w:t>
            </w:r>
            <w:r>
              <w:t xml:space="preserve"> </w:t>
            </w:r>
            <w:r>
              <w:t xml:space="preserve">covers only salary or compensation owed</w:t>
            </w:r>
            <w:r>
              <w:t xml:space="preserve"> </w:t>
            </w:r>
            <w:r>
              <w:rPr>
                <w:b/>
                <w:bCs/>
              </w:rPr>
              <w:t xml:space="preserve">by an employer</w:t>
            </w:r>
            <w:r>
              <w:t xml:space="preserve">, up to $18,450 (deaths 2022-04-01 to 2025-03-31) or $20,875 (from 2025-04-01). It does</w:t>
            </w:r>
            <w:r>
              <w:t xml:space="preserve"> </w:t>
            </w:r>
            <w:r>
              <w:rPr>
                <w:b/>
                <w:bCs/>
              </w:rPr>
              <w:t xml:space="preserve">not</w:t>
            </w:r>
            <w:r>
              <w:t xml:space="preserve"> </w:t>
            </w:r>
            <w:r>
              <w:t xml:space="preserve">apply to deposit accounts.</w:t>
            </w:r>
          </w:p>
        </w:tc>
        <w:tc>
          <w:tcPr/>
          <w:p>
            <w:pPr>
              <w:pStyle w:val="Compact"/>
            </w:pPr>
            <w:r>
              <w:t xml:space="preserve">§ 13600(a): "collect salary or other compensation owed by an employer for personal services of the deceased spouse."</w:t>
            </w:r>
            <w:r>
              <w:t xml:space="preserve"> </w:t>
            </w:r>
            <w:hyperlink r:id="rId69">
              <w:r>
                <w:rPr>
                  <w:rStyle w:val="Hyperlink"/>
                </w:rPr>
                <w:t xml:space="preserve">https://california.public.law/codes/probate_code_section_13600</w:t>
              </w:r>
            </w:hyperlink>
            <w:r>
              <w:t xml:space="preserve"> </w:t>
            </w:r>
            <w:r>
              <w:t xml:space="preserve">; JC list "§§ 13600, 13601 ... $18,450 $20,875"</w:t>
            </w:r>
          </w:p>
        </w:tc>
        <w:tc>
          <w:tcPr/>
          <w:p>
            <w:pPr>
              <w:pStyle w:val="Compact"/>
            </w:pPr>
            <w:r>
              <w:t xml:space="preserve">Statute says</w:t>
            </w:r>
          </w:p>
        </w:tc>
        <w:tc>
          <w:tcPr/>
          <w:p>
            <w:pPr>
              <w:pStyle w:val="Compact"/>
            </w:pPr>
            <w:r>
              <w:t xml:space="preserve">Note in Path C that § 13600 does not apply.</w:t>
            </w:r>
          </w:p>
        </w:tc>
      </w:tr>
      <w:tr>
        <w:tc>
          <w:tcPr/>
          <w:p>
            <w:pPr>
              <w:pStyle w:val="Compact"/>
            </w:pPr>
            <w:r>
              <w:t xml:space="preserve">G2</w:t>
            </w:r>
          </w:p>
        </w:tc>
        <w:tc>
          <w:tcPr/>
          <w:p>
            <w:pPr>
              <w:pStyle w:val="Compact"/>
            </w:pPr>
            <w:r>
              <w:rPr>
                <w:b/>
                <w:bCs/>
              </w:rPr>
              <w:t xml:space="preserve">§ 13650 spousal property petition.</w:t>
            </w:r>
            <w:r>
              <w:t xml:space="preserve"> </w:t>
            </w:r>
            <w:r>
              <w:t xml:space="preserve">A court order that property passes to the spouse, which can direct delivery, and becomes conclusive when final.</w:t>
            </w:r>
          </w:p>
        </w:tc>
        <w:tc>
          <w:tcPr/>
          <w:p>
            <w:pPr>
              <w:pStyle w:val="Compact"/>
            </w:pPr>
            <w:r>
              <w:t xml:space="preserve">§ 13656(a): "may issue any further orders which may be necessary to cause delivery of the property or its proceeds to the surviving spouse"; § 13657: "shall be conclusive on all persons."</w:t>
            </w:r>
            <w:r>
              <w:t xml:space="preserve"> </w:t>
            </w:r>
            <w:hyperlink r:id="rId70">
              <w:r>
                <w:rPr>
                  <w:rStyle w:val="Hyperlink"/>
                </w:rPr>
                <w:t xml:space="preserve">https://california.public.law/codes/probate_code_section_13656</w:t>
              </w:r>
            </w:hyperlink>
            <w:r>
              <w:t xml:space="preserve"> </w:t>
            </w:r>
            <w:r>
              <w:t xml:space="preserve">,</w:t>
            </w:r>
            <w:r>
              <w:t xml:space="preserve"> </w:t>
            </w:r>
            <w:hyperlink r:id="rId71">
              <w:r>
                <w:rPr>
                  <w:rStyle w:val="Hyperlink"/>
                </w:rPr>
                <w:t xml:space="preserve">https://california.public.law/codes/probate_code_section_13657</w:t>
              </w:r>
            </w:hyperlink>
          </w:p>
        </w:tc>
        <w:tc>
          <w:tcPr/>
          <w:p>
            <w:pPr>
              <w:pStyle w:val="Compact"/>
            </w:pPr>
            <w:r>
              <w:t xml:space="preserve">Statute says</w:t>
            </w:r>
          </w:p>
        </w:tc>
        <w:tc>
          <w:tcPr/>
          <w:p>
            <w:pPr>
              <w:pStyle w:val="Compact"/>
            </w:pPr>
            <w:r>
              <w:t xml:space="preserve">Possible Path C route: pay per a certified final § 13656 order. No specific holder-discharge statute was located for this route, so attorney input is needed.</w:t>
            </w:r>
          </w:p>
        </w:tc>
      </w:tr>
      <w:tr>
        <w:tc>
          <w:tcPr/>
          <w:p>
            <w:pPr>
              <w:pStyle w:val="Compact"/>
            </w:pPr>
            <w:r>
              <w:t xml:space="preserve">G3</w:t>
            </w:r>
          </w:p>
        </w:tc>
        <w:tc>
          <w:tcPr/>
          <w:p>
            <w:pPr>
              <w:pStyle w:val="Compact"/>
            </w:pPr>
            <w:r>
              <w:rPr>
                <w:b/>
                <w:bCs/>
              </w:rPr>
              <w:t xml:space="preserve">Sister-state personal representatives</w:t>
            </w:r>
            <w:r>
              <w:t xml:space="preserve"> </w:t>
            </w:r>
            <w:r>
              <w:t xml:space="preserve">may use the affidavit and may recover attorney fees.</w:t>
            </w:r>
          </w:p>
        </w:tc>
        <w:tc>
          <w:tcPr/>
          <w:p>
            <w:pPr>
              <w:pStyle w:val="Compact"/>
            </w:pPr>
            <w:r>
              <w:t xml:space="preserve">§§ 12570–12573</w:t>
            </w:r>
            <w:r>
              <w:t xml:space="preserve"> </w:t>
            </w:r>
            <w:hyperlink r:id="rId72">
              <w:r>
                <w:rPr>
                  <w:rStyle w:val="Hyperlink"/>
                </w:rPr>
                <w:t xml:space="preserve">https://california.public.law/codes/probate_code_section_12572</w:t>
              </w:r>
            </w:hyperlink>
            <w:r>
              <w:t xml:space="preserve"> </w:t>
            </w:r>
            <w:r>
              <w:t xml:space="preserve">: "may be awarded attorney's fees, as provided in subdivision (b) of Section 13105."</w:t>
            </w:r>
          </w:p>
        </w:tc>
        <w:tc>
          <w:tcPr/>
          <w:p>
            <w:pPr>
              <w:pStyle w:val="Compact"/>
            </w:pPr>
            <w:r>
              <w:t xml:space="preserve">Statute says</w:t>
            </w:r>
          </w:p>
        </w:tc>
        <w:tc>
          <w:tcPr/>
          <w:p>
            <w:pPr>
              <w:pStyle w:val="Compact"/>
            </w:pPr>
            <w:r>
              <w:t xml:space="preserve">Add an affiant capacity "sister-state PR" with letters.</w:t>
            </w:r>
          </w:p>
        </w:tc>
      </w:tr>
      <w:tr>
        <w:tc>
          <w:tcPr/>
          <w:p>
            <w:pPr>
              <w:pStyle w:val="Compact"/>
            </w:pPr>
            <w:r>
              <w:t xml:space="preserve">G4</w:t>
            </w:r>
          </w:p>
        </w:tc>
        <w:tc>
          <w:tcPr/>
          <w:p>
            <w:pPr>
              <w:pStyle w:val="Compact"/>
            </w:pPr>
            <w:r>
              <w:rPr>
                <w:b/>
                <w:bCs/>
              </w:rPr>
              <w:t xml:space="preserve">Adverse claims and court orders on Path B and for banks generally.</w:t>
            </w:r>
            <w:r>
              <w:t xml:space="preserve"> </w:t>
            </w:r>
            <w:r>
              <w:t xml:space="preserve">A fiduciary-misappropriation affidavit triggers a hold of up to 3 court days; a court order must be obeyed. CAMPAL does not limit this.</w:t>
            </w:r>
          </w:p>
        </w:tc>
        <w:tc>
          <w:tcPr/>
          <w:p>
            <w:pPr>
              <w:pStyle w:val="Compact"/>
            </w:pPr>
            <w:r>
              <w:t xml:space="preserve">Fin. Code § 1450(a), (b), (d): "Nothing in the California Multiple-Party Accounts Law ... limits the applicability of this section."</w:t>
            </w:r>
            <w:r>
              <w:t xml:space="preserve"> </w:t>
            </w:r>
            <w:hyperlink r:id="rId73">
              <w:r>
                <w:rPr>
                  <w:rStyle w:val="Hyperlink"/>
                </w:rPr>
                <w:t xml:space="preserve">https://california.public.law/codes/financial_code_section_1450</w:t>
              </w:r>
            </w:hyperlink>
            <w:r>
              <w:t xml:space="preserve"> </w:t>
            </w:r>
            <w:r>
              <w:t xml:space="preserve">; § 6661 (savings associations)</w:t>
            </w:r>
            <w:r>
              <w:t xml:space="preserve"> </w:t>
            </w:r>
            <w:hyperlink r:id="rId74">
              <w:r>
                <w:rPr>
                  <w:rStyle w:val="Hyperlink"/>
                </w:rPr>
                <w:t xml:space="preserve">https://california.public.law/codes/financial_code_section_6661</w:t>
              </w:r>
            </w:hyperlink>
            <w:r>
              <w:t xml:space="preserve"> </w:t>
            </w:r>
            <w:r>
              <w:t xml:space="preserve">;</w:t>
            </w:r>
            <w:r>
              <w:t xml:space="preserve"> </w:t>
            </w:r>
            <w:r>
              <w:rPr>
                <w:i/>
                <w:iCs/>
              </w:rPr>
              <w:t xml:space="preserve">Mautner</w:t>
            </w:r>
          </w:p>
        </w:tc>
        <w:tc>
          <w:tcPr/>
          <w:p>
            <w:pPr>
              <w:pStyle w:val="Compact"/>
            </w:pPr>
            <w:r>
              <w:t xml:space="preserve">Statute says / Case law holds</w:t>
            </w:r>
          </w:p>
        </w:tc>
        <w:tc>
          <w:tcPr/>
          <w:p>
            <w:pPr>
              <w:pStyle w:val="Compact"/>
            </w:pPr>
            <w:r>
              <w:t xml:space="preserve">Add facts for an adverse-claim affidavit, a court order, and notice of a superior claim, each giving not determinable. Attorney to confirm whether § 6661 is still operative and how it applies to federal savings associations.</w:t>
            </w:r>
          </w:p>
        </w:tc>
      </w:tr>
      <w:tr>
        <w:tc>
          <w:tcPr/>
          <w:p>
            <w:pPr>
              <w:pStyle w:val="Compact"/>
            </w:pPr>
            <w:r>
              <w:t xml:space="preserve">G5</w:t>
            </w:r>
          </w:p>
        </w:tc>
        <w:tc>
          <w:tcPr/>
          <w:p>
            <w:pPr>
              <w:pStyle w:val="Compact"/>
            </w:pPr>
            <w:r>
              <w:rPr>
                <w:b/>
                <w:bCs/>
              </w:rPr>
              <w:t xml:space="preserve">Credit unions:</w:t>
            </w:r>
            <w:r>
              <w:t xml:space="preserve"> </w:t>
            </w:r>
            <w:r>
              <w:t xml:space="preserve">multiple-party share accounts are governed by CAMPAL.</w:t>
            </w:r>
          </w:p>
        </w:tc>
        <w:tc>
          <w:tcPr/>
          <w:p>
            <w:pPr>
              <w:pStyle w:val="Compact"/>
            </w:pPr>
            <w:r>
              <w:t xml:space="preserve">Fin. Code § 14854: "a credit union share account that is a multiple-party account ... is governed by Part 2 ... of the Probate Code."</w:t>
            </w:r>
            <w:r>
              <w:t xml:space="preserve"> </w:t>
            </w:r>
            <w:hyperlink r:id="rId75">
              <w:r>
                <w:rPr>
                  <w:rStyle w:val="Hyperlink"/>
                </w:rPr>
                <w:t xml:space="preserve">https://california.public.law/codes/financial_code_section_14854</w:t>
              </w:r>
            </w:hyperlink>
          </w:p>
        </w:tc>
        <w:tc>
          <w:tcPr/>
          <w:p>
            <w:pPr>
              <w:pStyle w:val="Compact"/>
            </w:pPr>
            <w:r>
              <w:t xml:space="preserve">Statute says</w:t>
            </w:r>
          </w:p>
        </w:tc>
        <w:tc>
          <w:tcPr/>
          <w:p>
            <w:pPr>
              <w:pStyle w:val="Compact"/>
            </w:pPr>
            <w:r>
              <w:t xml:space="preserve">Note that the spec applies to credit unions. I did not locate a credit-union counterpart to § 1450.</w:t>
            </w:r>
          </w:p>
        </w:tc>
      </w:tr>
      <w:tr>
        <w:tc>
          <w:tcPr/>
          <w:p>
            <w:pPr>
              <w:pStyle w:val="Compact"/>
            </w:pPr>
            <w:r>
              <w:t xml:space="preserve">G6</w:t>
            </w:r>
          </w:p>
        </w:tc>
        <w:tc>
          <w:tcPr/>
          <w:p>
            <w:pPr>
              <w:pStyle w:val="Compact"/>
            </w:pPr>
            <w:r>
              <w:rPr>
                <w:b/>
                <w:bCs/>
              </w:rPr>
              <w:t xml:space="preserve">Minor POD or Totten payees</w:t>
            </w:r>
            <w:r>
              <w:t xml:space="preserve"> </w:t>
            </w:r>
            <w:r>
              <w:t xml:space="preserve">must be paid under CUTMA or Prob. Code § 3400 et seq.</w:t>
            </w:r>
          </w:p>
        </w:tc>
        <w:tc>
          <w:tcPr/>
          <w:p>
            <w:pPr>
              <w:pStyle w:val="Compact"/>
            </w:pPr>
            <w:r>
              <w:t xml:space="preserve">§ 5407(b) (URL above)</w:t>
            </w:r>
          </w:p>
        </w:tc>
        <w:tc>
          <w:tcPr/>
          <w:p>
            <w:pPr>
              <w:pStyle w:val="Compact"/>
            </w:pPr>
            <w:r>
              <w:t xml:space="preserve">Statute says</w:t>
            </w:r>
          </w:p>
        </w:tc>
        <w:tc>
          <w:tcPr/>
          <w:p>
            <w:pPr>
              <w:pStyle w:val="Compact"/>
            </w:pPr>
            <w:r>
              <w:t xml:space="preserve">Minor-payee fact; result not determinable.</w:t>
            </w:r>
          </w:p>
        </w:tc>
      </w:tr>
      <w:tr>
        <w:tc>
          <w:tcPr/>
          <w:p>
            <w:pPr>
              <w:pStyle w:val="Compact"/>
            </w:pPr>
            <w:r>
              <w:t xml:space="preserve">G7</w:t>
            </w:r>
          </w:p>
        </w:tc>
        <w:tc>
          <w:tcPr/>
          <w:p>
            <w:pPr>
              <w:pStyle w:val="Compact"/>
            </w:pPr>
            <w:r>
              <w:rPr>
                <w:b/>
                <w:bCs/>
              </w:rPr>
              <w:t xml:space="preserve">Survival proof and simultaneous death.</w:t>
            </w:r>
            <w:r>
              <w:t xml:space="preserve"> </w:t>
            </w:r>
            <w:r>
              <w:t xml:space="preserve">A beneficiary who cannot be shown by clear and convincing evidence to have survived is deemed not to have survived. There is a 120-hour rule for intestate heirs (this affects § 13006 successors). Section 21109 applies to at-death transfers (POD/Totten), but § 21104 excludes joint accounts.</w:t>
            </w:r>
          </w:p>
        </w:tc>
        <w:tc>
          <w:tcPr/>
          <w:p>
            <w:pPr>
              <w:pStyle w:val="Compact"/>
            </w:pPr>
            <w:r>
              <w:t xml:space="preserve">§ 222(a); § 223; § 6403(a): "A person who fails to survive the decedent by 120 hours is deemed to have predeceased the decedent"; § 21109; § 21104.</w:t>
            </w:r>
            <w:r>
              <w:t xml:space="preserve"> </w:t>
            </w:r>
            <w:hyperlink r:id="rId76">
              <w:r>
                <w:rPr>
                  <w:rStyle w:val="Hyperlink"/>
                </w:rPr>
                <w:t xml:space="preserve">https://california.public.law/codes/probate_code_section_222</w:t>
              </w:r>
            </w:hyperlink>
            <w:r>
              <w:t xml:space="preserve"> </w:t>
            </w:r>
            <w:r>
              <w:t xml:space="preserve">etc.</w:t>
            </w:r>
          </w:p>
        </w:tc>
        <w:tc>
          <w:tcPr/>
          <w:p>
            <w:pPr>
              <w:pStyle w:val="Compact"/>
            </w:pPr>
            <w:r>
              <w:t xml:space="preserve">Statute says</w:t>
            </w:r>
          </w:p>
        </w:tc>
        <w:tc>
          <w:tcPr/>
          <w:p>
            <w:pPr>
              <w:pStyle w:val="Compact"/>
            </w:pPr>
            <w:r>
              <w:t xml:space="preserve">When the deaths of a party and a payee are less than 120 hours apart, or the order of death is unknown, the result is not determinable.</w:t>
            </w:r>
          </w:p>
        </w:tc>
      </w:tr>
      <w:tr>
        <w:tc>
          <w:tcPr/>
          <w:p>
            <w:pPr>
              <w:pStyle w:val="Compact"/>
            </w:pPr>
            <w:r>
              <w:t xml:space="preserve">G8</w:t>
            </w:r>
          </w:p>
        </w:tc>
        <w:tc>
          <w:tcPr/>
          <w:p>
            <w:pPr>
              <w:pStyle w:val="Compact"/>
            </w:pPr>
            <w:r>
              <w:rPr>
                <w:b/>
                <w:bCs/>
              </w:rPr>
              <w:t xml:space="preserve">Slayer and elder abuse.</w:t>
            </w:r>
            <w:r>
              <w:t xml:space="preserve"> </w:t>
            </w:r>
            <w:r>
              <w:t xml:space="preserve">A killer loses Division 5 property, and joint accounts are severed. An institution paying per its terms is protected unless it received written notice before payment. Section 259 covers abusers.</w:t>
            </w:r>
          </w:p>
        </w:tc>
        <w:tc>
          <w:tcPr/>
          <w:p>
            <w:pPr>
              <w:pStyle w:val="Compact"/>
            </w:pPr>
            <w:r>
              <w:t xml:space="preserve">§ 250(a)(4); § 251: "applies to ... joint and multiple-party accounts in financial institutions"; § 256: "is not liable by reason of this part, unless prior to payment it has received at its home office or principal address written notice of a claim."</w:t>
            </w:r>
            <w:r>
              <w:t xml:space="preserve"> </w:t>
            </w:r>
            <w:hyperlink r:id="rId77">
              <w:r>
                <w:rPr>
                  <w:rStyle w:val="Hyperlink"/>
                </w:rPr>
                <w:t xml:space="preserve">https://california.public.law/codes/probate_code_section_256</w:t>
              </w:r>
            </w:hyperlink>
            <w:r>
              <w:t xml:space="preserve"> </w:t>
            </w:r>
            <w:r>
              <w:t xml:space="preserve">; § 259</w:t>
            </w:r>
          </w:p>
        </w:tc>
        <w:tc>
          <w:tcPr/>
          <w:p>
            <w:pPr>
              <w:pStyle w:val="Compact"/>
            </w:pPr>
            <w:r>
              <w:t xml:space="preserve">Statute says</w:t>
            </w:r>
          </w:p>
        </w:tc>
        <w:tc>
          <w:tcPr/>
          <w:p>
            <w:pPr>
              <w:pStyle w:val="Compact"/>
            </w:pPr>
            <w:r>
              <w:t xml:space="preserve">Fact "written § 250–256 notice received", giving not determinable.</w:t>
            </w:r>
          </w:p>
        </w:tc>
      </w:tr>
      <w:tr>
        <w:tc>
          <w:tcPr/>
          <w:p>
            <w:pPr>
              <w:pStyle w:val="Compact"/>
            </w:pPr>
            <w:r>
              <w:t xml:space="preserve">G9</w:t>
            </w:r>
          </w:p>
        </w:tc>
        <w:tc>
          <w:tcPr/>
          <w:p>
            <w:pPr>
              <w:pStyle w:val="Compact"/>
            </w:pPr>
            <w:r>
              <w:rPr>
                <w:b/>
                <w:bCs/>
              </w:rPr>
              <w:t xml:space="preserve">Federal benefit reclamation.</w:t>
            </w:r>
            <w:r>
              <w:t xml:space="preserve"> </w:t>
            </w:r>
            <w:r>
              <w:t xml:space="preserve">The receiving bank is liable for federal benefit payments received after death.</w:t>
            </w:r>
          </w:p>
        </w:tc>
        <w:tc>
          <w:tcPr/>
          <w:p>
            <w:pPr>
              <w:pStyle w:val="Compact"/>
            </w:pPr>
            <w:r>
              <w:t xml:space="preserve">31 CFR 210.10(a): "An RDFI shall be liable to the Federal Government for the total amount of all benefit payments received after the death..."</w:t>
            </w:r>
            <w:r>
              <w:t xml:space="preserve"> </w:t>
            </w:r>
            <w:hyperlink r:id="rId78">
              <w:r>
                <w:rPr>
                  <w:rStyle w:val="Hyperlink"/>
                </w:rPr>
                <w:t xml:space="preserve">https://www.ecfr.gov/</w:t>
              </w:r>
            </w:hyperlink>
            <w:r>
              <w:t xml:space="preserve"> </w:t>
            </w:r>
            <w:r>
              <w:t xml:space="preserve">(versioner API, part 210 § 210.10)</w:t>
            </w:r>
          </w:p>
        </w:tc>
        <w:tc>
          <w:tcPr/>
          <w:p>
            <w:pPr>
              <w:pStyle w:val="Compact"/>
            </w:pPr>
            <w:r>
              <w:t xml:space="preserve">Statute (regulation) says</w:t>
            </w:r>
          </w:p>
        </w:tc>
        <w:tc>
          <w:tcPr/>
          <w:p>
            <w:pPr>
              <w:pStyle w:val="Compact"/>
            </w:pPr>
            <w:r>
              <w:t xml:space="preserve">Policy or operational hold: exclude post-death federal benefit credits from the payable balance. Attorney to confirm the treatment.</w:t>
            </w:r>
          </w:p>
        </w:tc>
      </w:tr>
      <w:tr>
        <w:tc>
          <w:tcPr/>
          <w:p>
            <w:pPr>
              <w:pStyle w:val="Compact"/>
            </w:pPr>
            <w:r>
              <w:t xml:space="preserve">G10</w:t>
            </w:r>
          </w:p>
        </w:tc>
        <w:tc>
          <w:tcPr/>
          <w:p>
            <w:pPr>
              <w:pStyle w:val="Compact"/>
            </w:pPr>
            <w:r>
              <w:rPr>
                <w:b/>
                <w:bCs/>
              </w:rPr>
              <w:t xml:space="preserve">Escheat (unclaimed property).</w:t>
            </w:r>
            <w:r>
              <w:t xml:space="preserve"> </w:t>
            </w:r>
            <w:r>
              <w:t xml:space="preserve">A deceased owner's deposit can escheat after 3 years without owner activity. If a claimant proves entitlement before delivery to the Controller, the holder pays the claimant instead. After escheat, the holder may pay and seek reimbursement.</w:t>
            </w:r>
          </w:p>
        </w:tc>
        <w:tc>
          <w:tcPr/>
          <w:p>
            <w:pPr>
              <w:pStyle w:val="Compact"/>
            </w:pPr>
            <w:r>
              <w:t xml:space="preserve">CCP § 1513(a)(1); § 1532(b): "the holder shall not pay or deliver the property to the Controller"; § 1560(b).</w:t>
            </w:r>
            <w:r>
              <w:t xml:space="preserve"> </w:t>
            </w:r>
            <w:hyperlink r:id="rId79">
              <w:r>
                <w:rPr>
                  <w:rStyle w:val="Hyperlink"/>
                </w:rPr>
                <w:t xml:space="preserve">https://california.public.law/codes/code_of_civil_procedure_section_1513</w:t>
              </w:r>
            </w:hyperlink>
            <w:r>
              <w:t xml:space="preserve"> </w:t>
            </w:r>
            <w:r>
              <w:t xml:space="preserve">, …_1532, …_1560</w:t>
            </w:r>
          </w:p>
        </w:tc>
        <w:tc>
          <w:tcPr/>
          <w:p>
            <w:pPr>
              <w:pStyle w:val="Compact"/>
            </w:pPr>
            <w:r>
              <w:t xml:space="preserve">Statute says</w:t>
            </w:r>
          </w:p>
        </w:tc>
        <w:tc>
          <w:tcPr/>
          <w:p>
            <w:pPr>
              <w:pStyle w:val="Compact"/>
            </w:pPr>
            <w:r>
              <w:t xml:space="preserve">Fact "account escheated or reported to Controller", giving not determinable (claim through the Controller).</w:t>
            </w:r>
          </w:p>
        </w:tc>
      </w:tr>
      <w:tr>
        <w:tc>
          <w:tcPr/>
          <w:p>
            <w:pPr>
              <w:pStyle w:val="Compact"/>
            </w:pPr>
            <w:r>
              <w:t xml:space="preserve">G11</w:t>
            </w:r>
          </w:p>
        </w:tc>
        <w:tc>
          <w:tcPr/>
          <w:p>
            <w:pPr>
              <w:pStyle w:val="Compact"/>
            </w:pPr>
            <w:r>
              <w:rPr>
                <w:b/>
                <w:bCs/>
              </w:rPr>
              <w:t xml:space="preserve">FTB orders to withhold and other levies.</w:t>
            </w:r>
            <w:r>
              <w:t xml:space="preserve"> </w:t>
            </w:r>
            <w:r>
              <w:t xml:space="preserve">The FTB may require a holder of a taxpayer's credits to withhold, and has special rules for depository institutions. Federal levies were not researched.</w:t>
            </w:r>
          </w:p>
        </w:tc>
        <w:tc>
          <w:tcPr/>
          <w:p>
            <w:pPr>
              <w:pStyle w:val="Compact"/>
            </w:pPr>
            <w:r>
              <w:t xml:space="preserve">Rev. &amp; Tax. Code § 18670(a)</w:t>
            </w:r>
            <w:r>
              <w:t xml:space="preserve"> </w:t>
            </w:r>
            <w:hyperlink r:id="rId80">
              <w:r>
                <w:rPr>
                  <w:rStyle w:val="Hyperlink"/>
                </w:rPr>
                <w:t xml:space="preserve">https://california.public.law/codes/revenue_and_taxation_code_section_18670</w:t>
              </w:r>
            </w:hyperlink>
          </w:p>
        </w:tc>
        <w:tc>
          <w:tcPr/>
          <w:p>
            <w:pPr>
              <w:pStyle w:val="Compact"/>
            </w:pPr>
            <w:r>
              <w:t xml:space="preserve">Statute says. Application to a decedent's account is</w:t>
            </w:r>
            <w:r>
              <w:t xml:space="preserve"> </w:t>
            </w:r>
            <w:r>
              <w:rPr>
                <w:b/>
                <w:bCs/>
              </w:rPr>
              <w:t xml:space="preserve">Reviewer inference.</w:t>
            </w:r>
          </w:p>
        </w:tc>
        <w:tc>
          <w:tcPr/>
          <w:p>
            <w:pPr>
              <w:pStyle w:val="Compact"/>
            </w:pPr>
            <w:r>
              <w:t xml:space="preserve">Generalize the "restraining order" fact to "legal process served (court order, levy, order to withhold, garnishment)".</w:t>
            </w:r>
          </w:p>
        </w:tc>
      </w:tr>
      <w:tr>
        <w:tc>
          <w:tcPr/>
          <w:p>
            <w:pPr>
              <w:pStyle w:val="Compact"/>
            </w:pPr>
            <w:r>
              <w:t xml:space="preserve">G12</w:t>
            </w:r>
          </w:p>
        </w:tc>
        <w:tc>
          <w:tcPr/>
          <w:p>
            <w:pPr>
              <w:pStyle w:val="Compact"/>
            </w:pPr>
            <w:r>
              <w:rPr>
                <w:b/>
                <w:bCs/>
              </w:rPr>
              <w:t xml:space="preserve">Medi-Cal notice.</w:t>
            </w:r>
            <w:r>
              <w:t xml:space="preserve"> </w:t>
            </w:r>
            <w:r>
              <w:t xml:space="preserve">The beneficiary, personal representative, "or the person in possession of property of the decedent" must notify DHCS within 90 days if the decedent received Medi-Cal. Recovery is limited to the federally required probate estate, with no claim when there is a surviving spouse or RDP, or a minor or disabled child.</w:t>
            </w:r>
          </w:p>
        </w:tc>
        <w:tc>
          <w:tcPr/>
          <w:p>
            <w:pPr>
              <w:pStyle w:val="Compact"/>
            </w:pPr>
            <w:r>
              <w:t xml:space="preserve">Prob. Code § 215</w:t>
            </w:r>
            <w:r>
              <w:t xml:space="preserve"> </w:t>
            </w:r>
            <w:hyperlink r:id="rId81">
              <w:r>
                <w:rPr>
                  <w:rStyle w:val="Hyperlink"/>
                </w:rPr>
                <w:t xml:space="preserve">https://california.public.law/codes/probate_code_section_215</w:t>
              </w:r>
            </w:hyperlink>
            <w:r>
              <w:t xml:space="preserve"> </w:t>
            </w:r>
            <w:r>
              <w:t xml:space="preserve">; W&amp;I § 14009.5(b), (f)(3)</w:t>
            </w:r>
            <w:r>
              <w:t xml:space="preserve"> </w:t>
            </w:r>
            <w:hyperlink r:id="rId82">
              <w:r>
                <w:rPr>
                  <w:rStyle w:val="Hyperlink"/>
                </w:rPr>
                <w:t xml:space="preserve">https://california.public.law/codes/welfare_and_institutions_code_section_14009.5</w:t>
              </w:r>
            </w:hyperlink>
          </w:p>
        </w:tc>
        <w:tc>
          <w:tcPr/>
          <w:p>
            <w:pPr>
              <w:pStyle w:val="Compact"/>
            </w:pPr>
            <w:r>
              <w:t xml:space="preserve">Statute says. Whether a depository bank is a "person in possession" is</w:t>
            </w:r>
            <w:r>
              <w:t xml:space="preserve"> </w:t>
            </w:r>
            <w:r>
              <w:rPr>
                <w:b/>
                <w:bCs/>
              </w:rPr>
              <w:t xml:space="preserve">Reviewer inference, uncertain.</w:t>
            </w:r>
          </w:p>
        </w:tc>
        <w:tc>
          <w:tcPr/>
          <w:p>
            <w:pPr>
              <w:pStyle w:val="Compact"/>
            </w:pPr>
            <w:r>
              <w:t xml:space="preserve">Attorney to decide whether the institution has any § 215 duty. If not, consider an informational note to the affiant. Transferees remain liable for unsecured debts (§§ 13109, 13100.5(c)).</w:t>
            </w:r>
          </w:p>
        </w:tc>
      </w:tr>
      <w:tr>
        <w:tc>
          <w:tcPr/>
          <w:p>
            <w:pPr>
              <w:pStyle w:val="Compact"/>
            </w:pPr>
            <w:r>
              <w:t xml:space="preserve">G13</w:t>
            </w:r>
          </w:p>
        </w:tc>
        <w:tc>
          <w:tcPr/>
          <w:p>
            <w:pPr>
              <w:pStyle w:val="Compact"/>
            </w:pPr>
            <w:r>
              <w:rPr>
                <w:b/>
                <w:bCs/>
              </w:rPr>
              <w:t xml:space="preserve">Community-property nonprobate transfers.</w:t>
            </w:r>
            <w:r>
              <w:t xml:space="preserve"> </w:t>
            </w:r>
            <w:r>
              <w:t xml:space="preserve">A designation made without the spouse's written consent is ineffective as to the nonconsenting spouse's interest, but the holder remains protected.</w:t>
            </w:r>
          </w:p>
        </w:tc>
        <w:tc>
          <w:tcPr/>
          <w:p>
            <w:pPr>
              <w:pStyle w:val="Compact"/>
            </w:pPr>
            <w:r>
              <w:t xml:space="preserve">§ 5020; § 5012: "does not affect the obligation of a holder ... or the protection provided the holder by Section 5003"; § 5003(b)(2) (protection lost after service of a written adverse-claim notice).</w:t>
            </w:r>
            <w:r>
              <w:t xml:space="preserve"> </w:t>
            </w:r>
            <w:hyperlink r:id="rId83">
              <w:r>
                <w:rPr>
                  <w:rStyle w:val="Hyperlink"/>
                </w:rPr>
                <w:t xml:space="preserve">https://california.public.law/codes/probate_code_section_5003</w:t>
              </w:r>
            </w:hyperlink>
          </w:p>
        </w:tc>
        <w:tc>
          <w:tcPr/>
          <w:p>
            <w:pPr>
              <w:pStyle w:val="Compact"/>
            </w:pPr>
            <w:r>
              <w:t xml:space="preserve">Statute says</w:t>
            </w:r>
          </w:p>
        </w:tc>
        <w:tc>
          <w:tcPr/>
          <w:p>
            <w:pPr>
              <w:pStyle w:val="Compact"/>
            </w:pPr>
            <w:r>
              <w:t xml:space="preserve">No engine change for Path A, since § 5405 applies. Add an informational note.</w:t>
            </w:r>
          </w:p>
        </w:tc>
      </w:tr>
      <w:tr>
        <w:tc>
          <w:tcPr/>
          <w:p>
            <w:pPr>
              <w:pStyle w:val="Compact"/>
            </w:pPr>
            <w:r>
              <w:t xml:space="preserve">G14</w:t>
            </w:r>
          </w:p>
        </w:tc>
        <w:tc>
          <w:tcPr/>
          <w:p>
            <w:pPr>
              <w:pStyle w:val="Compact"/>
            </w:pPr>
            <w:r>
              <w:rPr>
                <w:b/>
                <w:bCs/>
              </w:rPr>
              <w:t xml:space="preserve">§ 5303 changes to account terms.</w:t>
            </w:r>
            <w:r>
              <w:t xml:space="preserve"> </w:t>
            </w:r>
            <w:r>
              <w:t xml:space="preserve">Protection presupposes a proper party (</w:t>
            </w:r>
            <w:r>
              <w:rPr>
                <w:i/>
                <w:iCs/>
              </w:rPr>
              <w:t xml:space="preserve">Stevens</w:t>
            </w:r>
            <w:r>
              <w:t xml:space="preserve">).</w:t>
            </w:r>
          </w:p>
        </w:tc>
        <w:tc>
          <w:tcPr/>
          <w:p>
            <w:pPr>
              <w:pStyle w:val="Compact"/>
            </w:pPr>
            <w:r>
              <w:t xml:space="preserve">§ 5303(b)</w:t>
            </w:r>
            <w:r>
              <w:t xml:space="preserve"> </w:t>
            </w:r>
            <w:hyperlink r:id="rId84">
              <w:r>
                <w:rPr>
                  <w:rStyle w:val="Hyperlink"/>
                </w:rPr>
                <w:t xml:space="preserve">https://california.public.law/codes/probate_code_section_5303</w:t>
              </w:r>
            </w:hyperlink>
            <w:r>
              <w:t xml:space="preserve"> </w:t>
            </w:r>
            <w:r>
              <w:t xml:space="preserve">;</w:t>
            </w:r>
            <w:r>
              <w:t xml:space="preserve"> </w:t>
            </w:r>
            <w:r>
              <w:rPr>
                <w:i/>
                <w:iCs/>
              </w:rPr>
              <w:t xml:space="preserve">Stevens</w:t>
            </w:r>
          </w:p>
        </w:tc>
        <w:tc>
          <w:tcPr/>
          <w:p>
            <w:pPr>
              <w:pStyle w:val="Compact"/>
            </w:pPr>
            <w:r>
              <w:t xml:space="preserve">Case law holds</w:t>
            </w:r>
          </w:p>
        </w:tc>
        <w:tc>
          <w:tcPr/>
          <w:p>
            <w:pPr>
              <w:pStyle w:val="Compact"/>
            </w:pPr>
            <w:r>
              <w:t xml:space="preserve">Fact "party added or terms changed by a § 5303 method", or rely on the institution's records.</w:t>
            </w:r>
          </w:p>
        </w:tc>
      </w:tr>
      <w:tr>
        <w:tc>
          <w:tcPr/>
          <w:p>
            <w:pPr>
              <w:pStyle w:val="Compact"/>
            </w:pPr>
            <w:r>
              <w:t xml:space="preserve">G15</w:t>
            </w:r>
          </w:p>
        </w:tc>
        <w:tc>
          <w:tcPr/>
          <w:p>
            <w:pPr>
              <w:pStyle w:val="Compact"/>
            </w:pPr>
            <w:r>
              <w:rPr>
                <w:b/>
                <w:bCs/>
              </w:rPr>
              <w:t xml:space="preserve">Transferee-liability rules (2023 amendments)</w:t>
            </w:r>
            <w:r>
              <w:t xml:space="preserve"> </w:t>
            </w:r>
            <w:r>
              <w:t xml:space="preserve">explain the downstream risk. Note that § 13112 does not exist on the mirror ("Page not found"); the chapter runs §§ 13109–13111, 13113, 13113.5, 13117.</w:t>
            </w:r>
          </w:p>
        </w:tc>
        <w:tc>
          <w:tcPr/>
          <w:p>
            <w:pPr>
              <w:pStyle w:val="Compact"/>
            </w:pPr>
            <w:r>
              <w:t xml:space="preserve">§§ 13109, 13109.5, 13110, 13110.5, 13111, 13113.5, 13117 (mirror, "updated Jan. 1, 2023")</w:t>
            </w:r>
          </w:p>
        </w:tc>
        <w:tc>
          <w:tcPr/>
          <w:p>
            <w:pPr>
              <w:pStyle w:val="Compact"/>
            </w:pPr>
            <w:r>
              <w:t xml:space="preserve">Statute says</w:t>
            </w:r>
          </w:p>
        </w:tc>
        <w:tc>
          <w:tcPr/>
          <w:p>
            <w:pPr>
              <w:pStyle w:val="Compact"/>
            </w:pPr>
            <w:r>
              <w:t xml:space="preserve">Cite §§ 13109–13111 for transferee liability; the holder is unaffected under § 13106.</w:t>
            </w:r>
          </w:p>
        </w:tc>
      </w:tr>
      <w:tr>
        <w:tc>
          <w:tcPr/>
          <w:p>
            <w:pPr>
              <w:pStyle w:val="Compact"/>
            </w:pPr>
            <w:r>
              <w:t xml:space="preserve">G16</w:t>
            </w:r>
          </w:p>
        </w:tc>
        <w:tc>
          <w:tcPr/>
          <w:p>
            <w:pPr>
              <w:pStyle w:val="Compact"/>
            </w:pPr>
            <w:r>
              <w:rPr>
                <w:b/>
                <w:bCs/>
              </w:rPr>
              <w:t xml:space="preserve">Financial Code provisions specific to deceased depositors.</w:t>
            </w:r>
            <w:r>
              <w:t xml:space="preserve"> </w:t>
            </w:r>
            <w:r>
              <w:t xml:space="preserve">Beyond §§ 1450, 1451, 6661 and 14854, I did not locate any Financial Code section governing payment of a deceased depositor's account. Federal preemption for national banks and federal savings associations was not researched.</w:t>
            </w:r>
          </w:p>
        </w:tc>
        <w:tc>
          <w:tcPr/>
          <w:p>
            <w:pPr>
              <w:pStyle w:val="Compact"/>
            </w:pPr>
            <w:r>
              <w:t xml:space="preserve">—</w:t>
            </w:r>
          </w:p>
        </w:tc>
        <w:tc>
          <w:tcPr/>
          <w:p>
            <w:pPr>
              <w:pStyle w:val="Compact"/>
            </w:pPr>
            <w:r>
              <w:t xml:space="preserve">Not located</w:t>
            </w:r>
          </w:p>
        </w:tc>
        <w:tc>
          <w:tcPr/>
          <w:p>
            <w:pPr>
              <w:pStyle w:val="Compact"/>
            </w:pPr>
            <w:r>
              <w:t xml:space="preserve">Attorney to confirm.</w:t>
            </w:r>
          </w:p>
        </w:tc>
      </w:tr>
    </w:tbl>
    <w:p>
      <w:r>
        <w:pict>
          <v:rect style="width:0;height:1.5pt" o:hralign="center" o:hrstd="t" o:hr="t"/>
        </w:pict>
      </w:r>
    </w:p>
    <w:bookmarkEnd w:id="85"/>
    <w:bookmarkStart w:id="88" w:name="open-questions-research-notes"/>
    <w:p>
      <w:pPr>
        <w:pStyle w:val="Heading2"/>
      </w:pPr>
      <w:r>
        <w:t xml:space="preserve">Open questions: research notes</w:t>
      </w:r>
    </w:p>
    <w:p>
      <w:pPr>
        <w:pStyle w:val="FirstParagraph"/>
      </w:pPr>
      <w:r>
        <w:rPr>
          <w:b/>
          <w:bCs/>
        </w:rPr>
        <w:t xml:space="preserve">Q2. Several affiants: how is payment split?</w:t>
      </w:r>
    </w:p>
    <w:p>
      <w:pPr>
        <w:pStyle w:val="Compact"/>
        <w:numPr>
          <w:ilvl w:val="0"/>
          <w:numId w:val="1027"/>
        </w:numPr>
      </w:pPr>
      <w:r>
        <w:rPr>
          <w:b/>
          <w:bCs/>
        </w:rPr>
        <w:t xml:space="preserve">Statute says</w:t>
      </w:r>
      <w:r>
        <w:t xml:space="preserve"> </w:t>
      </w:r>
      <w:r>
        <w:t xml:space="preserve">that if §§ 13100–13104 are satisfied, the affiants "are entitled to have the property ... paid ... to them" (§ 13105(a)(1)). The statements are "modified as appropriate" (§ 13101(b)). The successor is "all of the beneficiaries" (§ 13006).</w:t>
      </w:r>
    </w:p>
    <w:p>
      <w:pPr>
        <w:pStyle w:val="Compact"/>
        <w:numPr>
          <w:ilvl w:val="0"/>
          <w:numId w:val="1027"/>
        </w:numPr>
      </w:pPr>
      <w:r>
        <w:t xml:space="preserve">No statute or case I located specifies a split.</w:t>
      </w:r>
    </w:p>
    <w:p>
      <w:pPr>
        <w:pStyle w:val="Compact"/>
        <w:numPr>
          <w:ilvl w:val="0"/>
          <w:numId w:val="1027"/>
        </w:numPr>
      </w:pPr>
      <w:r>
        <w:rPr>
          <w:b/>
          <w:bCs/>
        </w:rPr>
        <w:t xml:space="preserve">Reviewer inference:</w:t>
      </w:r>
      <w:r>
        <w:t xml:space="preserve"> </w:t>
      </w:r>
      <w:r>
        <w:t xml:space="preserve">The most literal compliant form is a single payment to all affiants jointly. A split follows the affidavit only if the affidavit states the shares.</w:t>
      </w:r>
    </w:p>
    <w:p>
      <w:pPr>
        <w:pStyle w:val="Compact"/>
        <w:numPr>
          <w:ilvl w:val="0"/>
          <w:numId w:val="1027"/>
        </w:numPr>
      </w:pPr>
      <w:r>
        <w:t xml:space="preserve">Requiring more than the statute may risk § 13105(b) fees if it is "unreasonable".</w:t>
      </w:r>
    </w:p>
    <w:p>
      <w:pPr>
        <w:pStyle w:val="Compact"/>
        <w:numPr>
          <w:ilvl w:val="0"/>
          <w:numId w:val="1027"/>
        </w:numPr>
      </w:pPr>
      <w:r>
        <w:rPr>
          <w:b/>
          <w:bCs/>
        </w:rPr>
        <w:t xml:space="preserve">Can be answered now?</w:t>
      </w:r>
      <w:r>
        <w:t xml:space="preserve"> </w:t>
      </w:r>
      <w:r>
        <w:t xml:space="preserve">Partly. Recommend a "joint payment to all affiants" output, or shares only as stated in the affidavit. Attorney to confirm.</w:t>
      </w:r>
    </w:p>
    <w:p>
      <w:pPr>
        <w:pStyle w:val="FirstParagraph"/>
      </w:pPr>
      <w:r>
        <w:rPr>
          <w:b/>
          <w:bCs/>
        </w:rPr>
        <w:t xml:space="preserve">Q3. Day counting for "40 days have elapsed".</w:t>
      </w:r>
    </w:p>
    <w:p>
      <w:pPr>
        <w:pStyle w:val="Compact"/>
        <w:numPr>
          <w:ilvl w:val="0"/>
          <w:numId w:val="1028"/>
        </w:numPr>
      </w:pPr>
      <w:r>
        <w:rPr>
          <w:b/>
          <w:bCs/>
        </w:rPr>
        <w:t xml:space="preserve">Statute says</w:t>
      </w:r>
      <w:r>
        <w:t xml:space="preserve"> </w:t>
      </w:r>
      <w:r>
        <w:t xml:space="preserve">(general rule): "The time in which any act provided by law is to be done is computed by excluding the first day, and including the last, unless the last day is a holiday, and then it is also excluded." (CCP § 12,</w:t>
      </w:r>
      <w:r>
        <w:t xml:space="preserve"> </w:t>
      </w:r>
      <w:hyperlink r:id="rId86">
        <w:r>
          <w:rPr>
            <w:rStyle w:val="Hyperlink"/>
          </w:rPr>
          <w:t xml:space="preserve">https://california.public.law/codes/code_of_civil_procedure_section_12</w:t>
        </w:r>
      </w:hyperlink>
      <w:r>
        <w:t xml:space="preserve"> </w:t>
      </w:r>
      <w:r>
        <w:t xml:space="preserve">; identical text in Civ. Code § 10 and Gov. Code § 6800.) Gov. Code § 6806 says "A day is the period of time between any midnight and the midnight following."</w:t>
      </w:r>
    </w:p>
    <w:p>
      <w:pPr>
        <w:pStyle w:val="Compact"/>
        <w:numPr>
          <w:ilvl w:val="0"/>
          <w:numId w:val="1028"/>
        </w:numPr>
      </w:pPr>
      <w:r>
        <w:t xml:space="preserve">CCP § 12a extends a period whose</w:t>
      </w:r>
      <w:r>
        <w:t xml:space="preserve"> </w:t>
      </w:r>
      <w:r>
        <w:rPr>
          <w:b/>
          <w:bCs/>
        </w:rPr>
        <w:t xml:space="preserve">last day for performance</w:t>
      </w:r>
      <w:r>
        <w:t xml:space="preserve"> </w:t>
      </w:r>
      <w:r>
        <w:t xml:space="preserve">is a holiday. A 40-day waiting period is not a deadline for performing an act, so whether § 12a applies is uncertain (</w:t>
      </w:r>
      <w:r>
        <w:rPr>
          <w:b/>
          <w:bCs/>
        </w:rPr>
        <w:t xml:space="preserve">Reviewer inference</w:t>
      </w:r>
      <w:r>
        <w:t xml:space="preserve">). Extending it would only make the earliest date later, which is conservative.</w:t>
      </w:r>
    </w:p>
    <w:p>
      <w:pPr>
        <w:pStyle w:val="Compact"/>
        <w:numPr>
          <w:ilvl w:val="0"/>
          <w:numId w:val="1028"/>
        </w:numPr>
      </w:pPr>
      <w:r>
        <w:rPr>
          <w:b/>
          <w:bCs/>
        </w:rPr>
        <w:t xml:space="preserve">Case law:</w:t>
      </w:r>
      <w:r>
        <w:t xml:space="preserve"> </w:t>
      </w:r>
      <w:r>
        <w:t xml:space="preserve">I located no California decision construing "40 days have elapsed" in § 13100 or § 13540. The CourtListener search was cut short by rate limits, and Westlaw was not available. A Supreme Court decision on CCP § 12 and tolling (</w:t>
      </w:r>
      <w:r>
        <w:rPr>
          <w:i/>
          <w:iCs/>
        </w:rPr>
        <w:t xml:space="preserve">Shalabi v. City of Fontana</w:t>
      </w:r>
      <w:r>
        <w:t xml:space="preserve">) is believed to exist but was not read.</w:t>
      </w:r>
    </w:p>
    <w:p>
      <w:pPr>
        <w:pStyle w:val="Compact"/>
        <w:numPr>
          <w:ilvl w:val="0"/>
          <w:numId w:val="1028"/>
        </w:numPr>
      </w:pPr>
      <w:r>
        <w:rPr>
          <w:b/>
          <w:bCs/>
        </w:rPr>
        <w:t xml:space="preserve">Analysis:</w:t>
      </w:r>
    </w:p>
    <w:p>
      <w:pPr>
        <w:pStyle w:val="Compact"/>
        <w:numPr>
          <w:ilvl w:val="1"/>
          <w:numId w:val="1029"/>
        </w:numPr>
      </w:pPr>
      <w:r>
        <w:t xml:space="preserve">Under § 12, day 1 is the day after death and day 40 is death + 40 (e.g. 2025-06-01 gives 2025-07-11).</w:t>
      </w:r>
    </w:p>
    <w:p>
      <w:pPr>
        <w:pStyle w:val="Compact"/>
        <w:numPr>
          <w:ilvl w:val="1"/>
          <w:numId w:val="1029"/>
        </w:numPr>
      </w:pPr>
      <w:r>
        <w:t xml:space="preserve">"Have elapsed" plausibly means that day 40 has ended, which points to death + 41 (2025-07-12). It may instead mean the act can be done on day 40.</w:t>
      </w:r>
    </w:p>
    <w:p>
      <w:pPr>
        <w:pStyle w:val="Compact"/>
        <w:numPr>
          <w:ilvl w:val="1"/>
          <w:numId w:val="1029"/>
        </w:numPr>
      </w:pPr>
      <w:r>
        <w:t xml:space="preserve">The 40-day statement is made in the affidavit (§ 13101(a)(3)), so the affidavit's execution date also matters.</w:t>
      </w:r>
    </w:p>
    <w:p>
      <w:pPr>
        <w:pStyle w:val="Compact"/>
        <w:numPr>
          <w:ilvl w:val="0"/>
          <w:numId w:val="1028"/>
        </w:numPr>
      </w:pPr>
      <w:r>
        <w:rPr>
          <w:b/>
          <w:bCs/>
        </w:rPr>
        <w:t xml:space="preserve">Can be answered now?</w:t>
      </w:r>
      <w:r>
        <w:t xml:space="preserve"> </w:t>
      </w:r>
      <w:r>
        <w:t xml:space="preserve">No. Recommend the default</w:t>
      </w:r>
      <w:r>
        <w:t xml:space="preserve"> </w:t>
      </w:r>
      <w:r>
        <w:rPr>
          <w:b/>
          <w:bCs/>
        </w:rPr>
        <w:t xml:space="preserve">death date + 41</w:t>
      </w:r>
      <w:r>
        <w:t xml:space="preserve">, and the rule "the affidavit is executed on or after that date", until the attorney decides. Either way, GS-CA-001 should show the chosen date.</w:t>
      </w:r>
    </w:p>
    <w:p>
      <w:pPr>
        <w:pStyle w:val="FirstParagraph"/>
      </w:pPr>
      <w:r>
        <w:rPr>
          <w:b/>
          <w:bCs/>
        </w:rPr>
        <w:t xml:space="preserve">Q5. Surviving spouse or RDP collecting a deposit account without the affidavit.</w:t>
      </w:r>
    </w:p>
    <w:p>
      <w:pPr>
        <w:pStyle w:val="Compact"/>
        <w:numPr>
          <w:ilvl w:val="0"/>
          <w:numId w:val="1030"/>
        </w:numPr>
      </w:pPr>
      <w:r>
        <w:rPr>
          <w:b/>
          <w:bCs/>
        </w:rPr>
        <w:t xml:space="preserve">Statute says:</w:t>
      </w:r>
    </w:p>
    <w:p>
      <w:pPr>
        <w:pStyle w:val="Compact"/>
        <w:numPr>
          <w:ilvl w:val="1"/>
          <w:numId w:val="1031"/>
        </w:numPr>
      </w:pPr>
      <w:r>
        <w:t xml:space="preserve">§ 13500: property passing to the spouse needs no administration, subject to §§ 13540 and 13550.</w:t>
      </w:r>
    </w:p>
    <w:p>
      <w:pPr>
        <w:pStyle w:val="Compact"/>
        <w:numPr>
          <w:ilvl w:val="1"/>
          <w:numId w:val="1031"/>
        </w:numPr>
      </w:pPr>
      <w:r>
        <w:t xml:space="preserve">§ 13540: covers real property only (after 40 days).</w:t>
      </w:r>
    </w:p>
    <w:p>
      <w:pPr>
        <w:pStyle w:val="Compact"/>
        <w:numPr>
          <w:ilvl w:val="1"/>
          <w:numId w:val="1031"/>
        </w:numPr>
      </w:pPr>
      <w:r>
        <w:t xml:space="preserve">§ 13545: covers securities registered in the surviving spouse's name.</w:t>
      </w:r>
    </w:p>
    <w:p>
      <w:pPr>
        <w:pStyle w:val="Compact"/>
        <w:numPr>
          <w:ilvl w:val="1"/>
          <w:numId w:val="1031"/>
        </w:numPr>
      </w:pPr>
      <w:r>
        <w:t xml:space="preserve">§ 13600: covers employer compensation only.</w:t>
      </w:r>
    </w:p>
    <w:p>
      <w:pPr>
        <w:pStyle w:val="Compact"/>
        <w:numPr>
          <w:ilvl w:val="1"/>
          <w:numId w:val="1031"/>
        </w:numPr>
      </w:pPr>
      <w:r>
        <w:t xml:space="preserve">§ 13650: lets the spouse petition for an order that property passes to the spouse; under § 13656 the court may order delivery, and under § 13657 a final order is conclusive.</w:t>
      </w:r>
    </w:p>
    <w:p>
      <w:pPr>
        <w:pStyle w:val="Compact"/>
        <w:numPr>
          <w:ilvl w:val="1"/>
          <w:numId w:val="1031"/>
        </w:numPr>
      </w:pPr>
      <w:r>
        <w:t xml:space="preserve">§ 37(b) and § 78 define surviving domestic partner and surviving spouse.</w:t>
      </w:r>
    </w:p>
    <w:p>
      <w:pPr>
        <w:pStyle w:val="Compact"/>
        <w:numPr>
          <w:ilvl w:val="0"/>
          <w:numId w:val="1030"/>
        </w:numPr>
      </w:pPr>
      <w:r>
        <w:t xml:space="preserve">I located no statute giving a holder discharge for paying a spouse based on an affidavit of spousal status for a sole-name deposit account.</w:t>
      </w:r>
    </w:p>
    <w:p>
      <w:pPr>
        <w:pStyle w:val="Compact"/>
        <w:numPr>
          <w:ilvl w:val="0"/>
          <w:numId w:val="1030"/>
        </w:numPr>
      </w:pPr>
      <w:r>
        <w:t xml:space="preserve">Section 13050(a)(1) excludes property passing to the spouse under § 13500 from the small-estate value, so a spouse can often use the § 13100 affidavit as successor.</w:t>
      </w:r>
    </w:p>
    <w:p>
      <w:pPr>
        <w:pStyle w:val="Compact"/>
        <w:numPr>
          <w:ilvl w:val="0"/>
          <w:numId w:val="1030"/>
        </w:numPr>
      </w:pPr>
      <w:r>
        <w:t xml:space="preserve">Liability of the spouse: §§ 13550–13554 (debts) and §§ 13561–13563 (superior testate claimants).</w:t>
      </w:r>
    </w:p>
    <w:p>
      <w:pPr>
        <w:pStyle w:val="Compact"/>
        <w:numPr>
          <w:ilvl w:val="0"/>
          <w:numId w:val="1030"/>
        </w:numPr>
      </w:pPr>
      <w:r>
        <w:rPr>
          <w:b/>
          <w:bCs/>
        </w:rPr>
        <w:t xml:space="preserve">Secondary:</w:t>
      </w:r>
      <w:r>
        <w:t xml:space="preserve"> </w:t>
      </w:r>
      <w:r>
        <w:t xml:space="preserve">not consulted.</w:t>
      </w:r>
    </w:p>
    <w:p>
      <w:pPr>
        <w:pStyle w:val="Compact"/>
        <w:numPr>
          <w:ilvl w:val="0"/>
          <w:numId w:val="1030"/>
        </w:numPr>
      </w:pPr>
      <w:r>
        <w:rPr>
          <w:b/>
          <w:bCs/>
        </w:rPr>
        <w:t xml:space="preserve">Can be answered now?</w:t>
      </w:r>
      <w:r>
        <w:t xml:space="preserve"> </w:t>
      </w:r>
      <w:r>
        <w:t xml:space="preserve">Mostly. Path C should remain not determinable for spousal status alone. Add an optional route: "certified final § 13656 order directing delivery to the spouse; pay per the order". The attorney should confirm what protection applies when paying under that order.</w:t>
      </w:r>
    </w:p>
    <w:p>
      <w:pPr>
        <w:pStyle w:val="FirstParagraph"/>
      </w:pPr>
      <w:r>
        <w:rPr>
          <w:b/>
          <w:bCs/>
        </w:rPr>
        <w:t xml:space="preserve">Q6. Joint, two or more survivors:</w:t>
      </w:r>
      <w:r>
        <w:rPr>
          <w:b/>
          <w:bCs/>
        </w:rPr>
        <w:t xml:space="preserve"> </w:t>
      </w:r>
      <w:r>
        <w:rPr>
          <w:rStyle w:val="VerbatimChar"/>
          <w:b/>
          <w:bCs/>
        </w:rPr>
        <w:t xml:space="preserve">any_of</w:t>
      </w:r>
      <w:r>
        <w:rPr>
          <w:b/>
          <w:bCs/>
        </w:rPr>
        <w:t xml:space="preserve">.</w:t>
      </w:r>
    </w:p>
    <w:p>
      <w:pPr>
        <w:pStyle w:val="Compact"/>
        <w:numPr>
          <w:ilvl w:val="0"/>
          <w:numId w:val="1032"/>
        </w:numPr>
      </w:pPr>
      <w:r>
        <w:rPr>
          <w:b/>
          <w:bCs/>
        </w:rPr>
        <w:t xml:space="preserve">Statute says:</w:t>
      </w:r>
      <w:r>
        <w:t xml:space="preserve"> </w:t>
      </w:r>
      <w:r>
        <w:t xml:space="preserve">§ 5401(a), "may be paid ... to any one or more of the parties"; § 5402, "to any party without regard to whether any other party is incapacitated or deceased"; § 5405(a) gives protection.</w:t>
      </w:r>
    </w:p>
    <w:p>
      <w:pPr>
        <w:pStyle w:val="Compact"/>
        <w:numPr>
          <w:ilvl w:val="0"/>
          <w:numId w:val="1032"/>
        </w:numPr>
      </w:pPr>
      <w:r>
        <w:rPr>
          <w:b/>
          <w:bCs/>
        </w:rPr>
        <w:t xml:space="preserve">Case law holds</w:t>
      </w:r>
      <w:r>
        <w:t xml:space="preserve"> </w:t>
      </w:r>
      <w:r>
        <w:t xml:space="preserve">(</w:t>
      </w:r>
      <w:r>
        <w:rPr>
          <w:i/>
          <w:iCs/>
        </w:rPr>
        <w:t xml:space="preserve">Placencia</w:t>
      </w:r>
      <w:r>
        <w:t xml:space="preserve">) that payment per the terms to a survivor is proper; beneficial disputes are between the parties (§ 5405(d)).</w:t>
      </w:r>
    </w:p>
    <w:p>
      <w:pPr>
        <w:pStyle w:val="Compact"/>
        <w:numPr>
          <w:ilvl w:val="0"/>
          <w:numId w:val="1032"/>
        </w:numPr>
      </w:pPr>
      <w:r>
        <w:rPr>
          <w:b/>
          <w:bCs/>
        </w:rPr>
        <w:t xml:space="preserve">Can be answered now?</w:t>
      </w:r>
      <w:r>
        <w:t xml:space="preserve"> </w:t>
      </w:r>
      <w:r>
        <w:t xml:space="preserve">Yes. The reading is supported. Caveats: § 5401(b) multi-signature terms, the § 5405(c) notice, and § 5303 proper-party status.</w:t>
      </w:r>
    </w:p>
    <w:p>
      <w:pPr>
        <w:pStyle w:val="FirstParagraph"/>
      </w:pPr>
      <w:r>
        <w:rPr>
          <w:b/>
          <w:bCs/>
        </w:rPr>
        <w:t xml:space="preserve">Q8. Verification beyond the statutory documents.</w:t>
      </w:r>
    </w:p>
    <w:p>
      <w:pPr>
        <w:numPr>
          <w:ilvl w:val="0"/>
          <w:numId w:val="1033"/>
        </w:numPr>
      </w:pPr>
      <w:r>
        <w:rPr>
          <w:b/>
          <w:bCs/>
        </w:rPr>
        <w:t xml:space="preserve">Statute says</w:t>
      </w:r>
      <w:r>
        <w:t xml:space="preserve"> </w:t>
      </w:r>
      <w:r>
        <w:t xml:space="preserve">the holder may require a bond if evidence of ownership is missing (§ 13102(b)). It "shall award reasonable attorney's fees" if the holder "acted unreasonably in refusing to pay" (§ 13105(b)).</w:t>
      </w:r>
    </w:p>
    <w:p>
      <w:pPr>
        <w:numPr>
          <w:ilvl w:val="0"/>
          <w:numId w:val="1033"/>
        </w:numPr>
      </w:pPr>
      <w:r>
        <w:rPr>
          <w:b/>
          <w:bCs/>
        </w:rPr>
        <w:t xml:space="preserve">Case law:</w:t>
      </w:r>
      <w:r>
        <w:t xml:space="preserve"> </w:t>
      </w:r>
      <w:r>
        <w:t xml:space="preserve">Besides dictum in a</w:t>
      </w:r>
      <w:r>
        <w:t xml:space="preserve"> </w:t>
      </w:r>
      <w:r>
        <w:rPr>
          <w:i/>
          <w:iCs/>
        </w:rPr>
        <w:t xml:space="preserve">Mautner</w:t>
      </w:r>
      <w:r>
        <w:t xml:space="preserve"> </w:t>
      </w:r>
      <w:r>
        <w:t xml:space="preserve">footnote, I located no published decision applying § 13105(b) fees against a holder.</w:t>
      </w:r>
      <w:r>
        <w:t xml:space="preserve"> </w:t>
      </w:r>
      <w:r>
        <w:rPr>
          <w:i/>
          <w:iCs/>
        </w:rPr>
        <w:t xml:space="preserve">Mautner</w:t>
      </w:r>
      <w:r>
        <w:t xml:space="preserve"> </w:t>
      </w:r>
      <w:r>
        <w:t xml:space="preserve">says: "The successor will be entitled to attorney fees only if the court finds the holder acted unreasonably."</w:t>
      </w:r>
    </w:p>
    <w:p>
      <w:pPr>
        <w:numPr>
          <w:ilvl w:val="0"/>
          <w:numId w:val="1033"/>
        </w:numPr>
      </w:pPr>
      <w:r>
        <w:rPr>
          <w:b/>
          <w:bCs/>
        </w:rPr>
        <w:t xml:space="preserve">Reviewer inference:</w:t>
      </w:r>
      <w:r>
        <w:t xml:space="preserve"> </w:t>
      </w:r>
      <w:r>
        <w:t xml:space="preserve">Reasonable verification is likely defensible, for example:</w:t>
      </w:r>
    </w:p>
    <w:p>
      <w:pPr>
        <w:pStyle w:val="Compact"/>
        <w:numPr>
          <w:ilvl w:val="1"/>
          <w:numId w:val="1034"/>
        </w:numPr>
      </w:pPr>
      <w:r>
        <w:t xml:space="preserve">letters for a personal representative's consent, which § 13101(e) already requires;</w:t>
      </w:r>
    </w:p>
    <w:p>
      <w:pPr>
        <w:pStyle w:val="Compact"/>
        <w:numPr>
          <w:ilvl w:val="1"/>
          <w:numId w:val="1034"/>
        </w:numPr>
      </w:pPr>
      <w:r>
        <w:t xml:space="preserve">proof of appointment for guardians or conservators, by analogy to § 13601(d);</w:t>
      </w:r>
    </w:p>
    <w:p>
      <w:pPr>
        <w:pStyle w:val="Compact"/>
        <w:numPr>
          <w:ilvl w:val="1"/>
          <w:numId w:val="1034"/>
        </w:numPr>
      </w:pPr>
      <w:r>
        <w:t xml:space="preserve">a copy of the power of attorney.</w:t>
      </w:r>
    </w:p>
    <w:p>
      <w:pPr>
        <w:numPr>
          <w:ilvl w:val="0"/>
          <w:numId w:val="1000"/>
        </w:numPr>
      </w:pPr>
      <w:r>
        <w:t xml:space="preserve">Blanket extra requirements or delays risk fee exposure.</w:t>
      </w:r>
    </w:p>
    <w:p>
      <w:pPr>
        <w:numPr>
          <w:ilvl w:val="0"/>
          <w:numId w:val="1033"/>
        </w:numPr>
      </w:pPr>
      <w:r>
        <w:rPr>
          <w:b/>
          <w:bCs/>
        </w:rPr>
        <w:t xml:space="preserve">Can be answered now?</w:t>
      </w:r>
      <w:r>
        <w:t xml:space="preserve"> </w:t>
      </w:r>
      <w:r>
        <w:t xml:space="preserve">It needs an attorney. Reclassify Q8 as "Policy (Law to confirm)". ARCHITECTURE.md's statement that policy "can only make decisions stricter" should note this Path B fee risk.</w:t>
      </w:r>
    </w:p>
    <w:p>
      <w:pPr>
        <w:pStyle w:val="FirstParagraph"/>
      </w:pPr>
      <w:r>
        <w:rPr>
          <w:b/>
          <w:bCs/>
        </w:rPr>
        <w:t xml:space="preserve">Q9. Confirm citations on leginfo.</w:t>
      </w:r>
      <w:r>
        <w:t xml:space="preserve"> </w:t>
      </w:r>
      <w:r>
        <w:t xml:space="preserve">I could not do this: leginfo returned 403 on 2026-10-09, and all text came from the mirror. The attorney must confirm every section cited here, especially those amended recently: §§ 13100, 13101 and 13151 (2025, AB 2016); §§ 13109–13117 (2023); § 9202 (2026); CCP § 1520 (2026).</w:t>
      </w:r>
    </w:p>
    <w:bookmarkStart w:id="87" w:name="case-law-requested-in-task-item-2"/>
    <w:p>
      <w:pPr>
        <w:pStyle w:val="Heading3"/>
      </w:pPr>
      <w:r>
        <w:t xml:space="preserve">Case law requested in task item 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Topic</w:t>
            </w:r>
          </w:p>
        </w:tc>
        <w:tc>
          <w:tcPr/>
          <w:p>
            <w:pPr>
              <w:pStyle w:val="Compact"/>
            </w:pPr>
            <w:r>
              <w:t xml:space="preserve">Located and read</w:t>
            </w:r>
          </w:p>
        </w:tc>
        <w:tc>
          <w:tcPr/>
          <w:p>
            <w:pPr>
              <w:pStyle w:val="Compact"/>
            </w:pPr>
            <w:r>
              <w:t xml:space="preserve">Holding (short quote)</w:t>
            </w:r>
          </w:p>
        </w:tc>
        <w:tc>
          <w:tcPr/>
          <w:p>
            <w:pPr>
              <w:pStyle w:val="Compact"/>
            </w:pPr>
            <w:r>
              <w:t xml:space="preserve">Notes</w:t>
            </w:r>
          </w:p>
        </w:tc>
      </w:tr>
      <w:tr>
        <w:tc>
          <w:tcPr/>
          <w:p>
            <w:pPr>
              <w:pStyle w:val="Compact"/>
            </w:pPr>
            <w:r>
              <w:t xml:space="preserve">§ 13106 reliance and discharge</w:t>
            </w:r>
          </w:p>
        </w:tc>
        <w:tc>
          <w:tcPr/>
          <w:p>
            <w:pPr>
              <w:pStyle w:val="Compact"/>
            </w:pPr>
            <w:r>
              <w:rPr>
                <w:i/>
                <w:iCs/>
              </w:rPr>
              <w:t xml:space="preserve">Mautner v. Peralta</w:t>
            </w:r>
            <w:r>
              <w:t xml:space="preserve"> </w:t>
            </w:r>
            <w:r>
              <w:t xml:space="preserve">(1989) 215 Cal.App.3d 796 (1st Dist.) (construes former §§ 630–631, the predecessors of §§ 13100–13106)</w:t>
            </w:r>
          </w:p>
        </w:tc>
        <w:tc>
          <w:tcPr/>
          <w:p>
            <w:pPr>
              <w:pStyle w:val="Compact"/>
            </w:pPr>
            <w:r>
              <w:t xml:space="preserve">The immunity is "inapplicable where the holder has actual notice of a statutory heir's superior claim and a request to 'hold' distribution ... prior to receiving a '630' affidavit."</w:t>
            </w:r>
          </w:p>
        </w:tc>
        <w:tc>
          <w:tcPr/>
          <w:p>
            <w:pPr>
              <w:pStyle w:val="Compact"/>
            </w:pPr>
            <w:r>
              <w:t xml:space="preserve">The predecessor statute lacked "good faith" wording; § 13106(a) now has it. Its application to § 13106 is</w:t>
            </w:r>
            <w:r>
              <w:t xml:space="preserve"> </w:t>
            </w:r>
            <w:r>
              <w:rPr>
                <w:b/>
                <w:bCs/>
              </w:rPr>
              <w:t xml:space="preserve">Reviewer inference.</w:t>
            </w:r>
          </w:p>
        </w:tc>
      </w:tr>
      <w:tr>
        <w:tc>
          <w:tcPr/>
          <w:p>
            <w:pPr>
              <w:pStyle w:val="Compact"/>
            </w:pPr>
            <w:r>
              <w:t xml:space="preserve">§§ 13109–13112 transferee liability</w:t>
            </w:r>
          </w:p>
        </w:tc>
        <w:tc>
          <w:tcPr/>
          <w:p>
            <w:pPr>
              <w:pStyle w:val="Compact"/>
            </w:pPr>
            <w:r>
              <w:t xml:space="preserve">None located. CourtListener searches for "section 13109" returned only an unrelated 1962 case; "section 13111" was cut off by the rate limit.</w:t>
            </w:r>
          </w:p>
        </w:tc>
        <w:tc>
          <w:tcPr/>
          <w:p>
            <w:pPr>
              <w:pStyle w:val="Compact"/>
            </w:pPr>
            <w:r>
              <w:t xml:space="preserve">—</w:t>
            </w:r>
          </w:p>
        </w:tc>
        <w:tc>
          <w:tcPr/>
          <w:p>
            <w:pPr>
              <w:pStyle w:val="Compact"/>
            </w:pPr>
            <w:r>
              <w:t xml:space="preserve">§ 13112 does not exist.</w:t>
            </w:r>
          </w:p>
        </w:tc>
      </w:tr>
      <w:tr>
        <w:tc>
          <w:tcPr/>
          <w:p>
            <w:pPr>
              <w:pStyle w:val="Compact"/>
            </w:pPr>
            <w:r>
              <w:t xml:space="preserve">§ 13105(b) refusal and fees</w:t>
            </w:r>
          </w:p>
        </w:tc>
        <w:tc>
          <w:tcPr/>
          <w:p>
            <w:pPr>
              <w:pStyle w:val="Compact"/>
            </w:pPr>
            <w:r>
              <w:t xml:space="preserve">No holding located; only</w:t>
            </w:r>
            <w:r>
              <w:t xml:space="preserve"> </w:t>
            </w:r>
            <w:r>
              <w:rPr>
                <w:i/>
                <w:iCs/>
              </w:rPr>
              <w:t xml:space="preserve">Mautner</w:t>
            </w:r>
            <w:r>
              <w:t xml:space="preserve"> </w:t>
            </w:r>
            <w:r>
              <w:t xml:space="preserve">footnote dictum (above)</w:t>
            </w:r>
          </w:p>
        </w:tc>
        <w:tc>
          <w:tcPr/>
          <w:p>
            <w:pPr>
              <w:pStyle w:val="Compact"/>
            </w:pPr>
            <w:r>
              <w:t xml:space="preserve">—</w:t>
            </w:r>
          </w:p>
        </w:tc>
        <w:tc>
          <w:tcPr/>
          <w:p>
            <w:pPr>
              <w:pStyle w:val="Compact"/>
            </w:pPr>
            <w:r>
              <w:t xml:space="preserve">Believed sparse. Search Westlaw.</w:t>
            </w:r>
          </w:p>
        </w:tc>
      </w:tr>
      <w:tr>
        <w:tc>
          <w:tcPr/>
          <w:p>
            <w:pPr>
              <w:pStyle w:val="Compact"/>
            </w:pPr>
            <w:r>
              <w:t xml:space="preserve">§ 5302 clear and convincing evidence</w:t>
            </w:r>
          </w:p>
        </w:tc>
        <w:tc>
          <w:tcPr/>
          <w:p>
            <w:pPr>
              <w:pStyle w:val="Compact"/>
            </w:pPr>
            <w:r>
              <w:rPr>
                <w:i/>
                <w:iCs/>
              </w:rPr>
              <w:t xml:space="preserve">Placencia v. Strazicich</w:t>
            </w:r>
            <w:r>
              <w:t xml:space="preserve"> </w:t>
            </w:r>
            <w:r>
              <w:t xml:space="preserve">(2019) 42 Cal.App.5th 730 (4th Dist., Div. 3; No. G055631; filed 11/26/19; a 12/23/19 modification exists and was not read). Citation per vLex (secondary); slip opinion read.</w:t>
            </w:r>
            <w:r>
              <w:t xml:space="preserve"> </w:t>
            </w:r>
            <w:r>
              <w:rPr>
                <w:i/>
                <w:iCs/>
              </w:rPr>
              <w:t xml:space="preserve">Araiza v. Younkin</w:t>
            </w:r>
            <w:r>
              <w:t xml:space="preserve"> </w:t>
            </w:r>
            <w:r>
              <w:t xml:space="preserve">(2010) 188 Cal.App.4th 1120 (2d Dist., Div. 6).</w:t>
            </w:r>
          </w:p>
        </w:tc>
        <w:tc>
          <w:tcPr/>
          <w:p>
            <w:pPr>
              <w:pStyle w:val="Compact"/>
            </w:pPr>
            <w:r>
              <w:rPr>
                <w:i/>
                <w:iCs/>
              </w:rPr>
              <w:t xml:space="preserve">Placencia</w:t>
            </w:r>
            <w:r>
              <w:t xml:space="preserve">: a will may evidence intent; the bank is protected.</w:t>
            </w:r>
            <w:r>
              <w:t xml:space="preserve"> </w:t>
            </w:r>
            <w:r>
              <w:rPr>
                <w:i/>
                <w:iCs/>
              </w:rPr>
              <w:t xml:space="preserve">Araiza</w:t>
            </w:r>
            <w:r>
              <w:t xml:space="preserve">: a living trust overrode a Totten designation by clear and convincing evidence.</w:t>
            </w:r>
          </w:p>
        </w:tc>
        <w:tc>
          <w:tcPr/>
          <w:p>
            <w:pPr>
              <w:pStyle w:val="Compact"/>
            </w:pPr>
            <w:r>
              <w:rPr>
                <w:i/>
                <w:iCs/>
              </w:rPr>
              <w:t xml:space="preserve">Estate of O'Connor</w:t>
            </w:r>
            <w:r>
              <w:t xml:space="preserve"> </w:t>
            </w:r>
            <w:r>
              <w:t xml:space="preserve">(2017) 16 Cal.App.5th 159 (joint account; no clear and convincing evidence shown, so the account went to the survivor). Believed to exist per secondary sources;</w:t>
            </w:r>
            <w:r>
              <w:t xml:space="preserve"> </w:t>
            </w:r>
            <w:r>
              <w:rPr>
                <w:b/>
                <w:bCs/>
              </w:rPr>
              <w:t xml:space="preserve">not read</w:t>
            </w:r>
            <w:r>
              <w:t xml:space="preserve">.</w:t>
            </w:r>
            <w:r>
              <w:t xml:space="preserve"> </w:t>
            </w:r>
            <w:r>
              <w:rPr>
                <w:i/>
                <w:iCs/>
              </w:rPr>
              <w:t xml:space="preserve">Lee v. Yang</w:t>
            </w:r>
            <w:r>
              <w:t xml:space="preserve"> </w:t>
            </w:r>
            <w:r>
              <w:t xml:space="preserve">(2003) 111 Cal.App.4th 481 (1st Dist.): read in part; concerns lifetime withdrawals and §§ 5301, 5405.</w:t>
            </w:r>
          </w:p>
        </w:tc>
      </w:tr>
      <w:tr>
        <w:tc>
          <w:tcPr/>
          <w:p>
            <w:pPr>
              <w:pStyle w:val="Compact"/>
            </w:pPr>
            <w:r>
              <w:t xml:space="preserve">§ 5405 institution protection</w:t>
            </w:r>
          </w:p>
        </w:tc>
        <w:tc>
          <w:tcPr/>
          <w:p>
            <w:pPr>
              <w:pStyle w:val="Compact"/>
            </w:pPr>
            <w:r>
              <w:rPr>
                <w:i/>
                <w:iCs/>
              </w:rPr>
              <w:t xml:space="preserve">Stevens v. Tri Counties Bank</w:t>
            </w:r>
            <w:r>
              <w:t xml:space="preserve"> </w:t>
            </w:r>
            <w:r>
              <w:t xml:space="preserve">(2009) 177 Cal.App.4th 236 (3d Dist.);</w:t>
            </w:r>
            <w:r>
              <w:t xml:space="preserve"> </w:t>
            </w:r>
            <w:r>
              <w:rPr>
                <w:i/>
                <w:iCs/>
              </w:rPr>
              <w:t xml:space="preserve">Placencia</w:t>
            </w:r>
          </w:p>
        </w:tc>
        <w:tc>
          <w:tcPr/>
          <w:p>
            <w:pPr>
              <w:pStyle w:val="Compact"/>
            </w:pPr>
            <w:r>
              <w:rPr>
                <w:i/>
                <w:iCs/>
              </w:rPr>
              <w:t xml:space="preserve">Stevens</w:t>
            </w:r>
            <w:r>
              <w:t xml:space="preserve">: protection "presupposes the person is a proper party"; the bank is liable for adding a party in violation of § 5303.</w:t>
            </w:r>
          </w:p>
        </w:tc>
        <w:tc>
          <w:tcPr/>
          <w:p>
            <w:pPr>
              <w:pStyle w:val="Compact"/>
            </w:pPr>
            <w:r>
              <w:t xml:space="preserve">—</w:t>
            </w:r>
          </w:p>
        </w:tc>
      </w:tr>
    </w:tbl>
    <w:p>
      <w:r>
        <w:pict>
          <v:rect style="width:0;height:1.5pt" o:hralign="center" o:hrstd="t" o:hr="t"/>
        </w:pict>
      </w:r>
    </w:p>
    <w:bookmarkEnd w:id="87"/>
    <w:bookmarkEnd w:id="88"/>
    <w:bookmarkStart w:id="89" w:name="edge-cases-and-risks"/>
    <w:p>
      <w:pPr>
        <w:pStyle w:val="Heading2"/>
      </w:pPr>
      <w:r>
        <w:t xml:space="preserve">Edge cases and risks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Fact pattern</w:t>
            </w:r>
          </w:p>
        </w:tc>
        <w:tc>
          <w:tcPr/>
          <w:p>
            <w:pPr>
              <w:pStyle w:val="Compact"/>
            </w:pPr>
            <w:r>
              <w:t xml:space="preserve">Severity</w:t>
            </w:r>
          </w:p>
        </w:tc>
        <w:tc>
          <w:tcPr/>
          <w:p>
            <w:pPr>
              <w:pStyle w:val="Compact"/>
            </w:pPr>
            <w:r>
              <w:t xml:space="preserve">Likelihood</w:t>
            </w:r>
          </w:p>
        </w:tc>
        <w:tc>
          <w:tcPr/>
          <w:p>
            <w:pPr>
              <w:pStyle w:val="Compact"/>
            </w:pPr>
            <w:r>
              <w:t xml:space="preserve">Authority</w:t>
            </w:r>
          </w:p>
        </w:tc>
      </w:tr>
      <w:tr>
        <w:tc>
          <w:tcPr/>
          <w:p>
            <w:pPr>
              <w:pStyle w:val="Compact"/>
            </w:pPr>
            <w:r>
              <w:t xml:space="preserve">E1</w:t>
            </w:r>
          </w:p>
        </w:tc>
        <w:tc>
          <w:tcPr/>
          <w:p>
            <w:pPr>
              <w:pStyle w:val="Compact"/>
            </w:pPr>
            <w:r>
              <w:t xml:space="preserve">Bank receives a letter from a would-be heir claiming the account and asking for a hold, then a § 13101 affidavit from someone else.</w:t>
            </w:r>
          </w:p>
        </w:tc>
        <w:tc>
          <w:tcPr/>
          <w:p>
            <w:pPr>
              <w:pStyle w:val="Compact"/>
            </w:pPr>
            <w:r>
              <w:t xml:space="preserve">High</w:t>
            </w:r>
          </w:p>
        </w:tc>
        <w:tc>
          <w:tcPr/>
          <w:p>
            <w:pPr>
              <w:pStyle w:val="Compact"/>
            </w:pPr>
            <w:r>
              <w:t xml:space="preserve">Medium</w:t>
            </w:r>
          </w:p>
        </w:tc>
        <w:tc>
          <w:tcPr/>
          <w:p>
            <w:pPr>
              <w:pStyle w:val="Compact"/>
            </w:pPr>
            <w:r>
              <w:rPr>
                <w:i/>
                <w:iCs/>
              </w:rPr>
              <w:t xml:space="preserve">Mautner</w:t>
            </w:r>
            <w:r>
              <w:t xml:space="preserve">; § 13106(a) "good faith"; Fin. Code § 1450</w:t>
            </w:r>
          </w:p>
        </w:tc>
      </w:tr>
      <w:tr>
        <w:tc>
          <w:tcPr/>
          <w:p>
            <w:pPr>
              <w:pStyle w:val="Compact"/>
            </w:pPr>
            <w:r>
              <w:t xml:space="preserve">E2</w:t>
            </w:r>
          </w:p>
        </w:tc>
        <w:tc>
          <w:tcPr/>
          <w:p>
            <w:pPr>
              <w:pStyle w:val="Compact"/>
            </w:pPr>
            <w:r>
              <w:t xml:space="preserve">Engine sets the earliest date at death + 40 and the affidavit is signed that same day. A court later reads "elapsed" as requiring day 40 to be complete.</w:t>
            </w:r>
          </w:p>
        </w:tc>
        <w:tc>
          <w:tcPr/>
          <w:p>
            <w:pPr>
              <w:pStyle w:val="Compact"/>
            </w:pPr>
            <w:r>
              <w:t xml:space="preserve">Medium</w:t>
            </w:r>
          </w:p>
        </w:tc>
        <w:tc>
          <w:tcPr/>
          <w:p>
            <w:pPr>
              <w:pStyle w:val="Compact"/>
            </w:pPr>
            <w:r>
              <w:t xml:space="preserve">Medium</w:t>
            </w:r>
          </w:p>
        </w:tc>
        <w:tc>
          <w:tcPr/>
          <w:p>
            <w:pPr>
              <w:pStyle w:val="Compact"/>
            </w:pPr>
            <w:r>
              <w:t xml:space="preserve">CCP § 12; § 13101(a)(3). Reviewer inference</w:t>
            </w:r>
          </w:p>
        </w:tc>
      </w:tr>
      <w:tr>
        <w:tc>
          <w:tcPr/>
          <w:p>
            <w:pPr>
              <w:pStyle w:val="Compact"/>
            </w:pPr>
            <w:r>
              <w:t xml:space="preserve">E3</w:t>
            </w:r>
          </w:p>
        </w:tc>
        <w:tc>
          <w:tcPr/>
          <w:p>
            <w:pPr>
              <w:pStyle w:val="Compact"/>
            </w:pPr>
            <w:r>
              <w:t xml:space="preserve">Joint account with a survivor; the decedent's will says the survivor should not take.</w:t>
            </w:r>
          </w:p>
        </w:tc>
        <w:tc>
          <w:tcPr/>
          <w:p>
            <w:pPr>
              <w:pStyle w:val="Compact"/>
            </w:pPr>
            <w:r>
              <w:t xml:space="preserve">Low for the bank (protected); High for misleading output</w:t>
            </w:r>
          </w:p>
        </w:tc>
        <w:tc>
          <w:tcPr/>
          <w:p>
            <w:pPr>
              <w:pStyle w:val="Compact"/>
            </w:pPr>
            <w:r>
              <w:t xml:space="preserve">Medium</w:t>
            </w:r>
          </w:p>
        </w:tc>
        <w:tc>
          <w:tcPr/>
          <w:p>
            <w:pPr>
              <w:pStyle w:val="Compact"/>
            </w:pPr>
            <w:r>
              <w:rPr>
                <w:i/>
                <w:iCs/>
              </w:rPr>
              <w:t xml:space="preserve">Placencia</w:t>
            </w:r>
            <w:r>
              <w:t xml:space="preserve">; § 5405(a), (d)</w:t>
            </w:r>
          </w:p>
        </w:tc>
      </w:tr>
      <w:tr>
        <w:tc>
          <w:tcPr/>
          <w:p>
            <w:pPr>
              <w:pStyle w:val="Compact"/>
            </w:pPr>
            <w:r>
              <w:t xml:space="preserve">E4</w:t>
            </w:r>
          </w:p>
        </w:tc>
        <w:tc>
          <w:tcPr/>
          <w:p>
            <w:pPr>
              <w:pStyle w:val="Compact"/>
            </w:pPr>
            <w:r>
              <w:t xml:space="preserve">Surviving joint owner is the decedent's ex-spouse (divorced after the account was opened).</w:t>
            </w:r>
          </w:p>
        </w:tc>
        <w:tc>
          <w:tcPr/>
          <w:p>
            <w:pPr>
              <w:pStyle w:val="Compact"/>
            </w:pPr>
            <w:r>
              <w:t xml:space="preserve">High</w:t>
            </w:r>
          </w:p>
        </w:tc>
        <w:tc>
          <w:tcPr/>
          <w:p>
            <w:pPr>
              <w:pStyle w:val="Compact"/>
            </w:pPr>
            <w:r>
              <w:t xml:space="preserve">Medium</w:t>
            </w:r>
          </w:p>
        </w:tc>
        <w:tc>
          <w:tcPr/>
          <w:p>
            <w:pPr>
              <w:pStyle w:val="Compact"/>
            </w:pPr>
            <w:r>
              <w:t xml:space="preserve">§§ 5302 ("Subject to Section 5040"), 5040</w:t>
            </w:r>
          </w:p>
        </w:tc>
      </w:tr>
      <w:tr>
        <w:tc>
          <w:tcPr/>
          <w:p>
            <w:pPr>
              <w:pStyle w:val="Compact"/>
            </w:pPr>
            <w:r>
              <w:t xml:space="preserve">E5</w:t>
            </w:r>
          </w:p>
        </w:tc>
        <w:tc>
          <w:tcPr/>
          <w:p>
            <w:pPr>
              <w:pStyle w:val="Compact"/>
            </w:pPr>
            <w:r>
              <w:t xml:space="preserve">POD payee is 15 years old.</w:t>
            </w:r>
          </w:p>
        </w:tc>
        <w:tc>
          <w:tcPr/>
          <w:p>
            <w:pPr>
              <w:pStyle w:val="Compact"/>
            </w:pPr>
            <w:r>
              <w:t xml:space="preserve">High</w:t>
            </w:r>
          </w:p>
        </w:tc>
        <w:tc>
          <w:tcPr/>
          <w:p>
            <w:pPr>
              <w:pStyle w:val="Compact"/>
            </w:pPr>
            <w:r>
              <w:t xml:space="preserve">Medium</w:t>
            </w:r>
          </w:p>
        </w:tc>
        <w:tc>
          <w:tcPr/>
          <w:p>
            <w:pPr>
              <w:pStyle w:val="Compact"/>
            </w:pPr>
            <w:r>
              <w:t xml:space="preserve">§ 5407(b)</w:t>
            </w:r>
          </w:p>
        </w:tc>
      </w:tr>
      <w:tr>
        <w:tc>
          <w:tcPr/>
          <w:p>
            <w:pPr>
              <w:pStyle w:val="Compact"/>
            </w:pPr>
            <w:r>
              <w:t xml:space="preserve">E6</w:t>
            </w:r>
          </w:p>
        </w:tc>
        <w:tc>
          <w:tcPr/>
          <w:p>
            <w:pPr>
              <w:pStyle w:val="Compact"/>
            </w:pPr>
            <w:r>
              <w:t xml:space="preserve">Owner and POD payee die in the same accident, order unknown.</w:t>
            </w:r>
          </w:p>
        </w:tc>
        <w:tc>
          <w:tcPr/>
          <w:p>
            <w:pPr>
              <w:pStyle w:val="Compact"/>
            </w:pPr>
            <w:r>
              <w:t xml:space="preserve">Medium</w:t>
            </w:r>
          </w:p>
        </w:tc>
        <w:tc>
          <w:tcPr/>
          <w:p>
            <w:pPr>
              <w:pStyle w:val="Compact"/>
            </w:pPr>
            <w:r>
              <w:t xml:space="preserve">Low</w:t>
            </w:r>
          </w:p>
        </w:tc>
        <w:tc>
          <w:tcPr/>
          <w:p>
            <w:pPr>
              <w:pStyle w:val="Compact"/>
            </w:pPr>
            <w:r>
              <w:t xml:space="preserve">§§ 220, 222, 21109</w:t>
            </w:r>
          </w:p>
        </w:tc>
      </w:tr>
      <w:tr>
        <w:tc>
          <w:tcPr/>
          <w:p>
            <w:pPr>
              <w:pStyle w:val="Compact"/>
            </w:pPr>
            <w:r>
              <w:t xml:space="preserve">E7</w:t>
            </w:r>
          </w:p>
        </w:tc>
        <w:tc>
          <w:tcPr/>
          <w:p>
            <w:pPr>
              <w:pStyle w:val="Compact"/>
            </w:pPr>
            <w:r>
              <w:t xml:space="preserve">Surviving joint owner is charged with the decedent's murder; the bank later gets written notice.</w:t>
            </w:r>
          </w:p>
        </w:tc>
        <w:tc>
          <w:tcPr/>
          <w:p>
            <w:pPr>
              <w:pStyle w:val="Compact"/>
            </w:pPr>
            <w:r>
              <w:t xml:space="preserve">High</w:t>
            </w:r>
          </w:p>
        </w:tc>
        <w:tc>
          <w:tcPr/>
          <w:p>
            <w:pPr>
              <w:pStyle w:val="Compact"/>
            </w:pPr>
            <w:r>
              <w:t xml:space="preserve">Low</w:t>
            </w:r>
          </w:p>
        </w:tc>
        <w:tc>
          <w:tcPr/>
          <w:p>
            <w:pPr>
              <w:pStyle w:val="Compact"/>
            </w:pPr>
            <w:r>
              <w:t xml:space="preserve">§§ 251, 256</w:t>
            </w:r>
          </w:p>
        </w:tc>
      </w:tr>
      <w:tr>
        <w:tc>
          <w:tcPr/>
          <w:p>
            <w:pPr>
              <w:pStyle w:val="Compact"/>
            </w:pPr>
            <w:r>
              <w:t xml:space="preserve">E8</w:t>
            </w:r>
          </w:p>
        </w:tc>
        <w:tc>
          <w:tcPr/>
          <w:p>
            <w:pPr>
              <w:pStyle w:val="Compact"/>
            </w:pPr>
            <w:r>
              <w:t xml:space="preserve">Single affiant signs as "successor" but the will leaves the account to three children.</w:t>
            </w:r>
          </w:p>
        </w:tc>
        <w:tc>
          <w:tcPr/>
          <w:p>
            <w:pPr>
              <w:pStyle w:val="Compact"/>
            </w:pPr>
            <w:r>
              <w:t xml:space="preserve">High</w:t>
            </w:r>
          </w:p>
        </w:tc>
        <w:tc>
          <w:tcPr/>
          <w:p>
            <w:pPr>
              <w:pStyle w:val="Compact"/>
            </w:pPr>
            <w:r>
              <w:t xml:space="preserve">Medium</w:t>
            </w:r>
          </w:p>
        </w:tc>
        <w:tc>
          <w:tcPr/>
          <w:p>
            <w:pPr>
              <w:pStyle w:val="Compact"/>
            </w:pPr>
            <w:r>
              <w:t xml:space="preserve">§ 13006 ("all of the beneficiaries"); § 13101(a)(9); transferee liability § 13110</w:t>
            </w:r>
          </w:p>
        </w:tc>
      </w:tr>
      <w:tr>
        <w:tc>
          <w:tcPr/>
          <w:p>
            <w:pPr>
              <w:pStyle w:val="Compact"/>
            </w:pPr>
            <w:r>
              <w:t xml:space="preserve">E9</w:t>
            </w:r>
          </w:p>
        </w:tc>
        <w:tc>
          <w:tcPr/>
          <w:p>
            <w:pPr>
              <w:pStyle w:val="Compact"/>
            </w:pPr>
            <w:r>
              <w:t xml:space="preserve">Account balance includes Social Security deposited after death.</w:t>
            </w:r>
          </w:p>
        </w:tc>
        <w:tc>
          <w:tcPr/>
          <w:p>
            <w:pPr>
              <w:pStyle w:val="Compact"/>
            </w:pPr>
            <w:r>
              <w:t xml:space="preserve">Medium</w:t>
            </w:r>
          </w:p>
        </w:tc>
        <w:tc>
          <w:tcPr/>
          <w:p>
            <w:pPr>
              <w:pStyle w:val="Compact"/>
            </w:pPr>
            <w:r>
              <w:t xml:space="preserve">High</w:t>
            </w:r>
          </w:p>
        </w:tc>
        <w:tc>
          <w:tcPr/>
          <w:p>
            <w:pPr>
              <w:pStyle w:val="Compact"/>
            </w:pPr>
            <w:r>
              <w:t xml:space="preserve">31 CFR 210.10</w:t>
            </w:r>
          </w:p>
        </w:tc>
      </w:tr>
      <w:tr>
        <w:tc>
          <w:tcPr/>
          <w:p>
            <w:pPr>
              <w:pStyle w:val="Compact"/>
            </w:pPr>
            <w:r>
              <w:t xml:space="preserve">E10</w:t>
            </w:r>
          </w:p>
        </w:tc>
        <w:tc>
          <w:tcPr/>
          <w:p>
            <w:pPr>
              <w:pStyle w:val="Compact"/>
            </w:pPr>
            <w:r>
              <w:t xml:space="preserve">Dormant deceased-owner account already reported to the Controller.</w:t>
            </w:r>
          </w:p>
        </w:tc>
        <w:tc>
          <w:tcPr/>
          <w:p>
            <w:pPr>
              <w:pStyle w:val="Compact"/>
            </w:pPr>
            <w:r>
              <w:t xml:space="preserve">Medium</w:t>
            </w:r>
          </w:p>
        </w:tc>
        <w:tc>
          <w:tcPr/>
          <w:p>
            <w:pPr>
              <w:pStyle w:val="Compact"/>
            </w:pPr>
            <w:r>
              <w:t xml:space="preserve">Medium</w:t>
            </w:r>
          </w:p>
        </w:tc>
        <w:tc>
          <w:tcPr/>
          <w:p>
            <w:pPr>
              <w:pStyle w:val="Compact"/>
            </w:pPr>
            <w:r>
              <w:t xml:space="preserve">CCP §§ 1532(b), 1560(b)</w:t>
            </w:r>
          </w:p>
        </w:tc>
      </w:tr>
      <w:tr>
        <w:tc>
          <w:tcPr/>
          <w:p>
            <w:pPr>
              <w:pStyle w:val="Compact"/>
            </w:pPr>
            <w:r>
              <w:t xml:space="preserve">E11</w:t>
            </w:r>
          </w:p>
        </w:tc>
        <w:tc>
          <w:tcPr/>
          <w:p>
            <w:pPr>
              <w:pStyle w:val="Compact"/>
            </w:pPr>
            <w:r>
              <w:t xml:space="preserve">Institution policy adds 30 extra days or a notarization requirement; the affiant sues under § 13105(b).</w:t>
            </w:r>
          </w:p>
        </w:tc>
        <w:tc>
          <w:tcPr/>
          <w:p>
            <w:pPr>
              <w:pStyle w:val="Compact"/>
            </w:pPr>
            <w:r>
              <w:t xml:space="preserve">Medium</w:t>
            </w:r>
          </w:p>
        </w:tc>
        <w:tc>
          <w:tcPr/>
          <w:p>
            <w:pPr>
              <w:pStyle w:val="Compact"/>
            </w:pPr>
            <w:r>
              <w:t xml:space="preserve">Medium</w:t>
            </w:r>
          </w:p>
        </w:tc>
        <w:tc>
          <w:tcPr/>
          <w:p>
            <w:pPr>
              <w:pStyle w:val="Compact"/>
            </w:pPr>
            <w:r>
              <w:t xml:space="preserve">§ 13105(b); § 12572</w:t>
            </w:r>
          </w:p>
        </w:tc>
      </w:tr>
      <w:tr>
        <w:tc>
          <w:tcPr/>
          <w:p>
            <w:pPr>
              <w:pStyle w:val="Compact"/>
            </w:pPr>
            <w:r>
              <w:t xml:space="preserve">E12</w:t>
            </w:r>
          </w:p>
        </w:tc>
        <w:tc>
          <w:tcPr/>
          <w:p>
            <w:pPr>
              <w:pStyle w:val="Compact"/>
            </w:pPr>
            <w:r>
              <w:t xml:space="preserve">Nonresident decedent; Oregon personal representative presents a § 13101 affidavit.</w:t>
            </w:r>
          </w:p>
        </w:tc>
        <w:tc>
          <w:tcPr/>
          <w:p>
            <w:pPr>
              <w:pStyle w:val="Compact"/>
            </w:pPr>
            <w:r>
              <w:t xml:space="preserve">Medium</w:t>
            </w:r>
          </w:p>
        </w:tc>
        <w:tc>
          <w:tcPr/>
          <w:p>
            <w:pPr>
              <w:pStyle w:val="Compact"/>
            </w:pPr>
            <w:r>
              <w:t xml:space="preserve">Medium</w:t>
            </w:r>
          </w:p>
        </w:tc>
        <w:tc>
          <w:tcPr/>
          <w:p>
            <w:pPr>
              <w:pStyle w:val="Compact"/>
            </w:pPr>
            <w:r>
              <w:t xml:space="preserve">§§ 12570–12573;</w:t>
            </w:r>
            <w:r>
              <w:t xml:space="preserve"> </w:t>
            </w:r>
            <w:r>
              <w:rPr>
                <w:i/>
                <w:iCs/>
              </w:rPr>
              <w:t xml:space="preserve">Smith v. Cimmet</w:t>
            </w:r>
            <w:r>
              <w:t xml:space="preserve"> </w:t>
            </w:r>
            <w:r>
              <w:t xml:space="preserve">(2011) 199 Cal.App.4th 1381 (read in part; describes the small-estate exception for foreign representatives)</w:t>
            </w:r>
          </w:p>
        </w:tc>
      </w:tr>
      <w:tr>
        <w:tc>
          <w:tcPr/>
          <w:p>
            <w:pPr>
              <w:pStyle w:val="Compact"/>
            </w:pPr>
            <w:r>
              <w:t xml:space="preserve">E13</w:t>
            </w:r>
          </w:p>
        </w:tc>
        <w:tc>
          <w:tcPr/>
          <w:p>
            <w:pPr>
              <w:pStyle w:val="Compact"/>
            </w:pPr>
            <w:r>
              <w:t xml:space="preserve">Value of California property was under the limit at death but over it at affidavit date, or the reverse.</w:t>
            </w:r>
          </w:p>
        </w:tc>
        <w:tc>
          <w:tcPr/>
          <w:p>
            <w:pPr>
              <w:pStyle w:val="Compact"/>
            </w:pPr>
            <w:r>
              <w:t xml:space="preserve">Medium</w:t>
            </w:r>
          </w:p>
        </w:tc>
        <w:tc>
          <w:tcPr/>
          <w:p>
            <w:pPr>
              <w:pStyle w:val="Compact"/>
            </w:pPr>
            <w:r>
              <w:t xml:space="preserve">Low</w:t>
            </w:r>
          </w:p>
        </w:tc>
        <w:tc>
          <w:tcPr/>
          <w:p>
            <w:pPr>
              <w:pStyle w:val="Compact"/>
            </w:pPr>
            <w:r>
              <w:t xml:space="preserve">§ 13101(a)(5) "current". Reviewer inference</w:t>
            </w:r>
          </w:p>
        </w:tc>
      </w:tr>
      <w:tr>
        <w:tc>
          <w:tcPr/>
          <w:p>
            <w:pPr>
              <w:pStyle w:val="Compact"/>
            </w:pPr>
            <w:r>
              <w:t xml:space="preserve">E14</w:t>
            </w:r>
          </w:p>
        </w:tc>
        <w:tc>
          <w:tcPr/>
          <w:p>
            <w:pPr>
              <w:pStyle w:val="Compact"/>
            </w:pPr>
            <w:r>
              <w:t xml:space="preserve">Account titled "A in trust for B" but is actually a formal trust account.</w:t>
            </w:r>
          </w:p>
        </w:tc>
        <w:tc>
          <w:tcPr/>
          <w:p>
            <w:pPr>
              <w:pStyle w:val="Compact"/>
            </w:pPr>
            <w:r>
              <w:t xml:space="preserve">Medium</w:t>
            </w:r>
          </w:p>
        </w:tc>
        <w:tc>
          <w:tcPr/>
          <w:p>
            <w:pPr>
              <w:pStyle w:val="Compact"/>
            </w:pPr>
            <w:r>
              <w:t xml:space="preserve">Low</w:t>
            </w:r>
          </w:p>
        </w:tc>
        <w:tc>
          <w:tcPr/>
          <w:p>
            <w:pPr>
              <w:pStyle w:val="Compact"/>
            </w:pPr>
            <w:r>
              <w:t xml:space="preserve">§ 80; § 5406 (pay as Totten absent written notice)</w:t>
            </w:r>
          </w:p>
        </w:tc>
      </w:tr>
      <w:tr>
        <w:tc>
          <w:tcPr/>
          <w:p>
            <w:pPr>
              <w:pStyle w:val="Compact"/>
            </w:pPr>
            <w:r>
              <w:t xml:space="preserve">E15</w:t>
            </w:r>
          </w:p>
        </w:tc>
        <w:tc>
          <w:tcPr/>
          <w:p>
            <w:pPr>
              <w:pStyle w:val="Compact"/>
            </w:pPr>
            <w:r>
              <w:t xml:space="preserve">Spouses' joint account expressly titled "community property".</w:t>
            </w:r>
          </w:p>
        </w:tc>
        <w:tc>
          <w:tcPr/>
          <w:p>
            <w:pPr>
              <w:pStyle w:val="Compact"/>
            </w:pPr>
            <w:r>
              <w:t xml:space="preserve">Medium</w:t>
            </w:r>
          </w:p>
        </w:tc>
        <w:tc>
          <w:tcPr/>
          <w:p>
            <w:pPr>
              <w:pStyle w:val="Compact"/>
            </w:pPr>
            <w:r>
              <w:t xml:space="preserve">Low</w:t>
            </w:r>
          </w:p>
        </w:tc>
        <w:tc>
          <w:tcPr/>
          <w:p>
            <w:pPr>
              <w:pStyle w:val="Compact"/>
            </w:pPr>
            <w:r>
              <w:t xml:space="preserve">§ 5307</w:t>
            </w:r>
          </w:p>
        </w:tc>
      </w:tr>
      <w:tr>
        <w:tc>
          <w:tcPr/>
          <w:p>
            <w:pPr>
              <w:pStyle w:val="Compact"/>
            </w:pPr>
            <w:r>
              <w:t xml:space="preserve">E16</w:t>
            </w:r>
          </w:p>
        </w:tc>
        <w:tc>
          <w:tcPr/>
          <w:p>
            <w:pPr>
              <w:pStyle w:val="Compact"/>
            </w:pPr>
            <w:r>
              <w:t xml:space="preserve">FTB order to withhold or IRS levy received after death.</w:t>
            </w:r>
          </w:p>
        </w:tc>
        <w:tc>
          <w:tcPr/>
          <w:p>
            <w:pPr>
              <w:pStyle w:val="Compact"/>
            </w:pPr>
            <w:r>
              <w:t xml:space="preserve">Medium</w:t>
            </w:r>
          </w:p>
        </w:tc>
        <w:tc>
          <w:tcPr/>
          <w:p>
            <w:pPr>
              <w:pStyle w:val="Compact"/>
            </w:pPr>
            <w:r>
              <w:t xml:space="preserve">Low</w:t>
            </w:r>
          </w:p>
        </w:tc>
        <w:tc>
          <w:tcPr/>
          <w:p>
            <w:pPr>
              <w:pStyle w:val="Compact"/>
            </w:pPr>
            <w:r>
              <w:t xml:space="preserve">Rev. &amp; Tax. Code § 18670. Federal levy not researched</w:t>
            </w:r>
          </w:p>
        </w:tc>
      </w:tr>
      <w:tr>
        <w:tc>
          <w:tcPr/>
          <w:p>
            <w:pPr>
              <w:pStyle w:val="Compact"/>
            </w:pPr>
            <w:r>
              <w:t xml:space="preserve">E17</w:t>
            </w:r>
          </w:p>
        </w:tc>
        <w:tc>
          <w:tcPr/>
          <w:p>
            <w:pPr>
              <w:pStyle w:val="Compact"/>
            </w:pPr>
            <w:r>
              <w:t xml:space="preserve">Decedent received Medi-Cal at age 55 or older; no surviving spouse.</w:t>
            </w:r>
          </w:p>
        </w:tc>
        <w:tc>
          <w:tcPr/>
          <w:p>
            <w:pPr>
              <w:pStyle w:val="Compact"/>
            </w:pPr>
            <w:r>
              <w:t xml:space="preserve">Low (institution)</w:t>
            </w:r>
          </w:p>
        </w:tc>
        <w:tc>
          <w:tcPr/>
          <w:p>
            <w:pPr>
              <w:pStyle w:val="Compact"/>
            </w:pPr>
            <w:r>
              <w:t xml:space="preserve">Medium</w:t>
            </w:r>
          </w:p>
        </w:tc>
        <w:tc>
          <w:tcPr/>
          <w:p>
            <w:pPr>
              <w:pStyle w:val="Compact"/>
            </w:pPr>
            <w:r>
              <w:t xml:space="preserve">Prob. Code § 215; W&amp;I § 14009.5. Reviewer inference on the bank's role</w:t>
            </w:r>
          </w:p>
        </w:tc>
      </w:tr>
    </w:tbl>
    <w:p>
      <w:r>
        <w:pict>
          <v:rect style="width:0;height:1.5pt" o:hralign="center" o:hrstd="t" o:hr="t"/>
        </w:pict>
      </w:r>
    </w:p>
    <w:bookmarkEnd w:id="89"/>
    <w:bookmarkStart w:id="97" w:name="sources-consulted"/>
    <w:p>
      <w:pPr>
        <w:pStyle w:val="Heading2"/>
      </w:pPr>
      <w:r>
        <w:t xml:space="preserve">Sources consulted</w:t>
      </w:r>
    </w:p>
    <w:p>
      <w:pPr>
        <w:pStyle w:val="FirstParagraph"/>
      </w:pPr>
      <w:r>
        <w:t xml:space="preserve">All were accessed 2026-10-09.</w:t>
      </w:r>
    </w:p>
    <w:p>
      <w:pPr>
        <w:pStyle w:val="BodyText"/>
      </w:pPr>
      <w:r>
        <w:rPr>
          <w:b/>
          <w:bCs/>
        </w:rPr>
        <w:t xml:space="preserve">Primary sources:</w:t>
      </w:r>
    </w:p>
    <w:p>
      <w:pPr>
        <w:pStyle w:val="Compact"/>
        <w:numPr>
          <w:ilvl w:val="0"/>
          <w:numId w:val="1035"/>
        </w:numPr>
      </w:pPr>
      <w:r>
        <w:rPr>
          <w:b/>
          <w:bCs/>
        </w:rPr>
        <w:t xml:space="preserve">California code (mirror):</w:t>
      </w:r>
      <w:r>
        <w:t xml:space="preserve"> </w:t>
      </w:r>
      <w:r>
        <w:t xml:space="preserve">Probate, Code of Civil Procedure, Civil, Government, Financial, Revenue and Taxation, and Welfare and Institutions Code sections, read at</w:t>
      </w:r>
      <w:r>
        <w:t xml:space="preserve"> </w:t>
      </w:r>
      <w:r>
        <w:rPr>
          <w:rStyle w:val="VerbatimChar"/>
        </w:rPr>
        <w:t xml:space="preserve">https://california.public.law/codes/&lt;code&gt;_section_&lt;n&gt;</w:t>
      </w:r>
      <w:r>
        <w:t xml:space="preserve">.</w:t>
      </w:r>
    </w:p>
    <w:p>
      <w:pPr>
        <w:pStyle w:val="Compact"/>
        <w:numPr>
          <w:ilvl w:val="1"/>
          <w:numId w:val="1036"/>
        </w:numPr>
      </w:pPr>
      <w:r>
        <w:rPr>
          <w:b/>
          <w:bCs/>
        </w:rPr>
        <w:t xml:space="preserve">Prob. Code:</w:t>
      </w:r>
      <w:r>
        <w:t xml:space="preserve"> </w:t>
      </w:r>
      <w:r>
        <w:t xml:space="preserve">37, 78, 80, 100, 215, 220, 221, 222, 223, 250, 251, 252, 254, 255, 256, 257, 259, 890, 5000, 5002, 5003, 5010, 5011, 5012, 5013, 5020, 5021, 5022, 5023, 5030, 5031, 5032, 5040, 5042, 5044, 5048, 5100, 5122, 5124, 5126, 5128, 5130, 5132, 5134, 5136, 5139, 5140, 5142, 5144, 5146, 5148, 5150, 5152, 5201, 5205, 5301, 5302, 5303, 5304, 5305, 5306, 5307, 5401, 5402, 5403, 5404, 5405, 5406, 5407, 5600, 5602, 5604, 6401, 6402, 6403, 9202, 12570, 12571, 12572, 12573, 13006, 13050, 13051, 13100, 13100.5, 13101, 13102, 13103, 13104, 13105, 13106, 13106.5, 13107, 13107.5, 13108, 13109, 13109.5, 13110, 13110.5, 13111, 13113, 13113.5, 13114, 13115, 13116, 13117, 13151, 13152, 13500, 13501, 13502, 13503, 13540, 13541, 13542, 13545, 13550, 13551, 13552, 13553, 13554, 13560, 13561, 13562, 13563, 13600, 13601, 13602, 13603, 13604, 13605, 13606, 13650, 13651, 13655, 13656, 13657, 13658, 13659, 13660, 21104, 21109.</w:t>
      </w:r>
    </w:p>
    <w:p>
      <w:pPr>
        <w:pStyle w:val="Compact"/>
        <w:numPr>
          <w:ilvl w:val="1"/>
          <w:numId w:val="1036"/>
        </w:numPr>
      </w:pPr>
      <w:r>
        <w:rPr>
          <w:b/>
          <w:bCs/>
        </w:rPr>
        <w:t xml:space="preserve">CCP:</w:t>
      </w:r>
      <w:r>
        <w:t xml:space="preserve"> </w:t>
      </w:r>
      <w:r>
        <w:t xml:space="preserve">12, 12a, 12b, 12c, 1300, 1415, 1513, 1513.5, 1516, 1520, 1530, 1532, 1560.</w:t>
      </w:r>
    </w:p>
    <w:p>
      <w:pPr>
        <w:pStyle w:val="Compact"/>
        <w:numPr>
          <w:ilvl w:val="1"/>
          <w:numId w:val="1036"/>
        </w:numPr>
      </w:pPr>
      <w:r>
        <w:rPr>
          <w:b/>
          <w:bCs/>
        </w:rPr>
        <w:t xml:space="preserve">Civ. Code:</w:t>
      </w:r>
      <w:r>
        <w:t xml:space="preserve"> </w:t>
      </w:r>
      <w:r>
        <w:t xml:space="preserve">7, 10, 11.</w:t>
      </w:r>
    </w:p>
    <w:p>
      <w:pPr>
        <w:pStyle w:val="Compact"/>
        <w:numPr>
          <w:ilvl w:val="1"/>
          <w:numId w:val="1036"/>
        </w:numPr>
      </w:pPr>
      <w:r>
        <w:rPr>
          <w:b/>
          <w:bCs/>
        </w:rPr>
        <w:t xml:space="preserve">Gov. Code:</w:t>
      </w:r>
      <w:r>
        <w:t xml:space="preserve"> </w:t>
      </w:r>
      <w:r>
        <w:t xml:space="preserve">6800, 6803, 6804, 6806, 6807.</w:t>
      </w:r>
    </w:p>
    <w:p>
      <w:pPr>
        <w:pStyle w:val="Compact"/>
        <w:numPr>
          <w:ilvl w:val="1"/>
          <w:numId w:val="1036"/>
        </w:numPr>
      </w:pPr>
      <w:r>
        <w:rPr>
          <w:b/>
          <w:bCs/>
        </w:rPr>
        <w:t xml:space="preserve">Fin. Code:</w:t>
      </w:r>
      <w:r>
        <w:t xml:space="preserve"> </w:t>
      </w:r>
      <w:r>
        <w:t xml:space="preserve">1450, 1451, 1452, 6661, 14854, 14855, 14860, 14861, 14863, 14865, 14866, 14867.</w:t>
      </w:r>
    </w:p>
    <w:p>
      <w:pPr>
        <w:pStyle w:val="Compact"/>
        <w:numPr>
          <w:ilvl w:val="1"/>
          <w:numId w:val="1036"/>
        </w:numPr>
      </w:pPr>
      <w:r>
        <w:rPr>
          <w:b/>
          <w:bCs/>
        </w:rPr>
        <w:t xml:space="preserve">Rev. &amp; Tax. Code:</w:t>
      </w:r>
      <w:r>
        <w:t xml:space="preserve"> </w:t>
      </w:r>
      <w:r>
        <w:t xml:space="preserve">18670.</w:t>
      </w:r>
    </w:p>
    <w:p>
      <w:pPr>
        <w:pStyle w:val="Compact"/>
        <w:numPr>
          <w:ilvl w:val="1"/>
          <w:numId w:val="1036"/>
        </w:numPr>
      </w:pPr>
      <w:r>
        <w:rPr>
          <w:b/>
          <w:bCs/>
        </w:rPr>
        <w:t xml:space="preserve">W&amp;I Code:</w:t>
      </w:r>
      <w:r>
        <w:t xml:space="preserve"> </w:t>
      </w:r>
      <w:r>
        <w:t xml:space="preserve">14009.5.</w:t>
      </w:r>
    </w:p>
    <w:p>
      <w:pPr>
        <w:pStyle w:val="Compact"/>
        <w:numPr>
          <w:ilvl w:val="1"/>
          <w:numId w:val="1036"/>
        </w:numPr>
      </w:pPr>
      <w:r>
        <w:rPr>
          <w:b/>
          <w:bCs/>
        </w:rPr>
        <w:t xml:space="preserve">Pages not found on the mirror:</w:t>
      </w:r>
      <w:r>
        <w:t xml:space="preserve"> </w:t>
      </w:r>
      <w:r>
        <w:t xml:space="preserve">Prob. Code §§ 13112, 5101–5105, 5129, 5149, 5156, 5160, 13543, 13544, 5601, 5603; Fin. Code §§ 852, 853, 854, 14862, 14864.</w:t>
      </w:r>
    </w:p>
    <w:p>
      <w:pPr>
        <w:pStyle w:val="Compact"/>
        <w:numPr>
          <w:ilvl w:val="0"/>
          <w:numId w:val="1035"/>
        </w:numPr>
      </w:pPr>
      <w:r>
        <w:rPr>
          <w:b/>
          <w:bCs/>
        </w:rPr>
        <w:t xml:space="preserve">Judicial Council:</w:t>
      </w:r>
      <w:r>
        <w:t xml:space="preserve"> </w:t>
      </w:r>
      <w:r>
        <w:t xml:space="preserve">"Maximum Amounts for Determining Eligibility for Summary Succession Procedures",</w:t>
      </w:r>
      <w:r>
        <w:t xml:space="preserve"> </w:t>
      </w:r>
      <w:hyperlink r:id="rId25">
        <w:r>
          <w:rPr>
            <w:rStyle w:val="Hyperlink"/>
          </w:rPr>
          <w:t xml:space="preserve">https://courts.ca.gov/system/files/file/probate-code-890-adjusted-amounts.pdf</w:t>
        </w:r>
      </w:hyperlink>
      <w:r>
        <w:t xml:space="preserve"> </w:t>
      </w:r>
      <w:r>
        <w:t xml:space="preserve">(SHA-256</w:t>
      </w:r>
      <w:r>
        <w:t xml:space="preserve"> </w:t>
      </w:r>
      <w:r>
        <w:rPr>
          <w:rStyle w:val="VerbatimChar"/>
        </w:rPr>
        <w:t xml:space="preserve">cb30e97d3b4322512bcd3a5cda8eff5eb3de26c66a0473d9a15295e076eedf56</w:t>
      </w:r>
      <w:r>
        <w:t xml:space="preserve">).</w:t>
      </w:r>
    </w:p>
    <w:p>
      <w:pPr>
        <w:pStyle w:val="Compact"/>
        <w:numPr>
          <w:ilvl w:val="0"/>
          <w:numId w:val="1035"/>
        </w:numPr>
      </w:pPr>
      <w:r>
        <w:rPr>
          <w:b/>
          <w:bCs/>
        </w:rPr>
        <w:t xml:space="preserve">eCFR:</w:t>
      </w:r>
      <w:r>
        <w:t xml:space="preserve"> </w:t>
      </w:r>
      <w:r>
        <w:t xml:space="preserve">31 CFR 210.10, via</w:t>
      </w:r>
      <w:r>
        <w:t xml:space="preserve"> </w:t>
      </w:r>
      <w:r>
        <w:rPr>
          <w:rStyle w:val="VerbatimChar"/>
        </w:rPr>
        <w:t xml:space="preserve">https://www.ecfr.gov/api/versioner/v1/full/2026-09-01/title-31.xml?part=210&amp;section=210.10</w:t>
      </w:r>
      <w:r>
        <w:t xml:space="preserve">.</w:t>
      </w:r>
    </w:p>
    <w:p>
      <w:pPr>
        <w:pStyle w:val="Compact"/>
        <w:numPr>
          <w:ilvl w:val="0"/>
          <w:numId w:val="1035"/>
        </w:numPr>
      </w:pPr>
      <w:r>
        <w:rPr>
          <w:b/>
          <w:bCs/>
        </w:rPr>
        <w:t xml:space="preserve">Cases (full text):</w:t>
      </w:r>
    </w:p>
    <w:p>
      <w:pPr>
        <w:pStyle w:val="Compact"/>
        <w:numPr>
          <w:ilvl w:val="1"/>
          <w:numId w:val="1037"/>
        </w:numPr>
      </w:pPr>
      <w:r>
        <w:rPr>
          <w:i/>
          <w:iCs/>
        </w:rPr>
        <w:t xml:space="preserve">Placencia v. Strazicich</w:t>
      </w:r>
      <w:r>
        <w:t xml:space="preserve">, slip opinion G055631 (filed 11/26/19),</w:t>
      </w:r>
      <w:r>
        <w:t xml:space="preserve"> </w:t>
      </w:r>
      <w:hyperlink r:id="rId90">
        <w:r>
          <w:rPr>
            <w:rStyle w:val="Hyperlink"/>
          </w:rPr>
          <w:t xml:space="preserve">https://cases.justia.com/california/court-of-appeal/2019-g055631.pdf</w:t>
        </w:r>
      </w:hyperlink>
    </w:p>
    <w:p>
      <w:pPr>
        <w:pStyle w:val="Compact"/>
        <w:numPr>
          <w:ilvl w:val="1"/>
          <w:numId w:val="1037"/>
        </w:numPr>
      </w:pPr>
      <w:r>
        <w:rPr>
          <w:i/>
          <w:iCs/>
        </w:rPr>
        <w:t xml:space="preserve">Stevens v. Tri Counties Bank</w:t>
      </w:r>
      <w:r>
        <w:t xml:space="preserve"> </w:t>
      </w:r>
      <w:r>
        <w:t xml:space="preserve">(2009) 177 Cal.App.4th 236,</w:t>
      </w:r>
      <w:r>
        <w:t xml:space="preserve"> </w:t>
      </w:r>
      <w:hyperlink r:id="rId37">
        <w:r>
          <w:rPr>
            <w:rStyle w:val="Hyperlink"/>
          </w:rPr>
          <w:t xml:space="preserve">https://static.case.law/cal-app-4th/177/cases/0236-01.json</w:t>
        </w:r>
      </w:hyperlink>
    </w:p>
    <w:p>
      <w:pPr>
        <w:pStyle w:val="Compact"/>
        <w:numPr>
          <w:ilvl w:val="1"/>
          <w:numId w:val="1037"/>
        </w:numPr>
      </w:pPr>
      <w:r>
        <w:rPr>
          <w:i/>
          <w:iCs/>
        </w:rPr>
        <w:t xml:space="preserve">Araiza v. Younkin</w:t>
      </w:r>
      <w:r>
        <w:t xml:space="preserve"> </w:t>
      </w:r>
      <w:r>
        <w:t xml:space="preserve">(2010) 188 Cal.App.4th 1120,</w:t>
      </w:r>
      <w:r>
        <w:t xml:space="preserve"> </w:t>
      </w:r>
      <w:hyperlink r:id="rId30">
        <w:r>
          <w:rPr>
            <w:rStyle w:val="Hyperlink"/>
          </w:rPr>
          <w:t xml:space="preserve">https://static.case.law/cal-app-4th/188/cases/1120-01.json</w:t>
        </w:r>
      </w:hyperlink>
    </w:p>
    <w:p>
      <w:pPr>
        <w:pStyle w:val="Compact"/>
        <w:numPr>
          <w:ilvl w:val="1"/>
          <w:numId w:val="1037"/>
        </w:numPr>
      </w:pPr>
      <w:r>
        <w:rPr>
          <w:i/>
          <w:iCs/>
        </w:rPr>
        <w:t xml:space="preserve">Mautner v. Peralta</w:t>
      </w:r>
      <w:r>
        <w:t xml:space="preserve"> </w:t>
      </w:r>
      <w:r>
        <w:t xml:space="preserve">(1989) 215 Cal.App.3d 796,</w:t>
      </w:r>
      <w:r>
        <w:t xml:space="preserve"> </w:t>
      </w:r>
      <w:hyperlink r:id="rId48">
        <w:r>
          <w:rPr>
            <w:rStyle w:val="Hyperlink"/>
          </w:rPr>
          <w:t xml:space="preserve">https://static.case.law/cal-app-3d/215/cases/0796-01.json</w:t>
        </w:r>
      </w:hyperlink>
    </w:p>
    <w:p>
      <w:pPr>
        <w:pStyle w:val="Compact"/>
        <w:numPr>
          <w:ilvl w:val="1"/>
          <w:numId w:val="1037"/>
        </w:numPr>
      </w:pPr>
      <w:r>
        <w:rPr>
          <w:i/>
          <w:iCs/>
        </w:rPr>
        <w:t xml:space="preserve">Lee v. Yang</w:t>
      </w:r>
      <w:r>
        <w:t xml:space="preserve"> </w:t>
      </w:r>
      <w:r>
        <w:t xml:space="preserve">(2003) 111 Cal.App.4th 481,</w:t>
      </w:r>
      <w:r>
        <w:t xml:space="preserve"> </w:t>
      </w:r>
      <w:hyperlink r:id="rId91">
        <w:r>
          <w:rPr>
            <w:rStyle w:val="Hyperlink"/>
          </w:rPr>
          <w:t xml:space="preserve">https://static.case.law/cal-app-4th/111/cases/0481-01.json</w:t>
        </w:r>
      </w:hyperlink>
    </w:p>
    <w:p>
      <w:pPr>
        <w:pStyle w:val="Compact"/>
        <w:numPr>
          <w:ilvl w:val="1"/>
          <w:numId w:val="1037"/>
        </w:numPr>
      </w:pPr>
      <w:r>
        <w:rPr>
          <w:i/>
          <w:iCs/>
        </w:rPr>
        <w:t xml:space="preserve">Smith v. Cimmet</w:t>
      </w:r>
      <w:r>
        <w:t xml:space="preserve"> </w:t>
      </w:r>
      <w:r>
        <w:t xml:space="preserve">(2011) 199 Cal.App.4th 1381,</w:t>
      </w:r>
      <w:r>
        <w:t xml:space="preserve"> </w:t>
      </w:r>
      <w:hyperlink r:id="rId92">
        <w:r>
          <w:rPr>
            <w:rStyle w:val="Hyperlink"/>
          </w:rPr>
          <w:t xml:space="preserve">https://static.case.law/cal-app-4th/199/cases/1381-01.json</w:t>
        </w:r>
      </w:hyperlink>
    </w:p>
    <w:p>
      <w:pPr>
        <w:pStyle w:val="Compact"/>
        <w:numPr>
          <w:ilvl w:val="1"/>
          <w:numId w:val="1037"/>
        </w:numPr>
      </w:pPr>
      <w:r>
        <w:rPr>
          <w:i/>
          <w:iCs/>
        </w:rPr>
        <w:t xml:space="preserve">Evangelho v. Presoto</w:t>
      </w:r>
      <w:r>
        <w:t xml:space="preserve"> </w:t>
      </w:r>
      <w:r>
        <w:t xml:space="preserve">(1998) 67 Cal.App.4th 615,</w:t>
      </w:r>
      <w:r>
        <w:t xml:space="preserve"> </w:t>
      </w:r>
      <w:hyperlink r:id="rId93">
        <w:r>
          <w:rPr>
            <w:rStyle w:val="Hyperlink"/>
          </w:rPr>
          <w:t xml:space="preserve">https://static.case.law/cal-app-4th/67/cases/0615-01.json</w:t>
        </w:r>
      </w:hyperlink>
      <w:r>
        <w:t xml:space="preserve"> </w:t>
      </w:r>
      <w:r>
        <w:t xml:space="preserve">(not relied on)</w:t>
      </w:r>
    </w:p>
    <w:p>
      <w:pPr>
        <w:pStyle w:val="Compact"/>
        <w:numPr>
          <w:ilvl w:val="1"/>
          <w:numId w:val="1037"/>
        </w:numPr>
      </w:pPr>
      <w:r>
        <w:rPr>
          <w:i/>
          <w:iCs/>
        </w:rPr>
        <w:t xml:space="preserve">Reich v. Reich</w:t>
      </w:r>
      <w:r>
        <w:t xml:space="preserve">, slip opinion B332714 (2024),</w:t>
      </w:r>
      <w:r>
        <w:t xml:space="preserve"> </w:t>
      </w:r>
      <w:hyperlink r:id="rId94">
        <w:r>
          <w:rPr>
            <w:rStyle w:val="Hyperlink"/>
          </w:rPr>
          <w:t xml:space="preserve">https://cases.justia.com/california/court-of-appeal/2024-b332714.pdf</w:t>
        </w:r>
      </w:hyperlink>
      <w:r>
        <w:t xml:space="preserve"> </w:t>
      </w:r>
      <w:r>
        <w:t xml:space="preserve">(omitted-spouse and IRA case; not relied on)</w:t>
      </w:r>
    </w:p>
    <w:p>
      <w:pPr>
        <w:pStyle w:val="Compact"/>
        <w:numPr>
          <w:ilvl w:val="0"/>
          <w:numId w:val="1035"/>
        </w:numPr>
      </w:pPr>
      <w:r>
        <w:rPr>
          <w:b/>
          <w:bCs/>
        </w:rPr>
        <w:t xml:space="preserve">Case search:</w:t>
      </w:r>
      <w:r>
        <w:t xml:space="preserve"> </w:t>
      </w:r>
      <w:r>
        <w:t xml:space="preserve">CourtListener search API,</w:t>
      </w:r>
      <w:r>
        <w:t xml:space="preserve"> </w:t>
      </w:r>
      <w:hyperlink r:id="rId95">
        <w:r>
          <w:rPr>
            <w:rStyle w:val="Hyperlink"/>
          </w:rPr>
          <w:t xml:space="preserve">https://www.courtlistener.com/api/rest/v4/search/</w:t>
        </w:r>
      </w:hyperlink>
      <w:r>
        <w:t xml:space="preserve"> </w:t>
      </w:r>
      <w:r>
        <w:t xml:space="preserve">(case discovery only; rate-limited).</w:t>
      </w:r>
    </w:p>
    <w:p>
      <w:pPr>
        <w:pStyle w:val="FirstParagraph"/>
      </w:pPr>
      <w:r>
        <w:rPr>
          <w:b/>
          <w:bCs/>
        </w:rPr>
        <w:t xml:space="preserve">Secondary sources (used only to locate citations):</w:t>
      </w:r>
    </w:p>
    <w:p>
      <w:pPr>
        <w:pStyle w:val="Compact"/>
        <w:numPr>
          <w:ilvl w:val="0"/>
          <w:numId w:val="1038"/>
        </w:numPr>
      </w:pPr>
      <w:r>
        <w:t xml:space="preserve">vLex listing for the</w:t>
      </w:r>
      <w:r>
        <w:t xml:space="preserve"> </w:t>
      </w:r>
      <w:r>
        <w:rPr>
          <w:i/>
          <w:iCs/>
        </w:rPr>
        <w:t xml:space="preserve">Placencia</w:t>
      </w:r>
      <w:r>
        <w:t xml:space="preserve"> </w:t>
      </w:r>
      <w:r>
        <w:t xml:space="preserve">reporter citation:</w:t>
      </w:r>
      <w:r>
        <w:t xml:space="preserve"> </w:t>
      </w:r>
      <w:hyperlink r:id="rId96">
        <w:r>
          <w:rPr>
            <w:rStyle w:val="Hyperlink"/>
          </w:rPr>
          <w:t xml:space="preserve">https://case-law.vlex.com/vid/placencia-v-strazicich-g055631-889690038</w:t>
        </w:r>
      </w:hyperlink>
    </w:p>
    <w:p>
      <w:pPr>
        <w:pStyle w:val="Compact"/>
        <w:numPr>
          <w:ilvl w:val="0"/>
          <w:numId w:val="1038"/>
        </w:numPr>
      </w:pPr>
      <w:r>
        <w:t xml:space="preserve">Web search result summaries about</w:t>
      </w:r>
      <w:r>
        <w:t xml:space="preserve"> </w:t>
      </w:r>
      <w:r>
        <w:rPr>
          <w:i/>
          <w:iCs/>
        </w:rPr>
        <w:t xml:space="preserve">Estate of O'Connor</w:t>
      </w:r>
      <w:r>
        <w:t xml:space="preserve"> </w:t>
      </w:r>
      <w:r>
        <w:t xml:space="preserve">(not read).</w:t>
      </w:r>
    </w:p>
    <w:p>
      <w:pPr>
        <w:pStyle w:val="FirstParagraph"/>
      </w:pPr>
      <w:r>
        <w:rPr>
          <w:b/>
          <w:bCs/>
        </w:rPr>
        <w:t xml:space="preserve">Attempted and not available:</w:t>
      </w:r>
      <w:r>
        <w:t xml:space="preserve"> </w:t>
      </w:r>
      <w:r>
        <w:t xml:space="preserve">leginfo.legislature.ca.gov (HTTP 403); law.justia.com (HTTP 403 via WebFetch); CourtListener opinion pages (bot challenge) and cluster API (authentication required).</w:t>
      </w:r>
    </w:p>
    <w:p>
      <w:r>
        <w:pict>
          <v:rect style="width:0;height:1.5pt" o:hralign="center" o:hrstd="t" o:hr="t"/>
        </w:pict>
      </w:r>
    </w:p>
    <w:bookmarkEnd w:id="97"/>
    <w:bookmarkStart w:id="98" w:name="items-the-attorney-must-confirm"/>
    <w:p>
      <w:pPr>
        <w:pStyle w:val="Heading2"/>
      </w:pPr>
      <w:r>
        <w:t xml:space="preserve">Items the attorney must confirm</w:t>
      </w:r>
    </w:p>
    <w:p>
      <w:pPr>
        <w:pStyle w:val="Compact"/>
        <w:numPr>
          <w:ilvl w:val="0"/>
          <w:numId w:val="1039"/>
        </w:numPr>
      </w:pPr>
      <w:r>
        <w:t xml:space="preserve">Every statute quoted above, against leginfo (Q9). Priority: §§ 13100, 13101, 13151 (AB 2016), 5302, 5405, 5040, 13105, 13106.</w:t>
      </w:r>
    </w:p>
    <w:p>
      <w:pPr>
        <w:pStyle w:val="Compact"/>
        <w:numPr>
          <w:ilvl w:val="0"/>
          <w:numId w:val="1039"/>
        </w:numPr>
      </w:pPr>
      <w:r>
        <w:rPr>
          <w:i/>
          <w:iCs/>
        </w:rPr>
        <w:t xml:space="preserve">Placencia v. Strazicich</w:t>
      </w:r>
      <w:r>
        <w:t xml:space="preserve"> </w:t>
      </w:r>
      <w:r>
        <w:t xml:space="preserve">reporter citation (42 Cal.App.5th 730), the effect of the 12/23/19 modification, and later history.</w:t>
      </w:r>
      <w:r>
        <w:t xml:space="preserve"> </w:t>
      </w:r>
      <w:r>
        <w:rPr>
          <w:i/>
          <w:iCs/>
        </w:rPr>
        <w:t xml:space="preserve">Araiza</w:t>
      </w:r>
      <w:r>
        <w:t xml:space="preserve">,</w:t>
      </w:r>
      <w:r>
        <w:t xml:space="preserve"> </w:t>
      </w:r>
      <w:r>
        <w:rPr>
          <w:i/>
          <w:iCs/>
        </w:rPr>
        <w:t xml:space="preserve">Stevens</w:t>
      </w:r>
      <w:r>
        <w:t xml:space="preserve"> </w:t>
      </w:r>
      <w:r>
        <w:t xml:space="preserve">and</w:t>
      </w:r>
      <w:r>
        <w:t xml:space="preserve"> </w:t>
      </w:r>
      <w:r>
        <w:rPr>
          <w:i/>
          <w:iCs/>
        </w:rPr>
        <w:t xml:space="preserve">Mautner</w:t>
      </w:r>
      <w:r>
        <w:t xml:space="preserve">: citator check.</w:t>
      </w:r>
    </w:p>
    <w:p>
      <w:pPr>
        <w:pStyle w:val="Compact"/>
        <w:numPr>
          <w:ilvl w:val="0"/>
          <w:numId w:val="1039"/>
        </w:numPr>
      </w:pPr>
      <w:r>
        <w:t xml:space="preserve">Q3: whether the earliest Path B date is death + 40 or death + 41, and whether CCP § 12a applies to the 40-day wait.</w:t>
      </w:r>
    </w:p>
    <w:p>
      <w:pPr>
        <w:pStyle w:val="Compact"/>
        <w:numPr>
          <w:ilvl w:val="0"/>
          <w:numId w:val="1039"/>
        </w:numPr>
      </w:pPr>
      <w:r>
        <w:t xml:space="preserve">Whether</w:t>
      </w:r>
      <w:r>
        <w:t xml:space="preserve"> </w:t>
      </w:r>
      <w:r>
        <w:rPr>
          <w:i/>
          <w:iCs/>
        </w:rPr>
        <w:t xml:space="preserve">Mautner</w:t>
      </w:r>
      <w:r>
        <w:t xml:space="preserve"> </w:t>
      </w:r>
      <w:r>
        <w:t xml:space="preserve">applies to § 13106 good-faith reliance. What notice should make Path B not determinable.</w:t>
      </w:r>
    </w:p>
    <w:p>
      <w:pPr>
        <w:pStyle w:val="Compact"/>
        <w:numPr>
          <w:ilvl w:val="0"/>
          <w:numId w:val="1039"/>
        </w:numPr>
      </w:pPr>
      <w:r>
        <w:t xml:space="preserve">§ 13105(b) fee exposure for policy-imposed extra requirements or delays (Q8), and the related ARCHITECTURE.md "stricter-only" policy model.</w:t>
      </w:r>
    </w:p>
    <w:p>
      <w:pPr>
        <w:pStyle w:val="Compact"/>
        <w:numPr>
          <w:ilvl w:val="0"/>
          <w:numId w:val="1039"/>
        </w:numPr>
      </w:pPr>
      <w:r>
        <w:t xml:space="preserve">Q2: the correct payment form for multiple affiants.</w:t>
      </w:r>
    </w:p>
    <w:p>
      <w:pPr>
        <w:pStyle w:val="Compact"/>
        <w:numPr>
          <w:ilvl w:val="0"/>
          <w:numId w:val="1039"/>
        </w:numPr>
      </w:pPr>
      <w:r>
        <w:t xml:space="preserve">Q5: whether to add a § 13656 court-order route for spouses, and what protection applies.</w:t>
      </w:r>
    </w:p>
    <w:p>
      <w:pPr>
        <w:pStyle w:val="Compact"/>
        <w:numPr>
          <w:ilvl w:val="0"/>
          <w:numId w:val="1039"/>
        </w:numPr>
      </w:pPr>
      <w:r>
        <w:t xml:space="preserve">Applying § 5040 to joint-account survivorship with a former spouse, and whether the institution is protected under § 5405 if it pays anyway.</w:t>
      </w:r>
    </w:p>
    <w:p>
      <w:pPr>
        <w:pStyle w:val="Compact"/>
        <w:numPr>
          <w:ilvl w:val="0"/>
          <w:numId w:val="1039"/>
        </w:numPr>
      </w:pPr>
      <w:r>
        <w:t xml:space="preserve">Whether the institution has any Medi-Cal notice duty under Prob. Code § 215 as a "person in possession of property of the decedent".</w:t>
      </w:r>
    </w:p>
    <w:p>
      <w:pPr>
        <w:pStyle w:val="Compact"/>
        <w:numPr>
          <w:ilvl w:val="0"/>
          <w:numId w:val="1039"/>
        </w:numPr>
      </w:pPr>
      <w:r>
        <w:t xml:space="preserve">Whether Fin. Code § 6661 is still operative. Federal preemption for national banks and federal savings associations. Treatment of federal levies (not researched).</w:t>
      </w:r>
    </w:p>
    <w:p>
      <w:pPr>
        <w:pStyle w:val="Compact"/>
        <w:numPr>
          <w:ilvl w:val="0"/>
          <w:numId w:val="1039"/>
        </w:numPr>
      </w:pPr>
      <w:r>
        <w:t xml:space="preserve">Handling of minor payees (§ 5407), survival proof (§§ 220–223, 6403, 21109), slayer notice (§ 256), escheated accounts (CCP §§ 1532, 1560), and Treasury reclamation (31 CFR 210.10).</w:t>
      </w:r>
    </w:p>
    <w:p>
      <w:pPr>
        <w:pStyle w:val="Compact"/>
        <w:numPr>
          <w:ilvl w:val="0"/>
          <w:numId w:val="1039"/>
        </w:numPr>
      </w:pPr>
      <w:r>
        <w:t xml:space="preserve">Rewording of the § 13106.5 not-determinable item, and of the Washington spec's California entry on will overrides (§ 5302(e)).</w:t>
      </w:r>
    </w:p>
    <w:bookmarkEnd w:id="98"/>
    <w:bookmarkEnd w:id="99"/>
    <w:sectPr>
      <w:footnotePr>
        <w:numRestart w:val="eachSect"/>
      </w:footnotePr>
      <w:pgSz w:h="12240" w:orient="landscape" w:w="15840"/>
      <w:pgMar w:bottom="1080" w:footer="720" w:gutter="0" w:header="72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1"/>
        <w:szCs w:val="21"/>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CellMar>
        <w:top w:type="dxa" w:w="60"/>
        <w:left w:type="dxa" w:w="100"/>
        <w:bottom w:type="dxa" w:w="60"/>
        <w:right w:type="dxa" w:w="100"/>
      </w:tblCellMar>
    </w:tblPr>
    <w:tblStylePr w:type="firstRow">
      <w:rPr>
        <w:b/>
      </w:rPr>
      <w:tcPr>
        <w:shd w:color="auto" w:fill="DCE6F2" w:val="clear"/>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6" Target="https://california.public.law/codes/code_of_civil_procedure_section_12" TargetMode="External" /><Relationship Type="http://schemas.openxmlformats.org/officeDocument/2006/relationships/hyperlink" Id="rId79" Target="https://california.public.law/codes/code_of_civil_procedure_section_1513" TargetMode="External" /><Relationship Type="http://schemas.openxmlformats.org/officeDocument/2006/relationships/hyperlink" Id="rId73" Target="https://california.public.law/codes/financial_code_section_1450" TargetMode="External" /><Relationship Type="http://schemas.openxmlformats.org/officeDocument/2006/relationships/hyperlink" Id="rId75" Target="https://california.public.law/codes/financial_code_section_14854" TargetMode="External" /><Relationship Type="http://schemas.openxmlformats.org/officeDocument/2006/relationships/hyperlink" Id="rId74" Target="https://california.public.law/codes/financial_code_section_6661" TargetMode="External" /><Relationship Type="http://schemas.openxmlformats.org/officeDocument/2006/relationships/hyperlink" Id="rId46" Target="https://california.public.law/codes/probate_code_section_12570" TargetMode="External" /><Relationship Type="http://schemas.openxmlformats.org/officeDocument/2006/relationships/hyperlink" Id="rId72" Target="https://california.public.law/codes/probate_code_section_12572" TargetMode="External" /><Relationship Type="http://schemas.openxmlformats.org/officeDocument/2006/relationships/hyperlink" Id="rId45" Target="https://california.public.law/codes/probate_code_section_13006" TargetMode="External" /><Relationship Type="http://schemas.openxmlformats.org/officeDocument/2006/relationships/hyperlink" Id="rId40" Target="https://california.public.law/codes/probate_code_section_13050" TargetMode="External" /><Relationship Type="http://schemas.openxmlformats.org/officeDocument/2006/relationships/hyperlink" Id="rId42" Target="https://california.public.law/codes/probate_code_section_13100" TargetMode="External" /><Relationship Type="http://schemas.openxmlformats.org/officeDocument/2006/relationships/hyperlink" Id="rId41" Target="https://california.public.law/codes/probate_code_section_13101" TargetMode="External" /><Relationship Type="http://schemas.openxmlformats.org/officeDocument/2006/relationships/hyperlink" Id="rId50" Target="https://california.public.law/codes/probate_code_section_13102" TargetMode="External" /><Relationship Type="http://schemas.openxmlformats.org/officeDocument/2006/relationships/hyperlink" Id="rId51" Target="https://california.public.law/codes/probate_code_section_13103" TargetMode="External" /><Relationship Type="http://schemas.openxmlformats.org/officeDocument/2006/relationships/hyperlink" Id="rId52" Target="https://california.public.law/codes/probate_code_section_13104" TargetMode="External" /><Relationship Type="http://schemas.openxmlformats.org/officeDocument/2006/relationships/hyperlink" Id="rId49" Target="https://california.public.law/codes/probate_code_section_13105" TargetMode="External" /><Relationship Type="http://schemas.openxmlformats.org/officeDocument/2006/relationships/hyperlink" Id="rId47" Target="https://california.public.law/codes/probate_code_section_13106" TargetMode="External" /><Relationship Type="http://schemas.openxmlformats.org/officeDocument/2006/relationships/hyperlink" Id="rId53" Target="https://california.public.law/codes/probate_code_section_13106.5" TargetMode="External" /><Relationship Type="http://schemas.openxmlformats.org/officeDocument/2006/relationships/hyperlink" Id="rId43" Target="https://california.public.law/codes/probate_code_section_13108" TargetMode="External" /><Relationship Type="http://schemas.openxmlformats.org/officeDocument/2006/relationships/hyperlink" Id="rId67" Target="https://california.public.law/codes/probate_code_section_13111" TargetMode="External" /><Relationship Type="http://schemas.openxmlformats.org/officeDocument/2006/relationships/hyperlink" Id="rId66" Target="https://california.public.law/codes/probate_code_section_13114" TargetMode="External" /><Relationship Type="http://schemas.openxmlformats.org/officeDocument/2006/relationships/hyperlink" Id="rId58" Target="https://california.public.law/codes/probate_code_section_13116" TargetMode="External" /><Relationship Type="http://schemas.openxmlformats.org/officeDocument/2006/relationships/hyperlink" Id="rId63" Target="https://california.public.law/codes/probate_code_section_13151" TargetMode="External" /><Relationship Type="http://schemas.openxmlformats.org/officeDocument/2006/relationships/hyperlink" Id="rId54" Target="https://california.public.law/codes/probate_code_section_13500" TargetMode="External" /><Relationship Type="http://schemas.openxmlformats.org/officeDocument/2006/relationships/hyperlink" Id="rId55" Target="https://california.public.law/codes/probate_code_section_13501" TargetMode="External" /><Relationship Type="http://schemas.openxmlformats.org/officeDocument/2006/relationships/hyperlink" Id="rId56" Target="https://california.public.law/codes/probate_code_section_13540" TargetMode="External" /><Relationship Type="http://schemas.openxmlformats.org/officeDocument/2006/relationships/hyperlink" Id="rId57" Target="https://california.public.law/codes/probate_code_section_13545" TargetMode="External" /><Relationship Type="http://schemas.openxmlformats.org/officeDocument/2006/relationships/hyperlink" Id="rId69" Target="https://california.public.law/codes/probate_code_section_13600" TargetMode="External" /><Relationship Type="http://schemas.openxmlformats.org/officeDocument/2006/relationships/hyperlink" Id="rId70" Target="https://california.public.law/codes/probate_code_section_13656" TargetMode="External" /><Relationship Type="http://schemas.openxmlformats.org/officeDocument/2006/relationships/hyperlink" Id="rId71" Target="https://california.public.law/codes/probate_code_section_13657" TargetMode="External" /><Relationship Type="http://schemas.openxmlformats.org/officeDocument/2006/relationships/hyperlink" Id="rId81" Target="https://california.public.law/codes/probate_code_section_215" TargetMode="External" /><Relationship Type="http://schemas.openxmlformats.org/officeDocument/2006/relationships/hyperlink" Id="rId76" Target="https://california.public.law/codes/probate_code_section_222" TargetMode="External" /><Relationship Type="http://schemas.openxmlformats.org/officeDocument/2006/relationships/hyperlink" Id="rId77" Target="https://california.public.law/codes/probate_code_section_256" TargetMode="External" /><Relationship Type="http://schemas.openxmlformats.org/officeDocument/2006/relationships/hyperlink" Id="rId83" Target="https://california.public.law/codes/probate_code_section_5003" TargetMode="External" /><Relationship Type="http://schemas.openxmlformats.org/officeDocument/2006/relationships/hyperlink" Id="rId38" Target="https://california.public.law/codes/probate_code_section_5040" TargetMode="External" /><Relationship Type="http://schemas.openxmlformats.org/officeDocument/2006/relationships/hyperlink" Id="rId39" Target="https://california.public.law/codes/probate_code_section_5048" TargetMode="External" /><Relationship Type="http://schemas.openxmlformats.org/officeDocument/2006/relationships/hyperlink" Id="rId33" Target="https://california.public.law/codes/probate_code_section_5144" TargetMode="External" /><Relationship Type="http://schemas.openxmlformats.org/officeDocument/2006/relationships/hyperlink" Id="rId65" Target="https://california.public.law/codes/probate_code_section_5201" TargetMode="External" /><Relationship Type="http://schemas.openxmlformats.org/officeDocument/2006/relationships/hyperlink" Id="rId29" Target="https://california.public.law/codes/probate_code_section_5302" TargetMode="External" /><Relationship Type="http://schemas.openxmlformats.org/officeDocument/2006/relationships/hyperlink" Id="rId84" Target="https://california.public.law/codes/probate_code_section_5303" TargetMode="External" /><Relationship Type="http://schemas.openxmlformats.org/officeDocument/2006/relationships/hyperlink" Id="rId61" Target="https://california.public.law/codes/probate_code_section_5306" TargetMode="External" /><Relationship Type="http://schemas.openxmlformats.org/officeDocument/2006/relationships/hyperlink" Id="rId62" Target="https://california.public.law/codes/probate_code_section_5307" TargetMode="External" /><Relationship Type="http://schemas.openxmlformats.org/officeDocument/2006/relationships/hyperlink" Id="rId31" Target="https://california.public.law/codes/probate_code_section_5401" TargetMode="External" /><Relationship Type="http://schemas.openxmlformats.org/officeDocument/2006/relationships/hyperlink" Id="rId35" Target="https://california.public.law/codes/probate_code_section_5402" TargetMode="External" /><Relationship Type="http://schemas.openxmlformats.org/officeDocument/2006/relationships/hyperlink" Id="rId32" Target="https://california.public.law/codes/probate_code_section_5403" TargetMode="External" /><Relationship Type="http://schemas.openxmlformats.org/officeDocument/2006/relationships/hyperlink" Id="rId34" Target="https://california.public.law/codes/probate_code_section_5404" TargetMode="External" /><Relationship Type="http://schemas.openxmlformats.org/officeDocument/2006/relationships/hyperlink" Id="rId36" Target="https://california.public.law/codes/probate_code_section_5405" TargetMode="External" /><Relationship Type="http://schemas.openxmlformats.org/officeDocument/2006/relationships/hyperlink" Id="rId64" Target="https://california.public.law/codes/probate_code_section_5407" TargetMode="External" /><Relationship Type="http://schemas.openxmlformats.org/officeDocument/2006/relationships/hyperlink" Id="rId59" Target="https://california.public.law/codes/probate_code_section_6401" TargetMode="External" /><Relationship Type="http://schemas.openxmlformats.org/officeDocument/2006/relationships/hyperlink" Id="rId60" Target="https://california.public.law/codes/probate_code_section_6402" TargetMode="External" /><Relationship Type="http://schemas.openxmlformats.org/officeDocument/2006/relationships/hyperlink" Id="rId44" Target="https://california.public.law/codes/probate_code_section_890" TargetMode="External" /><Relationship Type="http://schemas.openxmlformats.org/officeDocument/2006/relationships/hyperlink" Id="rId80" Target="https://california.public.law/codes/revenue_and_taxation_code_section_18670" TargetMode="External" /><Relationship Type="http://schemas.openxmlformats.org/officeDocument/2006/relationships/hyperlink" Id="rId82" Target="https://california.public.law/codes/welfare_and_institutions_code_section_14009.5" TargetMode="External" /><Relationship Type="http://schemas.openxmlformats.org/officeDocument/2006/relationships/hyperlink" Id="rId96" Target="https://case-law.vlex.com/vid/placencia-v-strazicich-g055631-889690038" TargetMode="External" /><Relationship Type="http://schemas.openxmlformats.org/officeDocument/2006/relationships/hyperlink" Id="rId90" Target="https://cases.justia.com/california/court-of-appeal/2019-g055631.pdf" TargetMode="External" /><Relationship Type="http://schemas.openxmlformats.org/officeDocument/2006/relationships/hyperlink" Id="rId94" Target="https://cases.justia.com/california/court-of-appeal/2024-b332714.pdf" TargetMode="External" /><Relationship Type="http://schemas.openxmlformats.org/officeDocument/2006/relationships/hyperlink" Id="rId25" Target="https://courts.ca.gov/system/files/file/probate-code-890-adjusted-amounts.pdf" TargetMode="External" /><Relationship Type="http://schemas.openxmlformats.org/officeDocument/2006/relationships/hyperlink" Id="rId48" Target="https://static.case.law/cal-app-3d/215/cases/0796-01.json" TargetMode="External" /><Relationship Type="http://schemas.openxmlformats.org/officeDocument/2006/relationships/hyperlink" Id="rId91" Target="https://static.case.law/cal-app-4th/111/cases/0481-01.json" TargetMode="External" /><Relationship Type="http://schemas.openxmlformats.org/officeDocument/2006/relationships/hyperlink" Id="rId37" Target="https://static.case.law/cal-app-4th/177/cases/0236-01.json" TargetMode="External" /><Relationship Type="http://schemas.openxmlformats.org/officeDocument/2006/relationships/hyperlink" Id="rId30" Target="https://static.case.law/cal-app-4th/188/cases/1120-01.json" TargetMode="External" /><Relationship Type="http://schemas.openxmlformats.org/officeDocument/2006/relationships/hyperlink" Id="rId92" Target="https://static.case.law/cal-app-4th/199/cases/1381-01.json" TargetMode="External" /><Relationship Type="http://schemas.openxmlformats.org/officeDocument/2006/relationships/hyperlink" Id="rId93" Target="https://static.case.law/cal-app-4th/67/cases/0615-01.json" TargetMode="External" /><Relationship Type="http://schemas.openxmlformats.org/officeDocument/2006/relationships/hyperlink" Id="rId95" Target="https://www.courtlistener.com/api/rest/v4/search/" TargetMode="External" /><Relationship Type="http://schemas.openxmlformats.org/officeDocument/2006/relationships/hyperlink" Id="rId78" Target="https://www.ecfr.gov/" TargetMode="External" /></Relationships>
</file>

<file path=word/_rels/footnotes.xml.rels><?xml version="1.0" encoding="UTF-8"?><Relationships xmlns="http://schemas.openxmlformats.org/package/2006/relationships"><Relationship Type="http://schemas.openxmlformats.org/officeDocument/2006/relationships/hyperlink" Id="rId86" Target="https://california.public.law/codes/code_of_civil_procedure_section_12" TargetMode="External" /><Relationship Type="http://schemas.openxmlformats.org/officeDocument/2006/relationships/hyperlink" Id="rId79" Target="https://california.public.law/codes/code_of_civil_procedure_section_1513" TargetMode="External" /><Relationship Type="http://schemas.openxmlformats.org/officeDocument/2006/relationships/hyperlink" Id="rId73" Target="https://california.public.law/codes/financial_code_section_1450" TargetMode="External" /><Relationship Type="http://schemas.openxmlformats.org/officeDocument/2006/relationships/hyperlink" Id="rId75" Target="https://california.public.law/codes/financial_code_section_14854" TargetMode="External" /><Relationship Type="http://schemas.openxmlformats.org/officeDocument/2006/relationships/hyperlink" Id="rId74" Target="https://california.public.law/codes/financial_code_section_6661" TargetMode="External" /><Relationship Type="http://schemas.openxmlformats.org/officeDocument/2006/relationships/hyperlink" Id="rId46" Target="https://california.public.law/codes/probate_code_section_12570" TargetMode="External" /><Relationship Type="http://schemas.openxmlformats.org/officeDocument/2006/relationships/hyperlink" Id="rId72" Target="https://california.public.law/codes/probate_code_section_12572" TargetMode="External" /><Relationship Type="http://schemas.openxmlformats.org/officeDocument/2006/relationships/hyperlink" Id="rId45" Target="https://california.public.law/codes/probate_code_section_13006" TargetMode="External" /><Relationship Type="http://schemas.openxmlformats.org/officeDocument/2006/relationships/hyperlink" Id="rId40" Target="https://california.public.law/codes/probate_code_section_13050" TargetMode="External" /><Relationship Type="http://schemas.openxmlformats.org/officeDocument/2006/relationships/hyperlink" Id="rId42" Target="https://california.public.law/codes/probate_code_section_13100" TargetMode="External" /><Relationship Type="http://schemas.openxmlformats.org/officeDocument/2006/relationships/hyperlink" Id="rId41" Target="https://california.public.law/codes/probate_code_section_13101" TargetMode="External" /><Relationship Type="http://schemas.openxmlformats.org/officeDocument/2006/relationships/hyperlink" Id="rId50" Target="https://california.public.law/codes/probate_code_section_13102" TargetMode="External" /><Relationship Type="http://schemas.openxmlformats.org/officeDocument/2006/relationships/hyperlink" Id="rId51" Target="https://california.public.law/codes/probate_code_section_13103" TargetMode="External" /><Relationship Type="http://schemas.openxmlformats.org/officeDocument/2006/relationships/hyperlink" Id="rId52" Target="https://california.public.law/codes/probate_code_section_13104" TargetMode="External" /><Relationship Type="http://schemas.openxmlformats.org/officeDocument/2006/relationships/hyperlink" Id="rId49" Target="https://california.public.law/codes/probate_code_section_13105" TargetMode="External" /><Relationship Type="http://schemas.openxmlformats.org/officeDocument/2006/relationships/hyperlink" Id="rId47" Target="https://california.public.law/codes/probate_code_section_13106" TargetMode="External" /><Relationship Type="http://schemas.openxmlformats.org/officeDocument/2006/relationships/hyperlink" Id="rId53" Target="https://california.public.law/codes/probate_code_section_13106.5" TargetMode="External" /><Relationship Type="http://schemas.openxmlformats.org/officeDocument/2006/relationships/hyperlink" Id="rId43" Target="https://california.public.law/codes/probate_code_section_13108" TargetMode="External" /><Relationship Type="http://schemas.openxmlformats.org/officeDocument/2006/relationships/hyperlink" Id="rId67" Target="https://california.public.law/codes/probate_code_section_13111" TargetMode="External" /><Relationship Type="http://schemas.openxmlformats.org/officeDocument/2006/relationships/hyperlink" Id="rId66" Target="https://california.public.law/codes/probate_code_section_13114" TargetMode="External" /><Relationship Type="http://schemas.openxmlformats.org/officeDocument/2006/relationships/hyperlink" Id="rId58" Target="https://california.public.law/codes/probate_code_section_13116" TargetMode="External" /><Relationship Type="http://schemas.openxmlformats.org/officeDocument/2006/relationships/hyperlink" Id="rId63" Target="https://california.public.law/codes/probate_code_section_13151" TargetMode="External" /><Relationship Type="http://schemas.openxmlformats.org/officeDocument/2006/relationships/hyperlink" Id="rId54" Target="https://california.public.law/codes/probate_code_section_13500" TargetMode="External" /><Relationship Type="http://schemas.openxmlformats.org/officeDocument/2006/relationships/hyperlink" Id="rId55" Target="https://california.public.law/codes/probate_code_section_13501" TargetMode="External" /><Relationship Type="http://schemas.openxmlformats.org/officeDocument/2006/relationships/hyperlink" Id="rId56" Target="https://california.public.law/codes/probate_code_section_13540" TargetMode="External" /><Relationship Type="http://schemas.openxmlformats.org/officeDocument/2006/relationships/hyperlink" Id="rId57" Target="https://california.public.law/codes/probate_code_section_13545" TargetMode="External" /><Relationship Type="http://schemas.openxmlformats.org/officeDocument/2006/relationships/hyperlink" Id="rId69" Target="https://california.public.law/codes/probate_code_section_13600" TargetMode="External" /><Relationship Type="http://schemas.openxmlformats.org/officeDocument/2006/relationships/hyperlink" Id="rId70" Target="https://california.public.law/codes/probate_code_section_13656" TargetMode="External" /><Relationship Type="http://schemas.openxmlformats.org/officeDocument/2006/relationships/hyperlink" Id="rId71" Target="https://california.public.law/codes/probate_code_section_13657" TargetMode="External" /><Relationship Type="http://schemas.openxmlformats.org/officeDocument/2006/relationships/hyperlink" Id="rId81" Target="https://california.public.law/codes/probate_code_section_215" TargetMode="External" /><Relationship Type="http://schemas.openxmlformats.org/officeDocument/2006/relationships/hyperlink" Id="rId76" Target="https://california.public.law/codes/probate_code_section_222" TargetMode="External" /><Relationship Type="http://schemas.openxmlformats.org/officeDocument/2006/relationships/hyperlink" Id="rId77" Target="https://california.public.law/codes/probate_code_section_256" TargetMode="External" /><Relationship Type="http://schemas.openxmlformats.org/officeDocument/2006/relationships/hyperlink" Id="rId83" Target="https://california.public.law/codes/probate_code_section_5003" TargetMode="External" /><Relationship Type="http://schemas.openxmlformats.org/officeDocument/2006/relationships/hyperlink" Id="rId38" Target="https://california.public.law/codes/probate_code_section_5040" TargetMode="External" /><Relationship Type="http://schemas.openxmlformats.org/officeDocument/2006/relationships/hyperlink" Id="rId39" Target="https://california.public.law/codes/probate_code_section_5048" TargetMode="External" /><Relationship Type="http://schemas.openxmlformats.org/officeDocument/2006/relationships/hyperlink" Id="rId33" Target="https://california.public.law/codes/probate_code_section_5144" TargetMode="External" /><Relationship Type="http://schemas.openxmlformats.org/officeDocument/2006/relationships/hyperlink" Id="rId65" Target="https://california.public.law/codes/probate_code_section_5201" TargetMode="External" /><Relationship Type="http://schemas.openxmlformats.org/officeDocument/2006/relationships/hyperlink" Id="rId29" Target="https://california.public.law/codes/probate_code_section_5302" TargetMode="External" /><Relationship Type="http://schemas.openxmlformats.org/officeDocument/2006/relationships/hyperlink" Id="rId84" Target="https://california.public.law/codes/probate_code_section_5303" TargetMode="External" /><Relationship Type="http://schemas.openxmlformats.org/officeDocument/2006/relationships/hyperlink" Id="rId61" Target="https://california.public.law/codes/probate_code_section_5306" TargetMode="External" /><Relationship Type="http://schemas.openxmlformats.org/officeDocument/2006/relationships/hyperlink" Id="rId62" Target="https://california.public.law/codes/probate_code_section_5307" TargetMode="External" /><Relationship Type="http://schemas.openxmlformats.org/officeDocument/2006/relationships/hyperlink" Id="rId31" Target="https://california.public.law/codes/probate_code_section_5401" TargetMode="External" /><Relationship Type="http://schemas.openxmlformats.org/officeDocument/2006/relationships/hyperlink" Id="rId35" Target="https://california.public.law/codes/probate_code_section_5402" TargetMode="External" /><Relationship Type="http://schemas.openxmlformats.org/officeDocument/2006/relationships/hyperlink" Id="rId32" Target="https://california.public.law/codes/probate_code_section_5403" TargetMode="External" /><Relationship Type="http://schemas.openxmlformats.org/officeDocument/2006/relationships/hyperlink" Id="rId34" Target="https://california.public.law/codes/probate_code_section_5404" TargetMode="External" /><Relationship Type="http://schemas.openxmlformats.org/officeDocument/2006/relationships/hyperlink" Id="rId36" Target="https://california.public.law/codes/probate_code_section_5405" TargetMode="External" /><Relationship Type="http://schemas.openxmlformats.org/officeDocument/2006/relationships/hyperlink" Id="rId64" Target="https://california.public.law/codes/probate_code_section_5407" TargetMode="External" /><Relationship Type="http://schemas.openxmlformats.org/officeDocument/2006/relationships/hyperlink" Id="rId59" Target="https://california.public.law/codes/probate_code_section_6401" TargetMode="External" /><Relationship Type="http://schemas.openxmlformats.org/officeDocument/2006/relationships/hyperlink" Id="rId60" Target="https://california.public.law/codes/probate_code_section_6402" TargetMode="External" /><Relationship Type="http://schemas.openxmlformats.org/officeDocument/2006/relationships/hyperlink" Id="rId44" Target="https://california.public.law/codes/probate_code_section_890" TargetMode="External" /><Relationship Type="http://schemas.openxmlformats.org/officeDocument/2006/relationships/hyperlink" Id="rId80" Target="https://california.public.law/codes/revenue_and_taxation_code_section_18670" TargetMode="External" /><Relationship Type="http://schemas.openxmlformats.org/officeDocument/2006/relationships/hyperlink" Id="rId82" Target="https://california.public.law/codes/welfare_and_institutions_code_section_14009.5" TargetMode="External" /><Relationship Type="http://schemas.openxmlformats.org/officeDocument/2006/relationships/hyperlink" Id="rId96" Target="https://case-law.vlex.com/vid/placencia-v-strazicich-g055631-889690038" TargetMode="External" /><Relationship Type="http://schemas.openxmlformats.org/officeDocument/2006/relationships/hyperlink" Id="rId90" Target="https://cases.justia.com/california/court-of-appeal/2019-g055631.pdf" TargetMode="External" /><Relationship Type="http://schemas.openxmlformats.org/officeDocument/2006/relationships/hyperlink" Id="rId94" Target="https://cases.justia.com/california/court-of-appeal/2024-b332714.pdf" TargetMode="External" /><Relationship Type="http://schemas.openxmlformats.org/officeDocument/2006/relationships/hyperlink" Id="rId25" Target="https://courts.ca.gov/system/files/file/probate-code-890-adjusted-amounts.pdf" TargetMode="External" /><Relationship Type="http://schemas.openxmlformats.org/officeDocument/2006/relationships/hyperlink" Id="rId48" Target="https://static.case.law/cal-app-3d/215/cases/0796-01.json" TargetMode="External" /><Relationship Type="http://schemas.openxmlformats.org/officeDocument/2006/relationships/hyperlink" Id="rId91" Target="https://static.case.law/cal-app-4th/111/cases/0481-01.json" TargetMode="External" /><Relationship Type="http://schemas.openxmlformats.org/officeDocument/2006/relationships/hyperlink" Id="rId37" Target="https://static.case.law/cal-app-4th/177/cases/0236-01.json" TargetMode="External" /><Relationship Type="http://schemas.openxmlformats.org/officeDocument/2006/relationships/hyperlink" Id="rId30" Target="https://static.case.law/cal-app-4th/188/cases/1120-01.json" TargetMode="External" /><Relationship Type="http://schemas.openxmlformats.org/officeDocument/2006/relationships/hyperlink" Id="rId92" Target="https://static.case.law/cal-app-4th/199/cases/1381-01.json" TargetMode="External" /><Relationship Type="http://schemas.openxmlformats.org/officeDocument/2006/relationships/hyperlink" Id="rId93" Target="https://static.case.law/cal-app-4th/67/cases/0615-01.json" TargetMode="External" /><Relationship Type="http://schemas.openxmlformats.org/officeDocument/2006/relationships/hyperlink" Id="rId95" Target="https://www.courtlistener.com/api/rest/v4/search/" TargetMode="External" /><Relationship Type="http://schemas.openxmlformats.org/officeDocument/2006/relationships/hyperlink" Id="rId78" Target="https://www.ecfr.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California Deceased-Account Entitlement Rules</dc:title>
  <dc:creator/>
  <cp:keywords/>
  <dcterms:created xsi:type="dcterms:W3CDTF">2026-10-09T20:28:16Z</dcterms:created>
  <dcterms:modified xsi:type="dcterms:W3CDTF">2026-10-09T20:28:16Z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Prepared 2026-10-09</vt:lpwstr>
  </property>
  <property fmtid="{D5CDD505-2E9C-101B-9397-08002B2CF9AE}" pid="3" name="subtitle">
    <vt:lpwstr>Draft for attorney review</vt:lpwstr>
  </property>
</Properties>
</file>