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California Deceased-Account Entitlement Rules</w:t>
      </w:r>
    </w:p>
    <w:p>
      <w:pPr>
        <w:pStyle w:val="Subtitle"/>
      </w:pPr>
      <w:r>
        <w:t xml:space="preserve">Draft for attorney review</w:t>
      </w:r>
    </w:p>
    <w:p>
      <w:pPr>
        <w:pStyle w:val="Date"/>
      </w:pPr>
      <w:r>
        <w:t xml:space="preserve">Prepared 2026-10-09</w:t>
      </w:r>
    </w:p>
    <w:bookmarkStart w:id="9" w:name="how-to-review-this-document"/>
    <w:p>
      <w:pPr>
        <w:pStyle w:val="Heading1"/>
      </w:pPr>
      <w:r>
        <w:t xml:space="preserve">How to review this document</w:t>
      </w:r>
    </w:p>
    <w:p>
      <w:pPr>
        <w:pStyle w:val="FirstParagraph"/>
      </w:pPr>
      <w:r>
        <w:rPr>
          <w:b/>
          <w:bCs/>
        </w:rPr>
        <w:t xml:space="preserve">Status:</w:t>
      </w:r>
      <w:r>
        <w:t xml:space="preserve"> </w:t>
      </w:r>
      <w:r>
        <w:t xml:space="preserve">draft, not yet reviewed by an attorney. Nothing in this document is used by the decision engine until an attorney approves it.</w:t>
      </w:r>
    </w:p>
    <w:p>
      <w:pPr>
        <w:pStyle w:val="BodyText"/>
      </w:pPr>
      <w:r>
        <w:rPr>
          <w:b/>
          <w:bCs/>
        </w:rPr>
        <w:t xml:space="preserve">What we are asking you to do:</w:t>
      </w:r>
    </w:p>
    <w:p>
      <w:pPr>
        <w:pStyle w:val="Compact"/>
        <w:numPr>
          <w:ilvl w:val="0"/>
          <w:numId w:val="1001"/>
        </w:numPr>
      </w:pPr>
      <w:r>
        <w:t xml:space="preserve">Confirm each rule and its citation in Part 1, or correct it.</w:t>
      </w:r>
    </w:p>
    <w:p>
      <w:pPr>
        <w:pStyle w:val="Compact"/>
        <w:numPr>
          <w:ilvl w:val="0"/>
          <w:numId w:val="1001"/>
        </w:numPr>
      </w:pPr>
      <w:r>
        <w:t xml:space="preserve">Answer the open questions marked</w:t>
      </w:r>
      <w:r>
        <w:t xml:space="preserve"> </w:t>
      </w:r>
      <w:r>
        <w:rPr>
          <w:b/>
          <w:bCs/>
        </w:rPr>
        <w:t xml:space="preserve">Law</w:t>
      </w:r>
      <w:r>
        <w:t xml:space="preserve"> </w:t>
      </w:r>
      <w:r>
        <w:t xml:space="preserve">in Part 2 (Q2, Q3, Q5, Q6, Q8, Q9). Questions marked</w:t>
      </w:r>
      <w:r>
        <w:t xml:space="preserve"> </w:t>
      </w:r>
      <w:r>
        <w:rPr>
          <w:b/>
          <w:bCs/>
        </w:rPr>
        <w:t xml:space="preserve">Owner</w:t>
      </w:r>
      <w:r>
        <w:t xml:space="preserve">,</w:t>
      </w:r>
      <w:r>
        <w:t xml:space="preserve"> </w:t>
      </w:r>
      <w:r>
        <w:rPr>
          <w:b/>
          <w:bCs/>
        </w:rPr>
        <w:t xml:space="preserve">Policy</w:t>
      </w:r>
      <w:r>
        <w:t xml:space="preserve">, or</w:t>
      </w:r>
      <w:r>
        <w:t xml:space="preserve"> </w:t>
      </w:r>
      <w:r>
        <w:rPr>
          <w:b/>
          <w:bCs/>
        </w:rPr>
        <w:t xml:space="preserve">Terms</w:t>
      </w:r>
      <w:r>
        <w:t xml:space="preserve"> </w:t>
      </w:r>
      <w:r>
        <w:t xml:space="preserve">are for the business; you may comment on them.</w:t>
      </w:r>
    </w:p>
    <w:p>
      <w:pPr>
        <w:pStyle w:val="Compact"/>
        <w:numPr>
          <w:ilvl w:val="0"/>
          <w:numId w:val="1001"/>
        </w:numPr>
      </w:pPr>
      <w:r>
        <w:t xml:space="preserve">Confirm the expected outcome of each draft golden scenario at the end of Part 1. These scenarios become the engine's tests.</w:t>
      </w:r>
    </w:p>
    <w:p>
      <w:pPr>
        <w:pStyle w:val="FirstParagraph"/>
      </w:pPr>
      <w:r>
        <w:rPr>
          <w:b/>
          <w:bCs/>
        </w:rPr>
        <w:t xml:space="preserve">How to respond:</w:t>
      </w:r>
      <w:r>
        <w:t xml:space="preserve"> </w:t>
      </w:r>
      <w:r>
        <w:t xml:space="preserve">turn on Track Changes and edit this document directly, or add comments. Please return it to the product owner.</w:t>
      </w:r>
    </w:p>
    <w:p>
      <w:pPr>
        <w:pStyle w:val="BodyText"/>
      </w:pPr>
      <w:r>
        <w:rPr>
          <w:b/>
          <w:bCs/>
        </w:rPr>
        <w:t xml:space="preserve">Sources:</w:t>
      </w:r>
      <w:r>
        <w:t xml:space="preserve"> </w:t>
      </w:r>
      <w:r>
        <w:t xml:space="preserve">The official California code site blocked automated retrieval, so statute text was read from a public mirror of it. Every citation must be confirmed against leginfo.legislature.ca.gov (question Q9). Dollar limits come from the Judicial Council's official § 890 list. See Part 3.</w:t>
      </w:r>
    </w:p>
    <w:p>
      <w:pPr>
        <w:pStyle w:val="BodyText"/>
      </w:pPr>
      <w:r>
        <w:rPr>
          <w:b/>
          <w:bCs/>
        </w:rPr>
        <w:t xml:space="preserve">Contents:</w:t>
      </w:r>
      <w:r>
        <w:t xml:space="preserve"> </w:t>
      </w:r>
      <w:r>
        <w:t xml:space="preserve">Part 1, rule specification. Part 2, open questions. Part 3, sources.</w:t>
      </w:r>
    </w:p>
    <w:p>
      <w:r>
        <w:br w:type="page"/>
      </w:r>
    </w:p>
    <w:bookmarkEnd w:id="9"/>
    <w:bookmarkStart w:id="20" w:name="X58d2ab721f75b8a9d1253feed3fbe0ee375d77e"/>
    <w:p>
      <w:pPr>
        <w:pStyle w:val="Heading1"/>
      </w:pPr>
      <w:r>
        <w:t xml:space="preserve">California rule spec (DRAFT, not attorney-reviewed)</w:t>
      </w:r>
    </w:p>
    <w:p>
      <w:pPr>
        <w:pStyle w:val="FirstParagraph"/>
      </w:pPr>
      <w:r>
        <w:rPr>
          <w:b/>
          <w:bCs/>
        </w:rPr>
        <w:t xml:space="preserve">Status:</w:t>
      </w:r>
      <w:r>
        <w:t xml:space="preserve"> </w:t>
      </w:r>
      <w:r>
        <w:t xml:space="preserve">Draft v0.1, written 2026-10-07 for REQ-CA-001.</w:t>
      </w:r>
      <w:r>
        <w:t xml:space="preserve"> </w:t>
      </w:r>
      <w:r>
        <w:rPr>
          <w:b/>
          <w:bCs/>
        </w:rPr>
        <w:t xml:space="preserve">Attorney review:</w:t>
      </w:r>
      <w:r>
        <w:t xml:space="preserve"> </w:t>
      </w:r>
      <w:r>
        <w:t xml:space="preserve">not started.</w:t>
      </w:r>
      <w:r>
        <w:t xml:space="preserve"> </w:t>
      </w:r>
      <w:r>
        <w:t xml:space="preserve">Nothing here is encoded in the engine until an attorney approves it. Statute text was read from a mirror of the official code (see Part 3), and every citation must be confirmed against leginfo.legislature.ca.gov before approval. Numbered questions (Q1, Q2, …) are in Part 2.</w:t>
      </w:r>
    </w:p>
    <w:bookmarkStart w:id="10" w:name="where-each-answer-comes-from"/>
    <w:p>
      <w:pPr>
        <w:pStyle w:val="Heading2"/>
      </w:pPr>
      <w:r>
        <w:t xml:space="preserve">Where each answer comes from</w:t>
      </w:r>
    </w:p>
    <w:p>
      <w:pPr>
        <w:pStyle w:val="Compact"/>
        <w:numPr>
          <w:ilvl w:val="0"/>
          <w:numId w:val="1002"/>
        </w:numPr>
      </w:pPr>
      <w:r>
        <w:rPr>
          <w:b/>
          <w:bCs/>
        </w:rPr>
        <w:t xml:space="preserve">Law:</w:t>
      </w:r>
      <w:r>
        <w:t xml:space="preserve"> </w:t>
      </w:r>
      <w:r>
        <w:t xml:space="preserve">statutory conditions and protections. These are fixed by the code and confirmed by an attorney.</w:t>
      </w:r>
    </w:p>
    <w:p>
      <w:pPr>
        <w:pStyle w:val="Compact"/>
        <w:numPr>
          <w:ilvl w:val="0"/>
          <w:numId w:val="1002"/>
        </w:numPr>
      </w:pPr>
      <w:r>
        <w:rPr>
          <w:b/>
          <w:bCs/>
        </w:rPr>
        <w:t xml:space="preserve">Account terms:</w:t>
      </w:r>
      <w:r>
        <w:t xml:space="preserve"> </w:t>
      </w:r>
      <w:r>
        <w:t xml:space="preserve">facts about the specific account, such as POD or Totten beneficiary shares, survivorship, and signature requirements. They arrive with the account facts.</w:t>
      </w:r>
    </w:p>
    <w:p>
      <w:pPr>
        <w:pStyle w:val="Compact"/>
        <w:numPr>
          <w:ilvl w:val="0"/>
          <w:numId w:val="1002"/>
        </w:numPr>
      </w:pPr>
      <w:r>
        <w:rPr>
          <w:b/>
          <w:bCs/>
        </w:rPr>
        <w:t xml:space="preserve">Institution policy:</w:t>
      </w:r>
      <w:r>
        <w:t xml:space="preserve"> </w:t>
      </w:r>
      <w:r>
        <w:t xml:space="preserve">choices the statute leaves to the institution, such as an extra waiting period, extra documents, or declining some cases. A policy may be</w:t>
      </w:r>
      <w:r>
        <w:t xml:space="preserve"> </w:t>
      </w:r>
      <w:r>
        <w:rPr>
          <w:b/>
          <w:bCs/>
        </w:rPr>
        <w:t xml:space="preserve">stricter</w:t>
      </w:r>
      <w:r>
        <w:t xml:space="preserve"> </w:t>
      </w:r>
      <w:r>
        <w:t xml:space="preserve">than the statute but never looser, and every decision records which policy version it used.</w:t>
      </w:r>
    </w:p>
    <w:bookmarkEnd w:id="10"/>
    <w:bookmarkStart w:id="11" w:name="what-the-engine-decides"/>
    <w:p>
      <w:pPr>
        <w:pStyle w:val="Heading2"/>
      </w:pPr>
      <w:r>
        <w:t xml:space="preserve">What the engine decides</w:t>
      </w:r>
    </w:p>
    <w:p>
      <w:pPr>
        <w:pStyle w:val="FirstParagraph"/>
      </w:pPr>
      <w:r>
        <w:t xml:space="preserve">For one deposit account of a California decedent, the engine answers four questions:</w:t>
      </w:r>
    </w:p>
    <w:p>
      <w:pPr>
        <w:pStyle w:val="Compact"/>
        <w:numPr>
          <w:ilvl w:val="0"/>
          <w:numId w:val="1003"/>
        </w:numPr>
      </w:pPr>
      <w:r>
        <w:t xml:space="preserve">Who may the institution pay, and in what shares?</w:t>
      </w:r>
    </w:p>
    <w:p>
      <w:pPr>
        <w:pStyle w:val="Compact"/>
        <w:numPr>
          <w:ilvl w:val="0"/>
          <w:numId w:val="1003"/>
        </w:numPr>
      </w:pPr>
      <w:r>
        <w:t xml:space="preserve">What documents must the institution receive first?</w:t>
      </w:r>
    </w:p>
    <w:p>
      <w:pPr>
        <w:pStyle w:val="Compact"/>
        <w:numPr>
          <w:ilvl w:val="0"/>
          <w:numId w:val="1003"/>
        </w:numPr>
      </w:pPr>
      <w:r>
        <w:t xml:space="preserve">What is the earliest date it may pay?</w:t>
      </w:r>
    </w:p>
    <w:p>
      <w:pPr>
        <w:pStyle w:val="Compact"/>
        <w:numPr>
          <w:ilvl w:val="0"/>
          <w:numId w:val="1003"/>
        </w:numPr>
      </w:pPr>
      <w:r>
        <w:t xml:space="preserve">Does a statute protect the institution from liability if it pays as decided?</w:t>
      </w:r>
    </w:p>
    <w:p>
      <w:pPr>
        <w:pStyle w:val="FirstParagraph"/>
      </w:pPr>
      <w:r>
        <w:t xml:space="preserve">If the facts fall outside the paths below, the result is</w:t>
      </w:r>
      <w:r>
        <w:t xml:space="preserve"> </w:t>
      </w:r>
      <w:r>
        <w:rPr>
          <w:b/>
          <w:bCs/>
        </w:rPr>
        <w:t xml:space="preserve">not determinable</w:t>
      </w:r>
      <w:r>
        <w:t xml:space="preserve"> </w:t>
      </w:r>
      <w:r>
        <w:t xml:space="preserve">and the case goes to a person. The engine never guesses.</w:t>
      </w:r>
    </w:p>
    <w:bookmarkEnd w:id="11"/>
    <w:bookmarkStart w:id="12" w:name="X01cb6f901473737e558efa39520a1425923bb63"/>
    <w:p>
      <w:pPr>
        <w:pStyle w:val="Heading2"/>
      </w:pPr>
      <w:r>
        <w:t xml:space="preserve">Path A: accounts with a survivor or payable-on-death (POD) payee</w:t>
      </w:r>
    </w:p>
    <w:p>
      <w:pPr>
        <w:pStyle w:val="FirstParagraph"/>
      </w:pPr>
      <w:r>
        <w:t xml:space="preserve">Applies when the account is a joint account with a surviving party, a POD account with a surviving POD payee, or a Totten trust account with a surviving beneficiary.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Rule</w:t>
            </w:r>
          </w:p>
        </w:tc>
        <w:tc>
          <w:tcPr/>
          <w:p>
            <w:pPr>
              <w:pStyle w:val="Compact"/>
            </w:pPr>
            <w:r>
              <w:t xml:space="preserve">Citation</w:t>
            </w:r>
          </w:p>
        </w:tc>
      </w:tr>
      <w:tr>
        <w:tc>
          <w:tcPr/>
          <w:p>
            <w:pPr>
              <w:pStyle w:val="Compact"/>
            </w:pPr>
            <w:r>
              <w:t xml:space="preserve">Who is paid</w:t>
            </w:r>
          </w:p>
        </w:tc>
        <w:tc>
          <w:tcPr/>
          <w:p>
            <w:pPr>
              <w:pStyle w:val="Compact"/>
            </w:pPr>
            <w:r>
              <w:rPr>
                <w:b/>
                <w:bCs/>
              </w:rPr>
              <w:t xml:space="preserve">Joint account:</w:t>
            </w:r>
            <w:r>
              <w:t xml:space="preserve"> </w:t>
            </w:r>
            <w:r>
              <w:t xml:space="preserve">sums belong to the surviving party or parties.</w:t>
            </w:r>
            <w:r>
              <w:t xml:space="preserve"> </w:t>
            </w:r>
            <w:r>
              <w:rPr>
                <w:b/>
                <w:bCs/>
              </w:rPr>
              <w:t xml:space="preserve">POD account, sole or last surviving party deceased:</w:t>
            </w:r>
            <w:r>
              <w:t xml:space="preserve"> </w:t>
            </w:r>
            <w:r>
              <w:t xml:space="preserve">sums belong to the surviving POD payee(s).</w:t>
            </w:r>
            <w:r>
              <w:t xml:space="preserve"> </w:t>
            </w:r>
            <w:r>
              <w:rPr>
                <w:b/>
                <w:bCs/>
              </w:rPr>
              <w:t xml:space="preserve">Totten trust account, sole or last surviving trustee deceased:</w:t>
            </w:r>
            <w:r>
              <w:t xml:space="preserve"> </w:t>
            </w:r>
            <w:r>
              <w:t xml:space="preserve">sums belong to the surviving beneficiary or beneficiaries.</w:t>
            </w:r>
          </w:p>
        </w:tc>
        <w:tc>
          <w:tcPr/>
          <w:p>
            <w:pPr>
              <w:pStyle w:val="Compact"/>
            </w:pPr>
            <w:r>
              <w:t xml:space="preserve">Prob. Code § 5302(a), (b)(2), (c)(2)</w:t>
            </w:r>
          </w:p>
        </w:tc>
      </w:tr>
      <w:tr>
        <w:tc>
          <w:tcPr/>
          <w:p>
            <w:pPr>
              <w:pStyle w:val="Compact"/>
            </w:pPr>
            <w:r>
              <w:t xml:space="preserve">Shares</w:t>
            </w:r>
          </w:p>
        </w:tc>
        <w:tc>
          <w:tcPr/>
          <w:p>
            <w:pPr>
              <w:pStyle w:val="Compact"/>
            </w:pPr>
            <w:r>
              <w:rPr>
                <w:b/>
                <w:bCs/>
              </w:rPr>
              <w:t xml:space="preserve">POD and Totten:</w:t>
            </w:r>
            <w:r>
              <w:t xml:space="preserve"> </w:t>
            </w:r>
            <w:r>
              <w:t xml:space="preserve">two or more surviving payees or beneficiaries take</w:t>
            </w:r>
            <w:r>
              <w:t xml:space="preserve"> </w:t>
            </w:r>
            <w:r>
              <w:rPr>
                <w:b/>
                <w:bCs/>
              </w:rPr>
              <w:t xml:space="preserve">equal shares</w:t>
            </w:r>
            <w:r>
              <w:t xml:space="preserve">, unless the account terms set different shares (account terms).</w:t>
            </w:r>
            <w:r>
              <w:t xml:space="preserve"> </w:t>
            </w:r>
            <w:r>
              <w:rPr>
                <w:b/>
                <w:bCs/>
              </w:rPr>
              <w:t xml:space="preserve">Joint, two or more survivors:</w:t>
            </w:r>
            <w:r>
              <w:t xml:space="preserve"> </w:t>
            </w:r>
            <w:r>
              <w:t xml:space="preserve">the institution may pay any one or more surviving parties according to the account terms. It does not have to work out each party's net contribution, and it is protected whether or not the payment matches beneficial ownership.</w:t>
            </w:r>
          </w:p>
        </w:tc>
        <w:tc>
          <w:tcPr/>
          <w:p>
            <w:pPr>
              <w:pStyle w:val="Compact"/>
            </w:pPr>
            <w:r>
              <w:t xml:space="preserve">§ 5302(b)(2)(B), (c)(2)(B); §§ 5401(a), (c), 5402, 5405(a)</w:t>
            </w:r>
          </w:p>
        </w:tc>
      </w:tr>
      <w:tr>
        <w:tc>
          <w:tcPr/>
          <w:p>
            <w:pPr>
              <w:pStyle w:val="Compact"/>
            </w:pPr>
            <w:r>
              <w:t xml:space="preserve">Documents</w:t>
            </w:r>
          </w:p>
        </w:tc>
        <w:tc>
          <w:tcPr/>
          <w:p>
            <w:pPr>
              <w:pStyle w:val="Compact"/>
            </w:pPr>
            <w:r>
              <w:t xml:space="preserve">Proof of death.</w:t>
            </w:r>
            <w:r>
              <w:t xml:space="preserve"> </w:t>
            </w:r>
            <w:r>
              <w:rPr>
                <w:b/>
                <w:bCs/>
              </w:rPr>
              <w:t xml:space="preserve">POD:</w:t>
            </w:r>
            <w:r>
              <w:t xml:space="preserve"> </w:t>
            </w:r>
            <w:r>
              <w:t xml:space="preserve">proof that the payee survived every original party.</w:t>
            </w:r>
            <w:r>
              <w:t xml:space="preserve"> </w:t>
            </w:r>
            <w:r>
              <w:rPr>
                <w:b/>
                <w:bCs/>
              </w:rPr>
              <w:t xml:space="preserve">Totten:</w:t>
            </w:r>
            <w:r>
              <w:t xml:space="preserve"> </w:t>
            </w:r>
            <w:r>
              <w:t xml:space="preserve">proof that the beneficiary survived every trustee.</w:t>
            </w:r>
            <w:r>
              <w:t xml:space="preserve"> </w:t>
            </w:r>
            <w:r>
              <w:rPr>
                <w:b/>
                <w:bCs/>
              </w:rPr>
              <w:t xml:space="preserve">Joint:</w:t>
            </w:r>
            <w:r>
              <w:t xml:space="preserve"> </w:t>
            </w:r>
            <w:r>
              <w:t xml:space="preserve">the claimant must be a surviving party; payment to a deceased party's representative or heirs needs proof that the decedent was the last surviving party.</w:t>
            </w:r>
          </w:p>
        </w:tc>
        <w:tc>
          <w:tcPr/>
          <w:p>
            <w:pPr>
              <w:pStyle w:val="Compact"/>
            </w:pPr>
            <w:r>
              <w:t xml:space="preserve">§§ 5402, 5403, 5404</w:t>
            </w:r>
          </w:p>
        </w:tc>
      </w:tr>
      <w:tr>
        <w:tc>
          <w:tcPr/>
          <w:p>
            <w:pPr>
              <w:pStyle w:val="Compact"/>
            </w:pPr>
            <w:r>
              <w:t xml:space="preserve">Earliest payment</w:t>
            </w:r>
          </w:p>
        </w:tc>
        <w:tc>
          <w:tcPr/>
          <w:p>
            <w:pPr>
              <w:pStyle w:val="Compact"/>
            </w:pPr>
            <w:r>
              <w:t xml:space="preserve">On request, once proof of death is presented. No statutory waiting period applies; an institution policy may add one.</w:t>
            </w:r>
          </w:p>
        </w:tc>
        <w:tc>
          <w:tcPr/>
          <w:p>
            <w:pPr>
              <w:pStyle w:val="Compact"/>
            </w:pPr>
            <w:r>
              <w:t xml:space="preserve">§§ 5402, 5403, 5404</w:t>
            </w:r>
          </w:p>
        </w:tc>
      </w:tr>
      <w:tr>
        <w:tc>
          <w:tcPr/>
          <w:p>
            <w:pPr>
              <w:pStyle w:val="Compact"/>
            </w:pPr>
            <w:r>
              <w:t xml:space="preserve">Liability protection</w:t>
            </w:r>
          </w:p>
        </w:tc>
        <w:tc>
          <w:tcPr/>
          <w:p>
            <w:pPr>
              <w:pStyle w:val="Compact"/>
            </w:pPr>
            <w:r>
              <w:rPr>
                <w:b/>
                <w:bCs/>
              </w:rPr>
              <w:t xml:space="preserve">Yes.</w:t>
            </w:r>
            <w:r>
              <w:t xml:space="preserve"> </w:t>
            </w:r>
            <w:r>
              <w:t xml:space="preserve">Payment under §§ 5401–5404 discharges the institution from all claims for the amounts paid, even if inconsistent with beneficial ownership.</w:t>
            </w:r>
            <w:r>
              <w:t xml:space="preserve"> </w:t>
            </w:r>
            <w:r>
              <w:rPr>
                <w:b/>
                <w:bCs/>
              </w:rPr>
              <w:t xml:space="preserve">Exception:</w:t>
            </w:r>
            <w:r>
              <w:t xml:space="preserve"> </w:t>
            </w:r>
            <w:r>
              <w:t xml:space="preserve">no protection for payments made after the institution is served with a court order restraining payment.</w:t>
            </w:r>
          </w:p>
        </w:tc>
        <w:tc>
          <w:tcPr/>
          <w:p>
            <w:pPr>
              <w:pStyle w:val="Compact"/>
            </w:pPr>
            <w:r>
              <w:t xml:space="preserve">§ 5405(a), (b)</w:t>
            </w:r>
          </w:p>
        </w:tc>
      </w:tr>
    </w:tbl>
    <w:p>
      <w:pPr>
        <w:pStyle w:val="BodyText"/>
      </w:pPr>
      <w:r>
        <w:rPr>
          <w:b/>
          <w:bCs/>
        </w:rPr>
        <w:t xml:space="preserve">Not determinable on this path:</w:t>
      </w:r>
    </w:p>
    <w:p>
      <w:pPr>
        <w:pStyle w:val="Compact"/>
        <w:numPr>
          <w:ilvl w:val="0"/>
          <w:numId w:val="1004"/>
        </w:numPr>
      </w:pPr>
      <w:r>
        <w:t xml:space="preserve">The POD payee or Totten beneficiary is a former spouse whose marriage or domestic partnership ended before the death. The designation may fail under § 5040, and its exceptions need human review.</w:t>
      </w:r>
    </w:p>
    <w:p>
      <w:pPr>
        <w:pStyle w:val="Compact"/>
        <w:numPr>
          <w:ilvl w:val="0"/>
          <w:numId w:val="1004"/>
        </w:numPr>
      </w:pPr>
      <w:r>
        <w:t xml:space="preserve">No POD payee or Totten beneficiary survived. The account then passes through the estate, so Path B or probate applies; the engine evaluates Path B when the facts support it.</w:t>
      </w:r>
    </w:p>
    <w:p>
      <w:pPr>
        <w:pStyle w:val="Compact"/>
        <w:numPr>
          <w:ilvl w:val="0"/>
          <w:numId w:val="1004"/>
        </w:numPr>
      </w:pPr>
      <w:r>
        <w:t xml:space="preserve">The account requires more than one survivor's signature (§ 5401(b)), or the institution holds a written § 5405(c) notice.</w:t>
      </w:r>
    </w:p>
    <w:p>
      <w:pPr>
        <w:pStyle w:val="Compact"/>
        <w:numPr>
          <w:ilvl w:val="0"/>
          <w:numId w:val="1004"/>
        </w:numPr>
      </w:pPr>
      <w:r>
        <w:t xml:space="preserve">The institution has been served with a court order restraining payment (§ 5405(b)).</w:t>
      </w:r>
    </w:p>
    <w:bookmarkEnd w:id="12"/>
    <w:bookmarkStart w:id="15" w:name="X67a540677bbe4ad9b55f91228301fc43695241f"/>
    <w:p>
      <w:pPr>
        <w:pStyle w:val="Heading2"/>
      </w:pPr>
      <w:r>
        <w:t xml:space="preserve">Path B: small-estate affidavit (accounts with no survivor or POD payee)</w:t>
      </w:r>
    </w:p>
    <w:p>
      <w:pPr>
        <w:pStyle w:val="FirstParagraph"/>
      </w:pPr>
      <w:r>
        <w:t xml:space="preserve">Applies to an account owned solely by the decedent, with no POD payee.</w:t>
      </w:r>
    </w:p>
    <w:bookmarkStart w:id="13" w:name="eligibility-all-required"/>
    <w:p>
      <w:pPr>
        <w:pStyle w:val="Heading3"/>
      </w:pPr>
      <w:r>
        <w:t xml:space="preserve">Eligibility (all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Citation</w:t>
            </w:r>
          </w:p>
        </w:tc>
      </w:tr>
      <w:tr>
        <w:tc>
          <w:tcPr/>
          <w:p>
            <w:pPr>
              <w:pStyle w:val="Compact"/>
            </w:pPr>
            <w:r>
              <w:t xml:space="preserve">The gross value of the decedent's real and personal property in California is at or below the limit for the date of death (table below). Excluded from the total: § 13050 property (joint-tenancy property, multiple-party accounts passing to a survivor or POD payee, property passing to a surviving spouse under § 13500, revocable-trust property, registered vehicles, vessels, and mobilehomes) and property in a § 13151 petition. Also excluded: Armed Forces pay, and wages owed up to the § 13050(c) adjusted amount.</w:t>
            </w:r>
          </w:p>
        </w:tc>
        <w:tc>
          <w:tcPr/>
          <w:p>
            <w:pPr>
              <w:pStyle w:val="Compact"/>
            </w:pPr>
            <w:r>
              <w:t xml:space="preserve">§§ 13100, 13050</w:t>
            </w:r>
          </w:p>
        </w:tc>
      </w:tr>
      <w:tr>
        <w:tc>
          <w:tcPr/>
          <w:p>
            <w:pPr>
              <w:pStyle w:val="Compact"/>
            </w:pPr>
            <w:r>
              <w:t xml:space="preserve">At least 40 days have elapsed since the death.</w:t>
            </w:r>
          </w:p>
        </w:tc>
        <w:tc>
          <w:tcPr/>
          <w:p>
            <w:pPr>
              <w:pStyle w:val="Compact"/>
            </w:pPr>
            <w:r>
              <w:t xml:space="preserve">§§ 13100, 13101(a)(3)</w:t>
            </w:r>
          </w:p>
        </w:tc>
      </w:tr>
      <w:tr>
        <w:tc>
          <w:tcPr/>
          <w:p>
            <w:pPr>
              <w:pStyle w:val="Compact"/>
            </w:pPr>
            <w:r>
              <w:t xml:space="preserve">No proceeding to administer the estate is being or has been conducted in California,</w:t>
            </w:r>
            <w:r>
              <w:t xml:space="preserve"> </w:t>
            </w:r>
            <w:r>
              <w:rPr>
                <w:b/>
                <w:bCs/>
              </w:rPr>
              <w:t xml:space="preserve">or</w:t>
            </w:r>
            <w:r>
              <w:t xml:space="preserve"> </w:t>
            </w:r>
            <w:r>
              <w:t xml:space="preserve">the personal representative has consented in writing.</w:t>
            </w:r>
          </w:p>
        </w:tc>
        <w:tc>
          <w:tcPr/>
          <w:p>
            <w:pPr>
              <w:pStyle w:val="Compact"/>
            </w:pPr>
            <w:r>
              <w:t xml:space="preserve">§ 13101(a)(4)</w:t>
            </w:r>
          </w:p>
        </w:tc>
      </w:tr>
    </w:tbl>
    <w:p>
      <w:pPr>
        <w:pStyle w:val="BodyText"/>
      </w:pPr>
      <w:r>
        <w:rPr>
          <w:b/>
          <w:bCs/>
        </w:rPr>
        <w:t xml:space="preserve">Value limit by date of death.</w:t>
      </w:r>
      <w:r>
        <w:t xml:space="preserve"> </w:t>
      </w:r>
      <w:r>
        <w:t xml:space="preserve">The limit is set under § 890 and published by the Judicial Council. "Does not exceed" means a value equal to the limit is eligible.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 of death</w:t>
            </w:r>
          </w:p>
        </w:tc>
        <w:tc>
          <w:tcPr/>
          <w:p>
            <w:pPr>
              <w:pStyle w:val="Compact"/>
            </w:pPr>
            <w:r>
              <w:t xml:space="preserve">Limit</w:t>
            </w:r>
          </w:p>
        </w:tc>
        <w:tc>
          <w:tcPr/>
          <w:p>
            <w:pPr>
              <w:pStyle w:val="Compact"/>
            </w:pPr>
            <w:r>
              <w:t xml:space="preserve">Citation</w:t>
            </w:r>
          </w:p>
        </w:tc>
      </w:tr>
      <w:tr>
        <w:tc>
          <w:tcPr/>
          <w:p>
            <w:pPr>
              <w:pStyle w:val="Compact"/>
            </w:pPr>
            <w:r>
              <w:t xml:space="preserve">Before April 1, 2022</w:t>
            </w:r>
          </w:p>
        </w:tc>
        <w:tc>
          <w:tcPr/>
          <w:p>
            <w:pPr>
              <w:pStyle w:val="Compact"/>
            </w:pPr>
            <w:r>
              <w:t xml:space="preserve">$166,250</w:t>
            </w:r>
          </w:p>
        </w:tc>
        <w:tc>
          <w:tcPr/>
          <w:p>
            <w:pPr>
              <w:pStyle w:val="Compact"/>
            </w:pPr>
            <w:r>
              <w:t xml:space="preserve">§ 13101(g)(1); Judicial Council § 890 list</w:t>
            </w:r>
          </w:p>
        </w:tc>
      </w:tr>
      <w:tr>
        <w:tc>
          <w:tcPr/>
          <w:p>
            <w:pPr>
              <w:pStyle w:val="Compact"/>
            </w:pPr>
            <w:r>
              <w:t xml:space="preserve">April 1, 2022 – March 31, 2025</w:t>
            </w:r>
          </w:p>
        </w:tc>
        <w:tc>
          <w:tcPr/>
          <w:p>
            <w:pPr>
              <w:pStyle w:val="Compact"/>
            </w:pPr>
            <w:r>
              <w:t xml:space="preserve">$184,500</w:t>
            </w:r>
          </w:p>
        </w:tc>
        <w:tc>
          <w:tcPr/>
          <w:p>
            <w:pPr>
              <w:pStyle w:val="Compact"/>
            </w:pPr>
            <w:r>
              <w:t xml:space="preserve">§ 13101(g)(2); § 890; Judicial Council § 890 list</w:t>
            </w:r>
          </w:p>
        </w:tc>
      </w:tr>
      <w:tr>
        <w:tc>
          <w:tcPr/>
          <w:p>
            <w:pPr>
              <w:pStyle w:val="Compact"/>
            </w:pPr>
            <w:r>
              <w:t xml:space="preserve">On or after April 1, 2025</w:t>
            </w:r>
          </w:p>
        </w:tc>
        <w:tc>
          <w:tcPr/>
          <w:p>
            <w:pPr>
              <w:pStyle w:val="Compact"/>
            </w:pPr>
            <w:r>
              <w:t xml:space="preserve">$208,850</w:t>
            </w:r>
          </w:p>
        </w:tc>
        <w:tc>
          <w:tcPr/>
          <w:p>
            <w:pPr>
              <w:pStyle w:val="Compact"/>
            </w:pPr>
            <w:r>
              <w:t xml:space="preserve">§ 13101(g)(2); § 890; Judicial Council § 890 list</w:t>
            </w:r>
          </w:p>
        </w:tc>
      </w:tr>
    </w:tbl>
    <w:p>
      <w:pPr>
        <w:pStyle w:val="BodyText"/>
      </w:pPr>
      <w:r>
        <w:t xml:space="preserve">The next adjustment is scheduled for April 1, 2028. An adjustment never applies to a death before its effective date (§ 890(d)).</w:t>
      </w:r>
      <w:r>
        <w:t xml:space="preserve"> </w:t>
      </w:r>
      <w:r>
        <w:rPr>
          <w:b/>
          <w:bCs/>
        </w:rPr>
        <w:t xml:space="preserve">Coverage begins with deaths on April 1, 2022</w:t>
      </w:r>
      <w:r>
        <w:t xml:space="preserve"> </w:t>
      </w:r>
      <w:r>
        <w:t xml:space="preserve">(owner decision, 2026-10-07). Earlier deaths are not determinable.</w:t>
      </w:r>
    </w:p>
    <w:bookmarkEnd w:id="13"/>
    <w:bookmarkStart w:id="14" w:name="decision"/>
    <w:p>
      <w:pPr>
        <w:pStyle w:val="Heading3"/>
      </w:pPr>
      <w:r>
        <w:t xml:space="preserve">Decision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Rule</w:t>
            </w:r>
          </w:p>
        </w:tc>
        <w:tc>
          <w:tcPr/>
          <w:p>
            <w:pPr>
              <w:pStyle w:val="Compact"/>
            </w:pPr>
            <w:r>
              <w:t xml:space="preserve">Citation</w:t>
            </w:r>
          </w:p>
        </w:tc>
      </w:tr>
      <w:tr>
        <w:tc>
          <w:tcPr/>
          <w:p>
            <w:pPr>
              <w:pStyle w:val="Compact"/>
            </w:pPr>
            <w:r>
              <w:t xml:space="preserve">Who is paid</w:t>
            </w:r>
          </w:p>
        </w:tc>
        <w:tc>
          <w:tcPr/>
          <w:p>
            <w:pPr>
              <w:pStyle w:val="Compact"/>
            </w:pPr>
            <w:r>
              <w:t xml:space="preserve">The person(s) who sign the affidavit or declaration as</w:t>
            </w:r>
            <w:r>
              <w:t xml:space="preserve"> </w:t>
            </w:r>
            <w:r>
              <w:rPr>
                <w:b/>
                <w:bCs/>
              </w:rPr>
              <w:t xml:space="preserve">successor of the decedent</w:t>
            </w:r>
            <w:r>
              <w:t xml:space="preserve">, or as someone authorized under § 13051 to act for the successor (for example a guardian, conservator, trustee, or attorney-in-fact). A successor is whoever takes the item under the will, or under intestate succession if there is no will. The institution may rely in good faith on the affidavit and has no duty to check its statements.</w:t>
            </w:r>
          </w:p>
        </w:tc>
        <w:tc>
          <w:tcPr/>
          <w:p>
            <w:pPr>
              <w:pStyle w:val="Compact"/>
            </w:pPr>
            <w:r>
              <w:t xml:space="preserve">§§ 13006, 13051, 13101(a)(7)–(8), 13105(a), 13106(a)</w:t>
            </w:r>
          </w:p>
        </w:tc>
      </w:tr>
      <w:tr>
        <w:tc>
          <w:tcPr/>
          <w:p>
            <w:pPr>
              <w:pStyle w:val="Compact"/>
            </w:pPr>
            <w:r>
              <w:t xml:space="preserve">Shares</w:t>
            </w:r>
          </w:p>
        </w:tc>
        <w:tc>
          <w:tcPr/>
          <w:p>
            <w:pPr>
              <w:pStyle w:val="Compact"/>
            </w:pPr>
            <w:r>
              <w:t xml:space="preserve">One affiant receives 100%. Several affiants are together entitled to the property (§ 13105(a)(1)), and the affidavit is "modified as appropriate" (§ 13101(b)). How payment is split between them follows the affidavit and institution policy (Q2).</w:t>
            </w:r>
          </w:p>
        </w:tc>
        <w:tc>
          <w:tcPr/>
          <w:p>
            <w:pPr>
              <w:pStyle w:val="Compact"/>
            </w:pPr>
            <w:r>
              <w:t xml:space="preserve">§§ 13101(b), 13105(a)(1)</w:t>
            </w:r>
          </w:p>
        </w:tc>
      </w:tr>
      <w:tr>
        <w:tc>
          <w:tcPr/>
          <w:p>
            <w:pPr>
              <w:pStyle w:val="Compact"/>
            </w:pPr>
            <w:r>
              <w:t xml:space="preserve">Documents</w:t>
            </w:r>
          </w:p>
        </w:tc>
        <w:tc>
          <w:tcPr/>
          <w:p>
            <w:pPr>
              <w:pStyle w:val="Compact"/>
            </w:pPr>
            <w:r>
              <w:t xml:space="preserve">1. An affidavit or declaration under penalty of perjury containing every § 13101(a) statement. 2. A certified copy of the death certificate. 3. For deaths on or after April 1, 2022, the Judicial Council's list of adjusted amounts in effect on the date of death. 4. If a personal representative consented: a copy of the consent and of the letters. 5. If the decedent held evidence of ownership that the institution could have required: that evidence, or a bond or indemnity agreement. 6. If the estate includes California real property: an inventory and appraisal by a probate referee. 7. Reasonable proof of each affiant's identity.</w:t>
            </w:r>
          </w:p>
        </w:tc>
        <w:tc>
          <w:tcPr/>
          <w:p>
            <w:pPr>
              <w:pStyle w:val="Compact"/>
            </w:pPr>
            <w:r>
              <w:t xml:space="preserve">§ 13101(a), (d), (e), (f); §§ 13102, 13103, 13104</w:t>
            </w:r>
          </w:p>
        </w:tc>
      </w:tr>
      <w:tr>
        <w:tc>
          <w:tcPr/>
          <w:p>
            <w:pPr>
              <w:pStyle w:val="Compact"/>
            </w:pPr>
            <w:r>
              <w:t xml:space="preserve">Earliest payment</w:t>
            </w:r>
          </w:p>
        </w:tc>
        <w:tc>
          <w:tcPr/>
          <w:p>
            <w:pPr>
              <w:pStyle w:val="Compact"/>
            </w:pPr>
            <w:r>
              <w:t xml:space="preserve">The date 40 days have elapsed since death. Day counting is a legal question (Q3); an institution policy may add more days.</w:t>
            </w:r>
          </w:p>
        </w:tc>
        <w:tc>
          <w:tcPr/>
          <w:p>
            <w:pPr>
              <w:pStyle w:val="Compact"/>
            </w:pPr>
            <w:r>
              <w:t xml:space="preserve">§ 13100</w:t>
            </w:r>
          </w:p>
        </w:tc>
      </w:tr>
      <w:tr>
        <w:tc>
          <w:tcPr/>
          <w:p>
            <w:pPr>
              <w:pStyle w:val="Compact"/>
            </w:pPr>
            <w:r>
              <w:t xml:space="preserve">Liability protection</w:t>
            </w:r>
          </w:p>
        </w:tc>
        <w:tc>
          <w:tcPr/>
          <w:p>
            <w:pPr>
              <w:pStyle w:val="Compact"/>
            </w:pPr>
            <w:r>
              <w:rPr>
                <w:b/>
                <w:bCs/>
              </w:rPr>
              <w:t xml:space="preserve">Yes</w:t>
            </w:r>
            <w:r>
              <w:t xml:space="preserve">, if §§ 13100–13104 are satisfied. Receiving the affidavit discharges the institution from further liability for the money paid, and it is not liable for state taxes because of the payment.</w:t>
            </w:r>
          </w:p>
        </w:tc>
        <w:tc>
          <w:tcPr/>
          <w:p>
            <w:pPr>
              <w:pStyle w:val="Compact"/>
            </w:pPr>
            <w:r>
              <w:t xml:space="preserve">§ 13106(a), (b)</w:t>
            </w:r>
          </w:p>
        </w:tc>
      </w:tr>
    </w:tbl>
    <w:p>
      <w:pPr>
        <w:pStyle w:val="BodyText"/>
      </w:pPr>
      <w:r>
        <w:rPr>
          <w:b/>
          <w:bCs/>
        </w:rPr>
        <w:t xml:space="preserve">Not determinable on this path:</w:t>
      </w:r>
    </w:p>
    <w:p>
      <w:pPr>
        <w:pStyle w:val="Compact"/>
        <w:numPr>
          <w:ilvl w:val="0"/>
          <w:numId w:val="1005"/>
        </w:numPr>
      </w:pPr>
      <w:r>
        <w:t xml:space="preserve">The estate value exceeds the limit (probate or another procedure is needed).</w:t>
      </w:r>
    </w:p>
    <w:p>
      <w:pPr>
        <w:pStyle w:val="Compact"/>
        <w:numPr>
          <w:ilvl w:val="0"/>
          <w:numId w:val="1005"/>
        </w:numPr>
      </w:pPr>
      <w:r>
        <w:t xml:space="preserve">A California administration proceeding exists and there is no written consent from the personal representative.</w:t>
      </w:r>
    </w:p>
    <w:p>
      <w:pPr>
        <w:pStyle w:val="Compact"/>
        <w:numPr>
          <w:ilvl w:val="0"/>
          <w:numId w:val="1005"/>
        </w:numPr>
      </w:pPr>
      <w:r>
        <w:t xml:space="preserve">The account is secured by a lien on real property (§ 13106.5), which is out of scope.</w:t>
      </w:r>
    </w:p>
    <w:p>
      <w:pPr>
        <w:pStyle w:val="Compact"/>
        <w:numPr>
          <w:ilvl w:val="0"/>
          <w:numId w:val="1005"/>
        </w:numPr>
      </w:pPr>
      <w:r>
        <w:t xml:space="preserve">The facts don't include the declared estate value.</w:t>
      </w:r>
    </w:p>
    <w:bookmarkEnd w:id="14"/>
    <w:bookmarkEnd w:id="15"/>
    <w:bookmarkStart w:id="16" w:name="Xb6305f2240bf96b7bfbac5953aaed94dbf92342"/>
    <w:p>
      <w:pPr>
        <w:pStyle w:val="Heading2"/>
      </w:pPr>
      <w:r>
        <w:t xml:space="preserve">Path C: surviving spouse or registered domestic partner</w:t>
      </w:r>
    </w:p>
    <w:p>
      <w:pPr>
        <w:pStyle w:val="FirstParagraph"/>
      </w:pPr>
      <w:r>
        <w:t xml:space="preserve">Under § 13500, property passing to a surviving spouse (by intestacy under § 6401, or by will) needs no administration. Section 13540 covers real property only. The procedure for a spouse to collect a</w:t>
      </w:r>
      <w:r>
        <w:t xml:space="preserve"> </w:t>
      </w:r>
      <w:r>
        <w:rPr>
          <w:b/>
          <w:bCs/>
        </w:rPr>
        <w:t xml:space="preserve">deposit account</w:t>
      </w:r>
      <w:r>
        <w:t xml:space="preserve"> </w:t>
      </w:r>
      <w:r>
        <w:t xml:space="preserve">without the Path B affidavit has not been confirmed yet (Q5). Until it is, a claim that relies only on spousal status is</w:t>
      </w:r>
      <w:r>
        <w:t xml:space="preserve"> </w:t>
      </w:r>
      <w:r>
        <w:rPr>
          <w:b/>
          <w:bCs/>
        </w:rPr>
        <w:t xml:space="preserve">not determinable</w:t>
      </w:r>
      <w:r>
        <w:t xml:space="preserve">. A spouse who is a POD payee or a surviving joint party uses Path A, and a spouse who signs a small-estate affidavit uses Path B.</w:t>
      </w:r>
    </w:p>
    <w:bookmarkEnd w:id="16"/>
    <w:bookmarkStart w:id="17" w:name="intestate-shares-reference-only"/>
    <w:p>
      <w:pPr>
        <w:pStyle w:val="Heading2"/>
      </w:pPr>
      <w:r>
        <w:t xml:space="preserve">Intestate shares (reference only)</w:t>
      </w:r>
    </w:p>
    <w:p>
      <w:pPr>
        <w:pStyle w:val="FirstParagraph"/>
      </w:pPr>
      <w:r>
        <w:t xml:space="preserve">Sections 6401 and 6402 set intestate shares: community property to the spouse, and separate property split between the spouse and issue, parents, or siblings according to who survives. On Path B the institution relies on the affidavit's statement of who the successor is (§ 13106(a)), so v1 does</w:t>
      </w:r>
      <w:r>
        <w:t xml:space="preserve"> </w:t>
      </w:r>
      <w:r>
        <w:rPr>
          <w:b/>
          <w:bCs/>
        </w:rPr>
        <w:t xml:space="preserve">not</w:t>
      </w:r>
      <w:r>
        <w:t xml:space="preserve"> </w:t>
      </w:r>
      <w:r>
        <w:t xml:space="preserve">compute intestate shares. Whether it should cross-check them is Q4.</w:t>
      </w:r>
    </w:p>
    <w:bookmarkEnd w:id="17"/>
    <w:bookmarkStart w:id="18" w:name="facts-the-engine-will-need"/>
    <w:p>
      <w:pPr>
        <w:pStyle w:val="Heading2"/>
      </w:pPr>
      <w:r>
        <w:t xml:space="preserve">Facts the engine will need</w:t>
      </w:r>
    </w:p>
    <w:p>
      <w:pPr>
        <w:pStyle w:val="FirstParagraph"/>
      </w:pPr>
      <w:r>
        <w:rPr>
          <w:b/>
          <w:bCs/>
        </w:rPr>
        <w:t xml:space="preserve">In the schema</w:t>
      </w:r>
      <w:r>
        <w:t xml:space="preserve"> </w:t>
      </w:r>
      <w:r>
        <w:t xml:space="preserve">(REQ-CORE-004):</w:t>
      </w:r>
    </w:p>
    <w:p>
      <w:pPr>
        <w:pStyle w:val="Compact"/>
        <w:numPr>
          <w:ilvl w:val="0"/>
          <w:numId w:val="1006"/>
        </w:numPr>
      </w:pPr>
      <w:r>
        <w:t xml:space="preserve">Account type: sole, joint with survivorship (California's default, § 5302(a)), POD, Totten trust. A joint account without survivorship falls under § 5302(d) and is not determinable on Path A.</w:t>
      </w:r>
    </w:p>
    <w:p>
      <w:pPr>
        <w:pStyle w:val="Compact"/>
        <w:numPr>
          <w:ilvl w:val="0"/>
          <w:numId w:val="1006"/>
        </w:numPr>
      </w:pPr>
      <w:r>
        <w:t xml:space="preserve">Holders by role (co-owner, POD payee, Totten beneficiary), with survivorship and any terms shares.</w:t>
      </w:r>
    </w:p>
    <w:p>
      <w:pPr>
        <w:pStyle w:val="Compact"/>
        <w:numPr>
          <w:ilvl w:val="0"/>
          <w:numId w:val="1006"/>
        </w:numPr>
      </w:pPr>
      <w:r>
        <w:t xml:space="preserve">Whether the terms require multiple signatures.</w:t>
      </w:r>
    </w:p>
    <w:p>
      <w:pPr>
        <w:pStyle w:val="Compact"/>
        <w:numPr>
          <w:ilvl w:val="0"/>
          <w:numId w:val="1006"/>
        </w:numPr>
      </w:pPr>
      <w:r>
        <w:t xml:space="preserve">Whether a restraining order or a written withdrawal notice has been received.</w:t>
      </w:r>
    </w:p>
    <w:p>
      <w:pPr>
        <w:pStyle w:val="Compact"/>
        <w:numPr>
          <w:ilvl w:val="0"/>
          <w:numId w:val="1006"/>
        </w:numPr>
      </w:pPr>
      <w:r>
        <w:t xml:space="preserve">Former-spouse and former-domestic-partner relationships (§ 5040).</w:t>
      </w:r>
    </w:p>
    <w:p>
      <w:pPr>
        <w:pStyle w:val="FirstParagraph"/>
      </w:pPr>
      <w:r>
        <w:rPr>
          <w:b/>
          <w:bCs/>
        </w:rPr>
        <w:t xml:space="preserve">Also in the schema for Path B</w:t>
      </w:r>
      <w:r>
        <w:t xml:space="preserve"> </w:t>
      </w:r>
      <w:r>
        <w:t xml:space="preserve">(REQ-CORE-005):</w:t>
      </w:r>
    </w:p>
    <w:p>
      <w:pPr>
        <w:pStyle w:val="Compact"/>
        <w:numPr>
          <w:ilvl w:val="0"/>
          <w:numId w:val="1007"/>
        </w:numPr>
      </w:pPr>
      <w:r>
        <w:rPr>
          <w:rStyle w:val="VerbatimChar"/>
        </w:rPr>
        <w:t xml:space="preserve">estate.declared_value</w:t>
      </w:r>
      <w:r>
        <w:t xml:space="preserve">: the declared gross value of California property, excluding § 13050 property, as stated in the affidavit (</w:t>
      </w:r>
      <w:r>
        <w:rPr>
          <w:rStyle w:val="VerbatimChar"/>
        </w:rPr>
        <w:t xml:space="preserve">null</w:t>
      </w:r>
      <w:r>
        <w:t xml:space="preserve"> </w:t>
      </w:r>
      <w:r>
        <w:t xml:space="preserve">if not declared).</w:t>
      </w:r>
    </w:p>
    <w:p>
      <w:pPr>
        <w:pStyle w:val="Compact"/>
        <w:numPr>
          <w:ilvl w:val="0"/>
          <w:numId w:val="1007"/>
        </w:numPr>
      </w:pPr>
      <w:r>
        <w:rPr>
          <w:rStyle w:val="VerbatimChar"/>
        </w:rPr>
        <w:t xml:space="preserve">estate.has_real_property_in_jurisdiction</w:t>
      </w:r>
      <w:r>
        <w:t xml:space="preserve">: whether the estate includes California real property (§ 13103).</w:t>
      </w:r>
    </w:p>
    <w:p>
      <w:pPr>
        <w:pStyle w:val="Compact"/>
        <w:numPr>
          <w:ilvl w:val="0"/>
          <w:numId w:val="1007"/>
        </w:numPr>
      </w:pPr>
      <w:r>
        <w:rPr>
          <w:rStyle w:val="VerbatimChar"/>
        </w:rPr>
        <w:t xml:space="preserve">estate.administration</w:t>
      </w:r>
      <w:r>
        <w:t xml:space="preserve">: none / opened with the personal representative's written consent / opened without consent (§ 13101(a)(4)).</w:t>
      </w:r>
    </w:p>
    <w:p>
      <w:pPr>
        <w:pStyle w:val="Compact"/>
        <w:numPr>
          <w:ilvl w:val="0"/>
          <w:numId w:val="1007"/>
        </w:numPr>
      </w:pPr>
      <w:r>
        <w:rPr>
          <w:rStyle w:val="VerbatimChar"/>
        </w:rPr>
        <w:t xml:space="preserve">estate.affiants</w:t>
      </w:r>
      <w:r>
        <w:t xml:space="preserve">: who signs, as successor or as a § 13051 representative acting for a listed successor.</w:t>
      </w:r>
    </w:p>
    <w:p>
      <w:pPr>
        <w:pStyle w:val="Compact"/>
        <w:numPr>
          <w:ilvl w:val="0"/>
          <w:numId w:val="1007"/>
        </w:numPr>
      </w:pPr>
      <w:r>
        <w:rPr>
          <w:rStyle w:val="VerbatimChar"/>
        </w:rPr>
        <w:t xml:space="preserve">account.ownership_instrument_issued</w:t>
      </w:r>
      <w:r>
        <w:t xml:space="preserve">: whether evidence of ownership could be required (§ 13102).</w:t>
      </w:r>
    </w:p>
    <w:p>
      <w:pPr>
        <w:pStyle w:val="FirstParagraph"/>
      </w:pPr>
      <w:r>
        <w:rPr>
          <w:b/>
          <w:bCs/>
        </w:rPr>
        <w:t xml:space="preserve">Institution policy, not facts</w:t>
      </w:r>
      <w:r>
        <w:t xml:space="preserve"> </w:t>
      </w:r>
      <w:r>
        <w:t xml:space="preserve">(REQ-POLICY-001): extra waiting days, extra documents, and declined account types or balances.</w:t>
      </w:r>
    </w:p>
    <w:bookmarkEnd w:id="18"/>
    <w:bookmarkStart w:id="19" w:name="draft-golden-scenarios"/>
    <w:p>
      <w:pPr>
        <w:pStyle w:val="Heading2"/>
      </w:pPr>
      <w:r>
        <w:t xml:space="preserve">Draft golden scenarios</w:t>
      </w:r>
    </w:p>
    <w:p>
      <w:pPr>
        <w:pStyle w:val="FirstParagraph"/>
      </w:pPr>
      <w:r>
        <w:t xml:space="preserve">These become</w:t>
      </w:r>
      <w:r>
        <w:t xml:space="preserve"> </w:t>
      </w:r>
      <w:r>
        <w:rPr>
          <w:rStyle w:val="VerbatimChar"/>
        </w:rPr>
        <w:t xml:space="preserve">golden/ca.yaml</w:t>
      </w:r>
      <w:r>
        <w:t xml:space="preserve"> </w:t>
      </w:r>
      <w:r>
        <w:t xml:space="preserve">after attorney review. Dates assume Q3 is resolved as "death date + 40 days" and an institution policy that adds nothing.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Facts</w:t>
            </w:r>
          </w:p>
        </w:tc>
        <w:tc>
          <w:tcPr/>
          <w:p>
            <w:pPr>
              <w:pStyle w:val="Compact"/>
            </w:pPr>
            <w:r>
              <w:t xml:space="preserve">Expected</w:t>
            </w:r>
          </w:p>
        </w:tc>
      </w:tr>
      <w:tr>
        <w:tc>
          <w:tcPr/>
          <w:p>
            <w:pPr>
              <w:pStyle w:val="Compact"/>
            </w:pPr>
            <w:r>
              <w:t xml:space="preserve">GS-CA-001</w:t>
            </w:r>
          </w:p>
        </w:tc>
        <w:tc>
          <w:tcPr/>
          <w:p>
            <w:pPr>
              <w:pStyle w:val="Compact"/>
            </w:pPr>
            <w:r>
              <w:t xml:space="preserve">Sole account; died 2025-06-01; CA estate $150,000.00; no proceeding; one affiant (successor)</w:t>
            </w:r>
          </w:p>
        </w:tc>
        <w:tc>
          <w:tcPr/>
          <w:p>
            <w:pPr>
              <w:pStyle w:val="Compact"/>
            </w:pPr>
            <w:r>
              <w:t xml:space="preserve">Pay affiant 1/1. Documents: affidavit, death certificate, 2025 § 890 list, proof of identity. Earliest payment 2025-07-11. Protected (§ 13106).</w:t>
            </w:r>
          </w:p>
        </w:tc>
      </w:tr>
      <w:tr>
        <w:tc>
          <w:tcPr/>
          <w:p>
            <w:pPr>
              <w:pStyle w:val="Compact"/>
            </w:pPr>
            <w:r>
              <w:t xml:space="preserve">GS-CA-002</w:t>
            </w:r>
          </w:p>
        </w:tc>
        <w:tc>
          <w:tcPr/>
          <w:p>
            <w:pPr>
              <w:pStyle w:val="Compact"/>
            </w:pPr>
            <w:r>
              <w:t xml:space="preserve">As 001, but died 2025-03-31 with estate $184,500.00</w:t>
            </w:r>
          </w:p>
        </w:tc>
        <w:tc>
          <w:tcPr/>
          <w:p>
            <w:pPr>
              <w:pStyle w:val="Compact"/>
            </w:pPr>
            <w:r>
              <w:t xml:space="preserve">Eligible: equal to the limit for that date.</w:t>
            </w:r>
          </w:p>
        </w:tc>
      </w:tr>
      <w:tr>
        <w:tc>
          <w:tcPr/>
          <w:p>
            <w:pPr>
              <w:pStyle w:val="Compact"/>
            </w:pPr>
            <w:r>
              <w:t xml:space="preserve">GS-CA-003</w:t>
            </w:r>
          </w:p>
        </w:tc>
        <w:tc>
          <w:tcPr/>
          <w:p>
            <w:pPr>
              <w:pStyle w:val="Compact"/>
            </w:pPr>
            <w:r>
              <w:t xml:space="preserve">As 001, but died 2025-03-31 with estate $184,500.01</w:t>
            </w:r>
          </w:p>
        </w:tc>
        <w:tc>
          <w:tcPr/>
          <w:p>
            <w:pPr>
              <w:pStyle w:val="Compact"/>
            </w:pPr>
            <w:r>
              <w:t xml:space="preserve">Not determinable: over the limit.</w:t>
            </w:r>
          </w:p>
        </w:tc>
      </w:tr>
      <w:tr>
        <w:tc>
          <w:tcPr/>
          <w:p>
            <w:pPr>
              <w:pStyle w:val="Compact"/>
            </w:pPr>
            <w:r>
              <w:t xml:space="preserve">GS-CA-004</w:t>
            </w:r>
          </w:p>
        </w:tc>
        <w:tc>
          <w:tcPr/>
          <w:p>
            <w:pPr>
              <w:pStyle w:val="Compact"/>
            </w:pPr>
            <w:r>
              <w:t xml:space="preserve">As 001, but died 2025-04-01 with estate $208,850.00</w:t>
            </w:r>
          </w:p>
        </w:tc>
        <w:tc>
          <w:tcPr/>
          <w:p>
            <w:pPr>
              <w:pStyle w:val="Compact"/>
            </w:pPr>
            <w:r>
              <w:t xml:space="preserve">Eligible: new limit applies from 2025-04-01.</w:t>
            </w:r>
          </w:p>
        </w:tc>
      </w:tr>
      <w:tr>
        <w:tc>
          <w:tcPr/>
          <w:p>
            <w:pPr>
              <w:pStyle w:val="Compact"/>
            </w:pPr>
            <w:r>
              <w:t xml:space="preserve">GS-CA-005</w:t>
            </w:r>
          </w:p>
        </w:tc>
        <w:tc>
          <w:tcPr/>
          <w:p>
            <w:pPr>
              <w:pStyle w:val="Compact"/>
            </w:pPr>
            <w:r>
              <w:t xml:space="preserve">As 001, but an administration proceeding exists with no PR consent</w:t>
            </w:r>
          </w:p>
        </w:tc>
        <w:tc>
          <w:tcPr/>
          <w:p>
            <w:pPr>
              <w:pStyle w:val="Compact"/>
            </w:pPr>
            <w:r>
              <w:t xml:space="preserve">Not determinable.</w:t>
            </w:r>
          </w:p>
        </w:tc>
      </w:tr>
      <w:tr>
        <w:tc>
          <w:tcPr/>
          <w:p>
            <w:pPr>
              <w:pStyle w:val="Compact"/>
            </w:pPr>
            <w:r>
              <w:t xml:space="preserve">GS-CA-006</w:t>
            </w:r>
          </w:p>
        </w:tc>
        <w:tc>
          <w:tcPr/>
          <w:p>
            <w:pPr>
              <w:pStyle w:val="Compact"/>
            </w:pPr>
            <w:r>
              <w:t xml:space="preserve">As 005, but the PR consented in writing</w:t>
            </w:r>
          </w:p>
        </w:tc>
        <w:tc>
          <w:tcPr/>
          <w:p>
            <w:pPr>
              <w:pStyle w:val="Compact"/>
            </w:pPr>
            <w:r>
              <w:t xml:space="preserve">Eligible. Documents add the consent and the letters.</w:t>
            </w:r>
          </w:p>
        </w:tc>
      </w:tr>
      <w:tr>
        <w:tc>
          <w:tcPr/>
          <w:p>
            <w:pPr>
              <w:pStyle w:val="Compact"/>
            </w:pPr>
            <w:r>
              <w:t xml:space="preserve">GS-CA-007</w:t>
            </w:r>
          </w:p>
        </w:tc>
        <w:tc>
          <w:tcPr/>
          <w:p>
            <w:pPr>
              <w:pStyle w:val="Compact"/>
            </w:pPr>
            <w:r>
              <w:t xml:space="preserve">As 001, but the estate includes CA real property</w:t>
            </w:r>
          </w:p>
        </w:tc>
        <w:tc>
          <w:tcPr/>
          <w:p>
            <w:pPr>
              <w:pStyle w:val="Compact"/>
            </w:pPr>
            <w:r>
              <w:t xml:space="preserve">Eligible. Documents add an inventory and appraisal.</w:t>
            </w:r>
          </w:p>
        </w:tc>
      </w:tr>
      <w:tr>
        <w:tc>
          <w:tcPr/>
          <w:p>
            <w:pPr>
              <w:pStyle w:val="Compact"/>
            </w:pPr>
            <w:r>
              <w:t xml:space="preserve">GS-CA-008</w:t>
            </w:r>
          </w:p>
        </w:tc>
        <w:tc>
          <w:tcPr/>
          <w:p>
            <w:pPr>
              <w:pStyle w:val="Compact"/>
            </w:pPr>
            <w:r>
              <w:t xml:space="preserve">POD account; two surviving POD payees; no share terms</w:t>
            </w:r>
          </w:p>
        </w:tc>
        <w:tc>
          <w:tcPr/>
          <w:p>
            <w:pPr>
              <w:pStyle w:val="Compact"/>
            </w:pPr>
            <w:r>
              <w:t xml:space="preserve">Pay each 1/2. Document: proof of death. Payable on request. Protected (§ 5405).</w:t>
            </w:r>
          </w:p>
        </w:tc>
      </w:tr>
      <w:tr>
        <w:tc>
          <w:tcPr/>
          <w:p>
            <w:pPr>
              <w:pStyle w:val="Compact"/>
            </w:pPr>
            <w:r>
              <w:t xml:space="preserve">GS-CA-009</w:t>
            </w:r>
          </w:p>
        </w:tc>
        <w:tc>
          <w:tcPr/>
          <w:p>
            <w:pPr>
              <w:pStyle w:val="Compact"/>
            </w:pPr>
            <w:r>
              <w:t xml:space="preserve">Joint with survivorship; one surviving party</w:t>
            </w:r>
          </w:p>
        </w:tc>
        <w:tc>
          <w:tcPr/>
          <w:p>
            <w:pPr>
              <w:pStyle w:val="Compact"/>
            </w:pPr>
            <w:r>
              <w:t xml:space="preserve">Pay survivor 1/1 (§ 5302(a)). Protected (§ 5405).</w:t>
            </w:r>
          </w:p>
        </w:tc>
      </w:tr>
      <w:tr>
        <w:tc>
          <w:tcPr/>
          <w:p>
            <w:pPr>
              <w:pStyle w:val="Compact"/>
            </w:pPr>
            <w:r>
              <w:t xml:space="preserve">GS-CA-010</w:t>
            </w:r>
          </w:p>
        </w:tc>
        <w:tc>
          <w:tcPr/>
          <w:p>
            <w:pPr>
              <w:pStyle w:val="Compact"/>
            </w:pPr>
            <w:r>
              <w:t xml:space="preserve">POD payee is the decedent's former spouse</w:t>
            </w:r>
          </w:p>
        </w:tc>
        <w:tc>
          <w:tcPr/>
          <w:p>
            <w:pPr>
              <w:pStyle w:val="Compact"/>
            </w:pPr>
            <w:r>
              <w:t xml:space="preserve">Not determinable (§ 5040).</w:t>
            </w:r>
          </w:p>
        </w:tc>
      </w:tr>
      <w:tr>
        <w:tc>
          <w:tcPr/>
          <w:p>
            <w:pPr>
              <w:pStyle w:val="Compact"/>
            </w:pPr>
            <w:r>
              <w:t xml:space="preserve">GS-CA-011</w:t>
            </w:r>
          </w:p>
        </w:tc>
        <w:tc>
          <w:tcPr/>
          <w:p>
            <w:pPr>
              <w:pStyle w:val="Compact"/>
            </w:pPr>
            <w:r>
              <w:t xml:space="preserve">Restraining order served before payment</w:t>
            </w:r>
          </w:p>
        </w:tc>
        <w:tc>
          <w:tcPr/>
          <w:p>
            <w:pPr>
              <w:pStyle w:val="Compact"/>
            </w:pPr>
            <w:r>
              <w:t xml:space="preserve">Not determinable: no § 5405 protection.</w:t>
            </w:r>
          </w:p>
        </w:tc>
      </w:tr>
      <w:tr>
        <w:tc>
          <w:tcPr/>
          <w:p>
            <w:pPr>
              <w:pStyle w:val="Compact"/>
            </w:pPr>
            <w:r>
              <w:t xml:space="preserve">GS-CA-012</w:t>
            </w:r>
          </w:p>
        </w:tc>
        <w:tc>
          <w:tcPr/>
          <w:p>
            <w:pPr>
              <w:pStyle w:val="Compact"/>
            </w:pPr>
            <w:r>
              <w:t xml:space="preserve">Died 2022-03-31</w:t>
            </w:r>
          </w:p>
        </w:tc>
        <w:tc>
          <w:tcPr/>
          <w:p>
            <w:pPr>
              <w:pStyle w:val="Compact"/>
            </w:pPr>
            <w:r>
              <w:t xml:space="preserve">Not determinable: before coverage starts (deaths from 2022-04-01).</w:t>
            </w:r>
          </w:p>
        </w:tc>
      </w:tr>
      <w:tr>
        <w:tc>
          <w:tcPr/>
          <w:p>
            <w:pPr>
              <w:pStyle w:val="Compact"/>
            </w:pPr>
            <w:r>
              <w:t xml:space="preserve">GS-CA-013</w:t>
            </w:r>
          </w:p>
        </w:tc>
        <w:tc>
          <w:tcPr/>
          <w:p>
            <w:pPr>
              <w:pStyle w:val="Compact"/>
            </w:pPr>
            <w:r>
              <w:t xml:space="preserve">As 001, but died 2022-04-01 with estate $184,500.00</w:t>
            </w:r>
          </w:p>
        </w:tc>
        <w:tc>
          <w:tcPr/>
          <w:p>
            <w:pPr>
              <w:pStyle w:val="Compact"/>
            </w:pPr>
            <w:r>
              <w:t xml:space="preserve">Eligible: first day of coverage, at the 2022 limit.</w:t>
            </w:r>
          </w:p>
        </w:tc>
      </w:tr>
      <w:tr>
        <w:tc>
          <w:tcPr/>
          <w:p>
            <w:pPr>
              <w:pStyle w:val="Compact"/>
            </w:pPr>
            <w:r>
              <w:t xml:space="preserve">GS-CA-014</w:t>
            </w:r>
          </w:p>
        </w:tc>
        <w:tc>
          <w:tcPr/>
          <w:p>
            <w:pPr>
              <w:pStyle w:val="Compact"/>
            </w:pPr>
            <w:r>
              <w:t xml:space="preserve">Totten trust; trustee was the sole trustee; two surviving beneficiaries; no share terms</w:t>
            </w:r>
          </w:p>
        </w:tc>
        <w:tc>
          <w:tcPr/>
          <w:p>
            <w:pPr>
              <w:pStyle w:val="Compact"/>
            </w:pPr>
            <w:r>
              <w:t xml:space="preserve">Pay each 1/2. Document: proof of death showing both beneficiaries survived the trustee. Payable on request. Protected (§ 5405).</w:t>
            </w:r>
          </w:p>
        </w:tc>
      </w:tr>
      <w:tr>
        <w:tc>
          <w:tcPr/>
          <w:p>
            <w:pPr>
              <w:pStyle w:val="Compact"/>
            </w:pPr>
            <w:r>
              <w:t xml:space="preserve">GS-CA-015</w:t>
            </w:r>
          </w:p>
        </w:tc>
        <w:tc>
          <w:tcPr/>
          <w:p>
            <w:pPr>
              <w:pStyle w:val="Compact"/>
            </w:pPr>
            <w:r>
              <w:t xml:space="preserve">Totten trust; account terms give beneficiaries 70% / 30%</w:t>
            </w:r>
          </w:p>
        </w:tc>
        <w:tc>
          <w:tcPr/>
          <w:p>
            <w:pPr>
              <w:pStyle w:val="Compact"/>
            </w:pPr>
            <w:r>
              <w:t xml:space="preserve">Pay 7/10 and 3/10 per the account terms (§ 5302(c)(2)(B)).</w:t>
            </w:r>
          </w:p>
        </w:tc>
      </w:tr>
      <w:tr>
        <w:tc>
          <w:tcPr/>
          <w:p>
            <w:pPr>
              <w:pStyle w:val="Compact"/>
            </w:pPr>
            <w:r>
              <w:t xml:space="preserve">GS-CA-016</w:t>
            </w:r>
          </w:p>
        </w:tc>
        <w:tc>
          <w:tcPr/>
          <w:p>
            <w:pPr>
              <w:pStyle w:val="Compact"/>
            </w:pPr>
            <w:r>
              <w:t xml:space="preserve">Joint with survivorship; two surviving parties</w:t>
            </w:r>
          </w:p>
        </w:tc>
        <w:tc>
          <w:tcPr/>
          <w:p>
            <w:pPr>
              <w:pStyle w:val="Compact"/>
            </w:pPr>
            <w:r>
              <w:t xml:space="preserve">Payable to any of the survivors per the account terms (§§ 5401(a), 5402). Protected (§ 5405). Uses the</w:t>
            </w:r>
            <w:r>
              <w:t xml:space="preserve"> </w:t>
            </w:r>
            <w:r>
              <w:rPr>
                <w:rStyle w:val="VerbatimChar"/>
              </w:rPr>
              <w:t xml:space="preserve">any_of</w:t>
            </w:r>
            <w:r>
              <w:t xml:space="preserve"> </w:t>
            </w:r>
            <w:r>
              <w:t xml:space="preserve">payment form.</w:t>
            </w:r>
          </w:p>
        </w:tc>
      </w:tr>
    </w:tbl>
    <w:p>
      <w:r>
        <w:br w:type="page"/>
      </w:r>
    </w:p>
    <w:bookmarkEnd w:id="19"/>
    <w:bookmarkEnd w:id="20"/>
    <w:bookmarkStart w:id="23" w:name="california-open-questions"/>
    <w:p>
      <w:pPr>
        <w:pStyle w:val="Heading1"/>
      </w:pPr>
      <w:r>
        <w:t xml:space="preserve">California: open questions</w:t>
      </w:r>
    </w:p>
    <w:p>
      <w:pPr>
        <w:pStyle w:val="FirstParagraph"/>
      </w:pPr>
      <w:r>
        <w:t xml:space="preserve">Each question is tagged with what answers it:</w:t>
      </w:r>
    </w:p>
    <w:p>
      <w:pPr>
        <w:pStyle w:val="Compact"/>
        <w:numPr>
          <w:ilvl w:val="0"/>
          <w:numId w:val="1008"/>
        </w:numPr>
      </w:pPr>
      <w:r>
        <w:rPr>
          <w:b/>
          <w:bCs/>
        </w:rPr>
        <w:t xml:space="preserve">Law:</w:t>
      </w:r>
      <w:r>
        <w:t xml:space="preserve"> </w:t>
      </w:r>
      <w:r>
        <w:t xml:space="preserve">needs an attorney.</w:t>
      </w:r>
    </w:p>
    <w:p>
      <w:pPr>
        <w:pStyle w:val="Compact"/>
        <w:numPr>
          <w:ilvl w:val="0"/>
          <w:numId w:val="1008"/>
        </w:numPr>
      </w:pPr>
      <w:r>
        <w:rPr>
          <w:b/>
          <w:bCs/>
        </w:rPr>
        <w:t xml:space="preserve">Terms:</w:t>
      </w:r>
      <w:r>
        <w:t xml:space="preserve"> </w:t>
      </w:r>
      <w:r>
        <w:t xml:space="preserve">answered by the account's own terms, supplied as facts.</w:t>
      </w:r>
    </w:p>
    <w:p>
      <w:pPr>
        <w:pStyle w:val="Compact"/>
        <w:numPr>
          <w:ilvl w:val="0"/>
          <w:numId w:val="1008"/>
        </w:numPr>
      </w:pPr>
      <w:r>
        <w:rPr>
          <w:b/>
          <w:bCs/>
        </w:rPr>
        <w:t xml:space="preserve">Policy:</w:t>
      </w:r>
      <w:r>
        <w:t xml:space="preserve"> </w:t>
      </w:r>
      <w:r>
        <w:t xml:space="preserve">an institution choice. It may be stricter than the statute, never looser.</w:t>
      </w:r>
    </w:p>
    <w:p>
      <w:pPr>
        <w:pStyle w:val="FirstParagraph"/>
      </w:pPr>
      <w:r>
        <w:t xml:space="preserve">Until a question is answered, the affected cases are</w:t>
      </w:r>
      <w:r>
        <w:t xml:space="preserve"> </w:t>
      </w:r>
      <w:r>
        <w:rPr>
          <w:b/>
          <w:bCs/>
        </w:rPr>
        <w:t xml:space="preserve">not determinable</w:t>
      </w:r>
      <w:r>
        <w:t xml:space="preserve">.</w:t>
      </w:r>
    </w:p>
    <w:bookmarkStart w:id="21" w:name="open"/>
    <w:p>
      <w:pPr>
        <w:pStyle w:val="Heading2"/>
      </w:pPr>
      <w:r>
        <w:t xml:space="preserve">Open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Question</w:t>
            </w:r>
          </w:p>
        </w:tc>
        <w:tc>
          <w:tcPr/>
          <w:p>
            <w:pPr>
              <w:pStyle w:val="Compact"/>
            </w:pPr>
            <w:r>
              <w:t xml:space="preserve">Answered by</w:t>
            </w:r>
          </w:p>
        </w:tc>
        <w:tc>
          <w:tcPr/>
          <w:p>
            <w:pPr>
              <w:pStyle w:val="Compact"/>
            </w:pPr>
            <w:r>
              <w:t xml:space="preserve">Blocks</w:t>
            </w:r>
          </w:p>
        </w:tc>
        <w:tc>
          <w:tcPr/>
          <w:p>
            <w:pPr>
              <w:pStyle w:val="Compact"/>
            </w:pPr>
            <w:r>
              <w:t xml:space="preserve">Proposed default</w:t>
            </w:r>
          </w:p>
        </w:tc>
      </w:tr>
      <w:tr>
        <w:tc>
          <w:tcPr/>
          <w:p>
            <w:pPr>
              <w:pStyle w:val="Compact"/>
            </w:pPr>
            <w:r>
              <w:t xml:space="preserve">Q2</w:t>
            </w:r>
          </w:p>
        </w:tc>
        <w:tc>
          <w:tcPr/>
          <w:p>
            <w:pPr>
              <w:pStyle w:val="Compact"/>
            </w:pPr>
            <w:r>
              <w:t xml:space="preserve">With several affiants on Path B, how is payment split? The affiants are entitled together (§ 13105(a)(1)); the split follows the affidavit and institution policy. An attorney should confirm that policy cannot conflict with § 13105.</w:t>
            </w:r>
          </w:p>
        </w:tc>
        <w:tc>
          <w:tcPr/>
          <w:p>
            <w:pPr>
              <w:pStyle w:val="Compact"/>
            </w:pPr>
            <w:r>
              <w:t xml:space="preserve">Policy (Law to confirm)</w:t>
            </w:r>
          </w:p>
        </w:tc>
        <w:tc>
          <w:tcPr/>
          <w:p>
            <w:pPr>
              <w:pStyle w:val="Compact"/>
            </w:pPr>
            <w:r>
              <w:t xml:space="preserve">Path B shares</w:t>
            </w:r>
          </w:p>
        </w:tc>
        <w:tc>
          <w:tcPr/>
          <w:p>
            <w:pPr>
              <w:pStyle w:val="Compact"/>
            </w:pPr>
            <w:r>
              <w:t xml:space="preserve">Not determinable when there is more than one affiant, unless policy says otherwise.</w:t>
            </w:r>
          </w:p>
        </w:tc>
      </w:tr>
      <w:tr>
        <w:tc>
          <w:tcPr/>
          <w:p>
            <w:pPr>
              <w:pStyle w:val="Compact"/>
            </w:pPr>
            <w:r>
              <w:t xml:space="preserve">Q3</w:t>
            </w:r>
          </w:p>
        </w:tc>
        <w:tc>
          <w:tcPr/>
          <w:p>
            <w:pPr>
              <w:pStyle w:val="Compact"/>
            </w:pPr>
            <w:r>
              <w:t xml:space="preserve">Day counting for "40 days have elapsed since the death" (§ 13100): is the earliest payment date the death date + 40 days?</w:t>
            </w:r>
          </w:p>
        </w:tc>
        <w:tc>
          <w:tcPr/>
          <w:p>
            <w:pPr>
              <w:pStyle w:val="Compact"/>
            </w:pPr>
            <w:r>
              <w:t xml:space="preserve">Law</w:t>
            </w:r>
          </w:p>
        </w:tc>
        <w:tc>
          <w:tcPr/>
          <w:p>
            <w:pPr>
              <w:pStyle w:val="Compact"/>
            </w:pPr>
            <w:r>
              <w:t xml:space="preserve">Path B earliest payment</w:t>
            </w:r>
          </w:p>
        </w:tc>
        <w:tc>
          <w:tcPr/>
          <w:p>
            <w:pPr>
              <w:pStyle w:val="Compact"/>
            </w:pPr>
            <w:r>
              <w:t xml:space="preserve">Death date + 40.</w:t>
            </w:r>
          </w:p>
        </w:tc>
      </w:tr>
      <w:tr>
        <w:tc>
          <w:tcPr/>
          <w:p>
            <w:pPr>
              <w:pStyle w:val="Compact"/>
            </w:pPr>
            <w:r>
              <w:t xml:space="preserve">Q4</w:t>
            </w:r>
          </w:p>
        </w:tc>
        <w:tc>
          <w:tcPr/>
          <w:p>
            <w:pPr>
              <w:pStyle w:val="Compact"/>
            </w:pPr>
            <w:r>
              <w:t xml:space="preserve">On Path B, cross-check the declared successor against will or intestacy facts (§§ 6401, 6402), or rely on the affidavit as § 13106(a) permits? The law allows reliance, so a cross-check is an institution choice.</w:t>
            </w:r>
          </w:p>
        </w:tc>
        <w:tc>
          <w:tcPr/>
          <w:p>
            <w:pPr>
              <w:pStyle w:val="Compact"/>
            </w:pPr>
            <w:r>
              <w:t xml:space="preserve">Policy</w:t>
            </w:r>
          </w:p>
        </w:tc>
        <w:tc>
          <w:tcPr/>
          <w:p>
            <w:pPr>
              <w:pStyle w:val="Compact"/>
            </w:pPr>
            <w:r>
              <w:t xml:space="preserve">Facts schema scope</w:t>
            </w:r>
          </w:p>
        </w:tc>
        <w:tc>
          <w:tcPr/>
          <w:p>
            <w:pPr>
              <w:pStyle w:val="Compact"/>
            </w:pPr>
            <w:r>
              <w:t xml:space="preserve">Rely on the affidavit.</w:t>
            </w:r>
          </w:p>
        </w:tc>
      </w:tr>
      <w:tr>
        <w:tc>
          <w:tcPr/>
          <w:p>
            <w:pPr>
              <w:pStyle w:val="Compact"/>
            </w:pPr>
            <w:r>
              <w:t xml:space="preserve">Q5</w:t>
            </w:r>
          </w:p>
        </w:tc>
        <w:tc>
          <w:tcPr/>
          <w:p>
            <w:pPr>
              <w:pStyle w:val="Compact"/>
            </w:pPr>
            <w:r>
              <w:t xml:space="preserve">What procedure lets a surviving spouse or registered domestic partner collect a deposit account without the Path B affidavit (§ 13500 and related sections)?</w:t>
            </w:r>
          </w:p>
        </w:tc>
        <w:tc>
          <w:tcPr/>
          <w:p>
            <w:pPr>
              <w:pStyle w:val="Compact"/>
            </w:pPr>
            <w:r>
              <w:t xml:space="preserve">Law</w:t>
            </w:r>
          </w:p>
        </w:tc>
        <w:tc>
          <w:tcPr/>
          <w:p>
            <w:pPr>
              <w:pStyle w:val="Compact"/>
            </w:pPr>
            <w:r>
              <w:t xml:space="preserve">Path C</w:t>
            </w:r>
          </w:p>
        </w:tc>
        <w:tc>
          <w:tcPr/>
          <w:p>
            <w:pPr>
              <w:pStyle w:val="Compact"/>
            </w:pPr>
            <w:r>
              <w:t xml:space="preserve">Not determinable.</w:t>
            </w:r>
          </w:p>
        </w:tc>
      </w:tr>
      <w:tr>
        <w:tc>
          <w:tcPr/>
          <w:p>
            <w:pPr>
              <w:pStyle w:val="Compact"/>
            </w:pPr>
            <w:r>
              <w:t xml:space="preserve">Q6</w:t>
            </w:r>
          </w:p>
        </w:tc>
        <w:tc>
          <w:tcPr/>
          <w:p>
            <w:pPr>
              <w:pStyle w:val="Compact"/>
            </w:pPr>
            <w:r>
              <w:t xml:space="preserve">Joint accounts with two or more survivors: the statute lets the institution pay any one or more surviving parties according to the account terms (§§ 5401(a), 5402), protected under § 5405. The engine now expresses this as an</w:t>
            </w:r>
            <w:r>
              <w:t xml:space="preserve"> </w:t>
            </w:r>
            <w:r>
              <w:rPr>
                <w:rStyle w:val="VerbatimChar"/>
              </w:rPr>
              <w:t xml:space="preserve">any_of</w:t>
            </w:r>
            <w:r>
              <w:t xml:space="preserve"> </w:t>
            </w:r>
            <w:r>
              <w:t xml:space="preserve">payment. An attorney should confirm the reading.</w:t>
            </w:r>
          </w:p>
        </w:tc>
        <w:tc>
          <w:tcPr/>
          <w:p>
            <w:pPr>
              <w:pStyle w:val="Compact"/>
            </w:pPr>
            <w:r>
              <w:t xml:space="preserve">Terms (Law to confirm)</w:t>
            </w:r>
          </w:p>
        </w:tc>
        <w:tc>
          <w:tcPr/>
          <w:p>
            <w:pPr>
              <w:pStyle w:val="Compact"/>
            </w:pPr>
            <w:r>
              <w:t xml:space="preserve">GS-CA-016</w:t>
            </w:r>
          </w:p>
        </w:tc>
        <w:tc>
          <w:tcPr/>
          <w:p>
            <w:pPr>
              <w:pStyle w:val="Compact"/>
            </w:pPr>
            <w:r>
              <w:rPr>
                <w:rStyle w:val="VerbatimChar"/>
              </w:rPr>
              <w:t xml:space="preserve">any_of</w:t>
            </w:r>
            <w:r>
              <w:t xml:space="preserve"> </w:t>
            </w:r>
            <w:r>
              <w:t xml:space="preserve">payment to all surviving parties.</w:t>
            </w:r>
          </w:p>
        </w:tc>
      </w:tr>
      <w:tr>
        <w:tc>
          <w:tcPr/>
          <w:p>
            <w:pPr>
              <w:pStyle w:val="Compact"/>
            </w:pPr>
            <w:r>
              <w:t xml:space="preserve">Q8</w:t>
            </w:r>
          </w:p>
        </w:tc>
        <w:tc>
          <w:tcPr/>
          <w:p>
            <w:pPr>
              <w:pStyle w:val="Compact"/>
            </w:pPr>
            <w:r>
              <w:t xml:space="preserve">Does the institution require verification beyond the statutory documents (for example, for personal-representative consent or § 13051 representatives)?</w:t>
            </w:r>
          </w:p>
        </w:tc>
        <w:tc>
          <w:tcPr/>
          <w:p>
            <w:pPr>
              <w:pStyle w:val="Compact"/>
            </w:pPr>
            <w:r>
              <w:t xml:space="preserve">Policy</w:t>
            </w:r>
          </w:p>
        </w:tc>
        <w:tc>
          <w:tcPr/>
          <w:p>
            <w:pPr>
              <w:pStyle w:val="Compact"/>
            </w:pPr>
            <w:r>
              <w:t xml:space="preserve">Path B documents</w:t>
            </w:r>
          </w:p>
        </w:tc>
        <w:tc>
          <w:tcPr/>
          <w:p>
            <w:pPr>
              <w:pStyle w:val="Compact"/>
            </w:pPr>
            <w:r>
              <w:t xml:space="preserve">Statutory documents only.</w:t>
            </w:r>
          </w:p>
        </w:tc>
      </w:tr>
      <w:tr>
        <w:tc>
          <w:tcPr/>
          <w:p>
            <w:pPr>
              <w:pStyle w:val="Compact"/>
            </w:pPr>
            <w:r>
              <w:t xml:space="preserve">Q9</w:t>
            </w:r>
          </w:p>
        </w:tc>
        <w:tc>
          <w:tcPr/>
          <w:p>
            <w:pPr>
              <w:pStyle w:val="Compact"/>
            </w:pPr>
            <w:r>
              <w:t xml:space="preserve">Confirm every citation and quotation against the official code at leginfo.legislature.ca.gov. The automated fetch was blocked; text came from a mirror.</w:t>
            </w:r>
          </w:p>
        </w:tc>
        <w:tc>
          <w:tcPr/>
          <w:p>
            <w:pPr>
              <w:pStyle w:val="Compact"/>
            </w:pPr>
            <w:r>
              <w:t xml:space="preserve">Law</w:t>
            </w:r>
          </w:p>
        </w:tc>
        <w:tc>
          <w:tcPr/>
          <w:p>
            <w:pPr>
              <w:pStyle w:val="Compact"/>
            </w:pPr>
            <w:r>
              <w:t xml:space="preserve">Approval of the whole spec</w:t>
            </w:r>
          </w:p>
        </w:tc>
        <w:tc>
          <w:tcPr/>
          <w:p>
            <w:pPr>
              <w:pStyle w:val="Compact"/>
            </w:pPr>
            <w:r>
              <w:t xml:space="preserve">—</w:t>
            </w:r>
          </w:p>
        </w:tc>
      </w:tr>
    </w:tbl>
    <w:bookmarkEnd w:id="21"/>
    <w:bookmarkStart w:id="22" w:name="resolved"/>
    <w:p>
      <w:pPr>
        <w:pStyle w:val="Heading2"/>
      </w:pPr>
      <w:r>
        <w:t xml:space="preserve">Resolved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By</w:t>
            </w:r>
          </w:p>
        </w:tc>
        <w:tc>
          <w:tcPr/>
          <w:p>
            <w:pPr>
              <w:pStyle w:val="Compact"/>
            </w:pPr>
            <w:r>
              <w:t xml:space="preserve">Date</w:t>
            </w:r>
          </w:p>
        </w:tc>
      </w:tr>
      <w:tr>
        <w:tc>
          <w:tcPr/>
          <w:p>
            <w:pPr>
              <w:pStyle w:val="Compact"/>
            </w:pPr>
            <w:r>
              <w:t xml:space="preserve">Q1</w:t>
            </w:r>
          </w:p>
        </w:tc>
        <w:tc>
          <w:tcPr/>
          <w:p>
            <w:pPr>
              <w:pStyle w:val="Compact"/>
            </w:pPr>
            <w:r>
              <w:t xml:space="preserve">Coverage begins with deaths on 2022-04-01. Earlier deaths are not determinable.</w:t>
            </w:r>
          </w:p>
        </w:tc>
        <w:tc>
          <w:tcPr/>
          <w:p>
            <w:pPr>
              <w:pStyle w:val="Compact"/>
            </w:pPr>
            <w:r>
              <w:t xml:space="preserve">Owner</w:t>
            </w:r>
          </w:p>
        </w:tc>
        <w:tc>
          <w:tcPr/>
          <w:p>
            <w:pPr>
              <w:pStyle w:val="Compact"/>
            </w:pPr>
            <w:r>
              <w:t xml:space="preserve">2026-10-07</w:t>
            </w:r>
          </w:p>
        </w:tc>
      </w:tr>
      <w:tr>
        <w:tc>
          <w:tcPr/>
          <w:p>
            <w:pPr>
              <w:pStyle w:val="Compact"/>
            </w:pPr>
            <w:r>
              <w:t xml:space="preserve">Q7</w:t>
            </w:r>
          </w:p>
        </w:tc>
        <w:tc>
          <w:tcPr/>
          <w:p>
            <w:pPr>
              <w:pStyle w:val="Compact"/>
            </w:pPr>
            <w:r>
              <w:t xml:space="preserve">Totten trust accounts are in v1 (Path A, §§ 5302(c), 5404).</w:t>
            </w:r>
          </w:p>
        </w:tc>
        <w:tc>
          <w:tcPr/>
          <w:p>
            <w:pPr>
              <w:pStyle w:val="Compact"/>
            </w:pPr>
            <w:r>
              <w:t xml:space="preserve">Owner</w:t>
            </w:r>
          </w:p>
        </w:tc>
        <w:tc>
          <w:tcPr/>
          <w:p>
            <w:pPr>
              <w:pStyle w:val="Compact"/>
            </w:pPr>
            <w:r>
              <w:t xml:space="preserve">2026-10-07</w:t>
            </w:r>
          </w:p>
        </w:tc>
      </w:tr>
    </w:tbl>
    <w:p>
      <w:r>
        <w:br w:type="page"/>
      </w:r>
    </w:p>
    <w:bookmarkEnd w:id="22"/>
    <w:bookmarkEnd w:id="23"/>
    <w:bookmarkStart w:id="25" w:name="california-sources"/>
    <w:p>
      <w:pPr>
        <w:pStyle w:val="Heading1"/>
      </w:pPr>
      <w:r>
        <w:t xml:space="preserve">California: sources</w:t>
      </w:r>
    </w:p>
    <w:p>
      <w:pPr>
        <w:pStyle w:val="FirstParagraph"/>
      </w:pPr>
      <w:r>
        <w:t xml:space="preserve">Retrieved 2026-10-07. The official site (leginfo.legislature.ca.gov) blocked automated fetching, so statute text was read from the california.public.law mirror. That mirror cites leginfo as its source and marked these sections verified on Oct. 5, 2026.</w:t>
      </w:r>
      <w:r>
        <w:t xml:space="preserve"> </w:t>
      </w:r>
      <w:r>
        <w:rPr>
          <w:b/>
          <w:bCs/>
        </w:rPr>
        <w:t xml:space="preserve">Confirm every section against leginfo before approval (Q9).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Used for</w:t>
            </w:r>
          </w:p>
        </w:tc>
        <w:tc>
          <w:tcPr/>
          <w:p>
            <w:pPr>
              <w:pStyle w:val="Compact"/>
            </w:pPr>
            <w:r>
              <w:t xml:space="preserve">Mirror's "updated" date</w:t>
            </w:r>
          </w:p>
        </w:tc>
      </w:tr>
      <w:tr>
        <w:tc>
          <w:tcPr/>
          <w:p>
            <w:pPr>
              <w:pStyle w:val="Compact"/>
            </w:pPr>
            <w:hyperlink r:id="rId24">
              <w:r>
                <w:rPr>
                  <w:rStyle w:val="Hyperlink"/>
                </w:rPr>
                <w:t xml:space="preserve">Judicial Council: Maximum Amounts for Determining Eligibility for Summary Succession Procedures</w:t>
              </w:r>
            </w:hyperlink>
            <w:r>
              <w:t xml:space="preserve"> </w:t>
            </w:r>
            <w:r>
              <w:t xml:space="preserve">(official; SHA-256</w:t>
            </w:r>
            <w:r>
              <w:t xml:space="preserve"> </w:t>
            </w:r>
            <w:r>
              <w:rPr>
                <w:rStyle w:val="VerbatimChar"/>
              </w:rPr>
              <w:t xml:space="preserve">cb30e97d…edf56</w:t>
            </w:r>
            <w:r>
              <w:t xml:space="preserve">)</w:t>
            </w:r>
          </w:p>
        </w:tc>
        <w:tc>
          <w:tcPr/>
          <w:p>
            <w:pPr>
              <w:pStyle w:val="Compact"/>
            </w:pPr>
            <w:r>
              <w:t xml:space="preserve">§ 13100/13101 limits by date of death; next adjustment 2028-04-01</w:t>
            </w:r>
          </w:p>
        </w:tc>
        <w:tc>
          <w:tcPr/>
          <w:p>
            <w:pPr>
              <w:pStyle w:val="Compact"/>
            </w:pPr>
            <w:r>
              <w:t xml:space="preserve">n/a</w:t>
            </w:r>
          </w:p>
        </w:tc>
      </w:tr>
      <w:tr>
        <w:tc>
          <w:tcPr/>
          <w:p>
            <w:pPr>
              <w:pStyle w:val="Compact"/>
            </w:pPr>
            <w:r>
              <w:t xml:space="preserve">Prob. Code § 890</w:t>
            </w:r>
          </w:p>
        </w:tc>
        <w:tc>
          <w:tcPr/>
          <w:p>
            <w:pPr>
              <w:pStyle w:val="Compact"/>
            </w:pPr>
            <w:r>
              <w:t xml:space="preserve">Adjustment rules; no retroactive effect (§ 890(d))</w:t>
            </w:r>
          </w:p>
        </w:tc>
        <w:tc>
          <w:tcPr/>
          <w:p>
            <w:pPr>
              <w:pStyle w:val="Compact"/>
            </w:pPr>
            <w:r>
              <w:t xml:space="preserve">2020-01-01</w:t>
            </w:r>
          </w:p>
        </w:tc>
      </w:tr>
      <w:tr>
        <w:tc>
          <w:tcPr/>
          <w:p>
            <w:pPr>
              <w:pStyle w:val="Compact"/>
            </w:pPr>
            <w:r>
              <w:t xml:space="preserve">Prob. Code § 13006</w:t>
            </w:r>
          </w:p>
        </w:tc>
        <w:tc>
          <w:tcPr/>
          <w:p>
            <w:pPr>
              <w:pStyle w:val="Compact"/>
            </w:pPr>
            <w:r>
              <w:t xml:space="preserve">Successor of the decedent</w:t>
            </w:r>
          </w:p>
        </w:tc>
        <w:tc>
          <w:tcPr/>
          <w:p>
            <w:pPr>
              <w:pStyle w:val="Compact"/>
            </w:pPr>
            <w:r>
              <w:t xml:space="preserve">1991-01-01</w:t>
            </w:r>
          </w:p>
        </w:tc>
      </w:tr>
      <w:tr>
        <w:tc>
          <w:tcPr/>
          <w:p>
            <w:pPr>
              <w:pStyle w:val="Compact"/>
            </w:pPr>
            <w:r>
              <w:t xml:space="preserve">Prob. Code § 13050</w:t>
            </w:r>
          </w:p>
        </w:tc>
        <w:tc>
          <w:tcPr/>
          <w:p>
            <w:pPr>
              <w:pStyle w:val="Compact"/>
            </w:pPr>
            <w:r>
              <w:t xml:space="preserve">Property excluded from the value</w:t>
            </w:r>
          </w:p>
        </w:tc>
        <w:tc>
          <w:tcPr/>
          <w:p>
            <w:pPr>
              <w:pStyle w:val="Compact"/>
            </w:pPr>
            <w:r>
              <w:t xml:space="preserve">2020-01-01</w:t>
            </w:r>
          </w:p>
        </w:tc>
      </w:tr>
      <w:tr>
        <w:tc>
          <w:tcPr/>
          <w:p>
            <w:pPr>
              <w:pStyle w:val="Compact"/>
            </w:pPr>
            <w:r>
              <w:t xml:space="preserve">Prob. Code § 13051</w:t>
            </w:r>
          </w:p>
        </w:tc>
        <w:tc>
          <w:tcPr/>
          <w:p>
            <w:pPr>
              <w:pStyle w:val="Compact"/>
            </w:pPr>
            <w:r>
              <w:t xml:space="preserve">Representatives who may act for a successor</w:t>
            </w:r>
          </w:p>
        </w:tc>
        <w:tc>
          <w:tcPr/>
          <w:p>
            <w:pPr>
              <w:pStyle w:val="Compact"/>
            </w:pPr>
            <w:r>
              <w:t xml:space="preserve">1991-01-01</w:t>
            </w:r>
          </w:p>
        </w:tc>
      </w:tr>
      <w:tr>
        <w:tc>
          <w:tcPr/>
          <w:p>
            <w:pPr>
              <w:pStyle w:val="Compact"/>
            </w:pPr>
            <w:r>
              <w:t xml:space="preserve">Prob. Code §§ 13100, 13101</w:t>
            </w:r>
          </w:p>
        </w:tc>
        <w:tc>
          <w:tcPr/>
          <w:p>
            <w:pPr>
              <w:pStyle w:val="Compact"/>
            </w:pPr>
            <w:r>
              <w:t xml:space="preserve">Eligibility; affidavit contents and documents</w:t>
            </w:r>
          </w:p>
        </w:tc>
        <w:tc>
          <w:tcPr/>
          <w:p>
            <w:pPr>
              <w:pStyle w:val="Compact"/>
            </w:pPr>
            <w:r>
              <w:t xml:space="preserve">2025-01-01</w:t>
            </w:r>
          </w:p>
        </w:tc>
      </w:tr>
      <w:tr>
        <w:tc>
          <w:tcPr/>
          <w:p>
            <w:pPr>
              <w:pStyle w:val="Compact"/>
            </w:pPr>
            <w:r>
              <w:t xml:space="preserve">Prob. Code § 13100.5</w:t>
            </w:r>
          </w:p>
        </w:tc>
        <w:tc>
          <w:tcPr/>
          <w:p>
            <w:pPr>
              <w:pStyle w:val="Compact"/>
            </w:pPr>
            <w:r>
              <w:t xml:space="preserve">Chapter definitions</w:t>
            </w:r>
          </w:p>
        </w:tc>
        <w:tc>
          <w:tcPr/>
          <w:p>
            <w:pPr>
              <w:pStyle w:val="Compact"/>
            </w:pPr>
            <w:r>
              <w:t xml:space="preserve">2023-01-01</w:t>
            </w:r>
          </w:p>
        </w:tc>
      </w:tr>
      <w:tr>
        <w:tc>
          <w:tcPr/>
          <w:p>
            <w:pPr>
              <w:pStyle w:val="Compact"/>
            </w:pPr>
            <w:r>
              <w:t xml:space="preserve">Prob. Code §§ 13102–13106</w:t>
            </w:r>
          </w:p>
        </w:tc>
        <w:tc>
          <w:tcPr/>
          <w:p>
            <w:pPr>
              <w:pStyle w:val="Compact"/>
            </w:pPr>
            <w:r>
              <w:t xml:space="preserve">Evidence of ownership, real property, identity, entitlement, protection</w:t>
            </w:r>
          </w:p>
        </w:tc>
        <w:tc>
          <w:tcPr/>
          <w:p>
            <w:pPr>
              <w:pStyle w:val="Compact"/>
            </w:pPr>
            <w:r>
              <w:t xml:space="preserve">1990-01-01</w:t>
            </w:r>
          </w:p>
        </w:tc>
      </w:tr>
      <w:tr>
        <w:tc>
          <w:tcPr/>
          <w:p>
            <w:pPr>
              <w:pStyle w:val="Compact"/>
            </w:pPr>
            <w:r>
              <w:t xml:space="preserve">Prob. Code § 13500</w:t>
            </w:r>
          </w:p>
        </w:tc>
        <w:tc>
          <w:tcPr/>
          <w:p>
            <w:pPr>
              <w:pStyle w:val="Compact"/>
            </w:pPr>
            <w:r>
              <w:t xml:space="preserve">Surviving spouse, no administration</w:t>
            </w:r>
          </w:p>
        </w:tc>
        <w:tc>
          <w:tcPr/>
          <w:p>
            <w:pPr>
              <w:pStyle w:val="Compact"/>
            </w:pPr>
            <w:r>
              <w:t xml:space="preserve">2017-01-01</w:t>
            </w:r>
          </w:p>
        </w:tc>
      </w:tr>
      <w:tr>
        <w:tc>
          <w:tcPr/>
          <w:p>
            <w:pPr>
              <w:pStyle w:val="Compact"/>
            </w:pPr>
            <w:r>
              <w:t xml:space="preserve">Prob. Code § 13540</w:t>
            </w:r>
          </w:p>
        </w:tc>
        <w:tc>
          <w:tcPr/>
          <w:p>
            <w:pPr>
              <w:pStyle w:val="Compact"/>
            </w:pPr>
            <w:r>
              <w:t xml:space="preserve">Surviving spouse, real property</w:t>
            </w:r>
          </w:p>
        </w:tc>
        <w:tc>
          <w:tcPr/>
          <w:p>
            <w:pPr>
              <w:pStyle w:val="Compact"/>
            </w:pPr>
            <w:r>
              <w:t xml:space="preserve">1995-01-01</w:t>
            </w:r>
          </w:p>
        </w:tc>
      </w:tr>
      <w:tr>
        <w:tc>
          <w:tcPr/>
          <w:p>
            <w:pPr>
              <w:pStyle w:val="Compact"/>
            </w:pPr>
            <w:r>
              <w:t xml:space="preserve">Prob. Code § 5040</w:t>
            </w:r>
          </w:p>
        </w:tc>
        <w:tc>
          <w:tcPr/>
          <w:p>
            <w:pPr>
              <w:pStyle w:val="Compact"/>
            </w:pPr>
            <w:r>
              <w:t xml:space="preserve">Nonprobate transfer to former spouse</w:t>
            </w:r>
          </w:p>
        </w:tc>
        <w:tc>
          <w:tcPr/>
          <w:p>
            <w:pPr>
              <w:pStyle w:val="Compact"/>
            </w:pPr>
            <w:r>
              <w:t xml:space="preserve">2017-01-01</w:t>
            </w:r>
          </w:p>
        </w:tc>
      </w:tr>
      <w:tr>
        <w:tc>
          <w:tcPr/>
          <w:p>
            <w:pPr>
              <w:pStyle w:val="Compact"/>
            </w:pPr>
            <w:r>
              <w:t xml:space="preserve">Prob. Code § 5302</w:t>
            </w:r>
          </w:p>
        </w:tc>
        <w:tc>
          <w:tcPr/>
          <w:p>
            <w:pPr>
              <w:pStyle w:val="Compact"/>
            </w:pPr>
            <w:r>
              <w:t xml:space="preserve">Ownership of multiple-party accounts at death</w:t>
            </w:r>
          </w:p>
        </w:tc>
        <w:tc>
          <w:tcPr/>
          <w:p>
            <w:pPr>
              <w:pStyle w:val="Compact"/>
            </w:pPr>
            <w:r>
              <w:t xml:space="preserve">2016-01-01</w:t>
            </w:r>
          </w:p>
        </w:tc>
      </w:tr>
      <w:tr>
        <w:tc>
          <w:tcPr/>
          <w:p>
            <w:pPr>
              <w:pStyle w:val="Compact"/>
            </w:pPr>
            <w:r>
              <w:t xml:space="preserve">Prob. Code § 5401</w:t>
            </w:r>
          </w:p>
        </w:tc>
        <w:tc>
          <w:tcPr/>
          <w:p>
            <w:pPr>
              <w:pStyle w:val="Compact"/>
            </w:pPr>
            <w:r>
              <w:t xml:space="preserve">Payment of multiple-party accounts</w:t>
            </w:r>
          </w:p>
        </w:tc>
        <w:tc>
          <w:tcPr/>
          <w:p>
            <w:pPr>
              <w:pStyle w:val="Compact"/>
            </w:pPr>
            <w:r>
              <w:t xml:space="preserve">2013-01-01</w:t>
            </w:r>
          </w:p>
        </w:tc>
      </w:tr>
      <w:tr>
        <w:tc>
          <w:tcPr/>
          <w:p>
            <w:pPr>
              <w:pStyle w:val="Compact"/>
            </w:pPr>
            <w:r>
              <w:t xml:space="preserve">Prob. Code §§ 5402–5405</w:t>
            </w:r>
          </w:p>
        </w:tc>
        <w:tc>
          <w:tcPr/>
          <w:p>
            <w:pPr>
              <w:pStyle w:val="Compact"/>
            </w:pPr>
            <w:r>
              <w:t xml:space="preserve">Payment on death; institution protection</w:t>
            </w:r>
          </w:p>
        </w:tc>
        <w:tc>
          <w:tcPr/>
          <w:p>
            <w:pPr>
              <w:pStyle w:val="Compact"/>
            </w:pPr>
            <w:r>
              <w:t xml:space="preserve">1990-01-01</w:t>
            </w:r>
          </w:p>
        </w:tc>
      </w:tr>
      <w:tr>
        <w:tc>
          <w:tcPr/>
          <w:p>
            <w:pPr>
              <w:pStyle w:val="Compact"/>
            </w:pPr>
            <w:r>
              <w:t xml:space="preserve">Prob. Code §§ 6401, 6402</w:t>
            </w:r>
          </w:p>
        </w:tc>
        <w:tc>
          <w:tcPr/>
          <w:p>
            <w:pPr>
              <w:pStyle w:val="Compact"/>
            </w:pPr>
            <w:r>
              <w:t xml:space="preserve">Intestate shares (reference only)</w:t>
            </w:r>
          </w:p>
        </w:tc>
        <w:tc>
          <w:tcPr/>
          <w:p>
            <w:pPr>
              <w:pStyle w:val="Compact"/>
            </w:pPr>
            <w:r>
              <w:t xml:space="preserve">2015-01-01</w:t>
            </w:r>
          </w:p>
        </w:tc>
      </w:tr>
    </w:tbl>
    <w:p>
      <w:pPr>
        <w:pStyle w:val="BodyText"/>
      </w:pPr>
      <w:r>
        <w:t xml:space="preserve">Mirror URLs follow the pattern</w:t>
      </w:r>
      <w:r>
        <w:t xml:space="preserve"> </w:t>
      </w:r>
      <w:r>
        <w:rPr>
          <w:rStyle w:val="VerbatimChar"/>
        </w:rPr>
        <w:t xml:space="preserve">https://california.public.law/codes/probate_code_section_&lt;n&gt;</w:t>
      </w:r>
      <w:r>
        <w:t xml:space="preserve">.</w:t>
      </w:r>
    </w:p>
    <w:bookmarkEnd w:id="25"/>
    <w:sectPr>
      <w:footnotePr>
        <w:numRestart w:val="eachSect"/>
      </w:footnotePr>
      <w:pgSz w:h="15840" w:w="12240"/>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60"/>
        <w:left w:type="dxa" w:w="100"/>
        <w:bottom w:type="dxa" w:w="60"/>
        <w:right w:type="dxa" w:w="100"/>
      </w:tblCellMar>
    </w:tblPr>
    <w:tblStylePr w:type="firstRow">
      <w:rPr>
        <w:b/>
      </w:rPr>
      <w:tcPr>
        <w:shd w:color="auto" w:fill="DCE6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courts.ca.gov/system/files/file/probate-code-890-adjusted-amounts.pdf" TargetMode="External" /></Relationships>
</file>

<file path=word/_rels/footnotes.xml.rels><?xml version="1.0" encoding="UTF-8"?><Relationships xmlns="http://schemas.openxmlformats.org/package/2006/relationships"><Relationship Type="http://schemas.openxmlformats.org/officeDocument/2006/relationships/hyperlink" Id="rId24" Target="https://courts.ca.gov/system/files/file/probate-code-890-adjusted-amount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Deceased-Account Entitlement Rules</dc:title>
  <dc:creator/>
  <cp:keywords/>
  <dcterms:created xsi:type="dcterms:W3CDTF">2026-10-09T19:18:34Z</dcterms:created>
  <dcterms:modified xsi:type="dcterms:W3CDTF">2026-10-09T19:18:34Z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2026-10-09</vt:lpwstr>
  </property>
  <property fmtid="{D5CDD505-2E9C-101B-9397-08002B2CF9AE}" pid="3" name="subtitle">
    <vt:lpwstr>Draft for attorney review</vt:lpwstr>
  </property>
</Properties>
</file>