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Washington Deceased-Account Entitlement Rules</w:t>
      </w:r>
    </w:p>
    <w:p>
      <w:pPr>
        <w:pStyle w:val="Subtitle"/>
      </w:pPr>
      <w:r>
        <w:t xml:space="preserve">Draft for attorney review</w:t>
      </w:r>
    </w:p>
    <w:p>
      <w:pPr>
        <w:pStyle w:val="Date"/>
      </w:pPr>
      <w:r>
        <w:t xml:space="preserve">Prepared 2026-10-09</w:t>
      </w:r>
    </w:p>
    <w:bookmarkStart w:id="9" w:name="how-to-review-this-document"/>
    <w:p>
      <w:pPr>
        <w:pStyle w:val="Heading1"/>
      </w:pPr>
      <w:r>
        <w:t xml:space="preserve">How to review this document</w:t>
      </w:r>
    </w:p>
    <w:p>
      <w:pPr>
        <w:pStyle w:val="FirstParagraph"/>
      </w:pPr>
      <w:r>
        <w:rPr>
          <w:b/>
          <w:bCs/>
        </w:rPr>
        <w:t xml:space="preserve">Status:</w:t>
      </w:r>
      <w:r>
        <w:t xml:space="preserve"> </w:t>
      </w:r>
      <w:r>
        <w:t xml:space="preserve">draft, not yet reviewed by an attorney. Nothing in this document is used by the decision engine until an attorney approves it.</w:t>
      </w:r>
    </w:p>
    <w:p>
      <w:pPr>
        <w:pStyle w:val="BodyText"/>
      </w:pPr>
      <w:r>
        <w:rPr>
          <w:b/>
          <w:bCs/>
        </w:rPr>
        <w:t xml:space="preserve">What we are asking you to do:</w:t>
      </w:r>
    </w:p>
    <w:p>
      <w:pPr>
        <w:pStyle w:val="Compact"/>
        <w:numPr>
          <w:ilvl w:val="0"/>
          <w:numId w:val="1001"/>
        </w:numPr>
      </w:pPr>
      <w:r>
        <w:t xml:space="preserve">Confirm each rule and its citation in Part 1, or correct it.</w:t>
      </w:r>
    </w:p>
    <w:p>
      <w:pPr>
        <w:pStyle w:val="Compact"/>
        <w:numPr>
          <w:ilvl w:val="0"/>
          <w:numId w:val="1001"/>
        </w:numPr>
      </w:pPr>
      <w:r>
        <w:t xml:space="preserve">Answer the open questions marked</w:t>
      </w:r>
      <w:r>
        <w:t xml:space="preserve"> </w:t>
      </w:r>
      <w:r>
        <w:rPr>
          <w:b/>
          <w:bCs/>
        </w:rPr>
        <w:t xml:space="preserve">Law</w:t>
      </w:r>
      <w:r>
        <w:t xml:space="preserve"> </w:t>
      </w:r>
      <w:r>
        <w:t xml:space="preserve">in Part 2 (W2, W3, W4, W5, W6, W9, W10). Questions marked</w:t>
      </w:r>
      <w:r>
        <w:t xml:space="preserve"> </w:t>
      </w:r>
      <w:r>
        <w:rPr>
          <w:b/>
          <w:bCs/>
        </w:rPr>
        <w:t xml:space="preserve">Owner</w:t>
      </w:r>
      <w:r>
        <w:t xml:space="preserve">,</w:t>
      </w:r>
      <w:r>
        <w:t xml:space="preserve"> </w:t>
      </w:r>
      <w:r>
        <w:rPr>
          <w:b/>
          <w:bCs/>
        </w:rPr>
        <w:t xml:space="preserve">Policy</w:t>
      </w:r>
      <w:r>
        <w:t xml:space="preserve">, or</w:t>
      </w:r>
      <w:r>
        <w:t xml:space="preserve"> </w:t>
      </w:r>
      <w:r>
        <w:rPr>
          <w:b/>
          <w:bCs/>
        </w:rPr>
        <w:t xml:space="preserve">Terms</w:t>
      </w:r>
      <w:r>
        <w:t xml:space="preserve"> </w:t>
      </w:r>
      <w:r>
        <w:t xml:space="preserve">are for the business; you may comment on them.</w:t>
      </w:r>
    </w:p>
    <w:p>
      <w:pPr>
        <w:pStyle w:val="Compact"/>
        <w:numPr>
          <w:ilvl w:val="0"/>
          <w:numId w:val="1001"/>
        </w:numPr>
      </w:pPr>
      <w:r>
        <w:t xml:space="preserve">Confirm the expected outcome of each draft golden scenario at the end of Part 1. These scenarios become the engine's tests.</w:t>
      </w:r>
    </w:p>
    <w:p>
      <w:pPr>
        <w:pStyle w:val="FirstParagraph"/>
      </w:pPr>
      <w:r>
        <w:rPr>
          <w:b/>
          <w:bCs/>
        </w:rPr>
        <w:t xml:space="preserve">How to respond:</w:t>
      </w:r>
      <w:r>
        <w:t xml:space="preserve"> </w:t>
      </w:r>
      <w:r>
        <w:t xml:space="preserve">turn on Track Changes and edit this document directly, or add comments. Please return it to the product owner.</w:t>
      </w:r>
    </w:p>
    <w:p>
      <w:pPr>
        <w:pStyle w:val="BodyText"/>
      </w:pPr>
      <w:r>
        <w:rPr>
          <w:b/>
          <w:bCs/>
        </w:rPr>
        <w:t xml:space="preserve">Sources:</w:t>
      </w:r>
      <w:r>
        <w:t xml:space="preserve"> </w:t>
      </w:r>
      <w:r>
        <w:t xml:space="preserve">All statute text was read from the official Revised Code of Washington at app.leg.wa.gov. See Part 3.</w:t>
      </w:r>
    </w:p>
    <w:p>
      <w:pPr>
        <w:pStyle w:val="BodyText"/>
      </w:pPr>
      <w:r>
        <w:rPr>
          <w:b/>
          <w:bCs/>
        </w:rPr>
        <w:t xml:space="preserve">Contents:</w:t>
      </w:r>
      <w:r>
        <w:t xml:space="preserve"> </w:t>
      </w:r>
      <w:r>
        <w:t xml:space="preserve">Part 1, rule specification. Part 2, open questions. Part 3, sources.</w:t>
      </w:r>
    </w:p>
    <w:p>
      <w:r>
        <w:br w:type="page"/>
      </w:r>
    </w:p>
    <w:bookmarkEnd w:id="9"/>
    <w:bookmarkStart w:id="20" w:name="X7a4e1a434c759d35ce363ba1643df1985a5e616"/>
    <w:p>
      <w:pPr>
        <w:pStyle w:val="Heading1"/>
      </w:pPr>
      <w:r>
        <w:t xml:space="preserve">Washington rule spec (DRAFT, not attorney-reviewed)</w:t>
      </w:r>
    </w:p>
    <w:p>
      <w:pPr>
        <w:pStyle w:val="FirstParagraph"/>
      </w:pPr>
      <w:r>
        <w:rPr>
          <w:b/>
          <w:bCs/>
        </w:rPr>
        <w:t xml:space="preserve">Status:</w:t>
      </w:r>
      <w:r>
        <w:t xml:space="preserve"> </w:t>
      </w:r>
      <w:r>
        <w:t xml:space="preserve">Draft v0.1, written 2026-10-07.</w:t>
      </w:r>
      <w:r>
        <w:t xml:space="preserve"> </w:t>
      </w:r>
      <w:r>
        <w:rPr>
          <w:b/>
          <w:bCs/>
        </w:rPr>
        <w:t xml:space="preserve">Attorney review:</w:t>
      </w:r>
      <w:r>
        <w:t xml:space="preserve"> </w:t>
      </w:r>
      <w:r>
        <w:t xml:space="preserve">not started.</w:t>
      </w:r>
      <w:r>
        <w:t xml:space="preserve"> </w:t>
      </w:r>
      <w:r>
        <w:t xml:space="preserve">Nothing here is encoded in the engine until an attorney approves it. Statute text was read from the</w:t>
      </w:r>
      <w:r>
        <w:t xml:space="preserve"> </w:t>
      </w:r>
      <w:r>
        <w:rPr>
          <w:b/>
          <w:bCs/>
        </w:rPr>
        <w:t xml:space="preserve">official</w:t>
      </w:r>
      <w:r>
        <w:t xml:space="preserve"> </w:t>
      </w:r>
      <w:r>
        <w:t xml:space="preserve">Revised Code of Washington at app.leg.wa.gov (see Part 3). Numbered questions (W1, W2, …) are in Part 2. Each is tagged</w:t>
      </w:r>
      <w:r>
        <w:t xml:space="preserve"> </w:t>
      </w:r>
      <w:r>
        <w:rPr>
          <w:b/>
          <w:bCs/>
        </w:rPr>
        <w:t xml:space="preserve">Law</w:t>
      </w:r>
      <w:r>
        <w:t xml:space="preserve"> </w:t>
      </w:r>
      <w:r>
        <w:t xml:space="preserve">(attorney),</w:t>
      </w:r>
      <w:r>
        <w:t xml:space="preserve"> </w:t>
      </w:r>
      <w:r>
        <w:rPr>
          <w:b/>
          <w:bCs/>
        </w:rPr>
        <w:t xml:space="preserve">Terms</w:t>
      </w:r>
      <w:r>
        <w:t xml:space="preserve"> </w:t>
      </w:r>
      <w:r>
        <w:t xml:space="preserve">(account facts), or</w:t>
      </w:r>
      <w:r>
        <w:t xml:space="preserve"> </w:t>
      </w:r>
      <w:r>
        <w:rPr>
          <w:b/>
          <w:bCs/>
        </w:rPr>
        <w:t xml:space="preserve">Policy</w:t>
      </w:r>
      <w:r>
        <w:t xml:space="preserve"> </w:t>
      </w:r>
      <w:r>
        <w:t xml:space="preserve">(institution choice; stricter only).</w:t>
      </w:r>
    </w:p>
    <w:bookmarkStart w:id="10" w:name="what-the-engine-decides"/>
    <w:p>
      <w:pPr>
        <w:pStyle w:val="Heading2"/>
      </w:pPr>
      <w:r>
        <w:t xml:space="preserve">What the engine decides</w:t>
      </w:r>
    </w:p>
    <w:p>
      <w:pPr>
        <w:pStyle w:val="FirstParagraph"/>
      </w:pPr>
      <w:r>
        <w:t xml:space="preserve">For one deposit account of a Washington decedent, the engine answers four questions:</w:t>
      </w:r>
    </w:p>
    <w:p>
      <w:pPr>
        <w:pStyle w:val="Compact"/>
        <w:numPr>
          <w:ilvl w:val="0"/>
          <w:numId w:val="1002"/>
        </w:numPr>
      </w:pPr>
      <w:r>
        <w:t xml:space="preserve">Who may the institution pay, and in what shares?</w:t>
      </w:r>
    </w:p>
    <w:p>
      <w:pPr>
        <w:pStyle w:val="Compact"/>
        <w:numPr>
          <w:ilvl w:val="0"/>
          <w:numId w:val="1002"/>
        </w:numPr>
      </w:pPr>
      <w:r>
        <w:t xml:space="preserve">What documents must the institution receive first?</w:t>
      </w:r>
    </w:p>
    <w:p>
      <w:pPr>
        <w:pStyle w:val="Compact"/>
        <w:numPr>
          <w:ilvl w:val="0"/>
          <w:numId w:val="1002"/>
        </w:numPr>
      </w:pPr>
      <w:r>
        <w:t xml:space="preserve">What is the earliest date it may pay?</w:t>
      </w:r>
    </w:p>
    <w:p>
      <w:pPr>
        <w:pStyle w:val="Compact"/>
        <w:numPr>
          <w:ilvl w:val="0"/>
          <w:numId w:val="1002"/>
        </w:numPr>
      </w:pPr>
      <w:r>
        <w:t xml:space="preserve">Does a statute protect the institution from liability if it pays as decided?</w:t>
      </w:r>
    </w:p>
    <w:p>
      <w:pPr>
        <w:pStyle w:val="FirstParagraph"/>
      </w:pPr>
      <w:r>
        <w:t xml:space="preserve">Anything outside the paths below is</w:t>
      </w:r>
      <w:r>
        <w:t xml:space="preserve"> </w:t>
      </w:r>
      <w:r>
        <w:rPr>
          <w:b/>
          <w:bCs/>
        </w:rPr>
        <w:t xml:space="preserve">not determinable</w:t>
      </w:r>
      <w:r>
        <w:t xml:space="preserve"> </w:t>
      </w:r>
      <w:r>
        <w:t xml:space="preserve">and goes to a person.</w:t>
      </w:r>
      <w:r>
        <w:t xml:space="preserve"> </w:t>
      </w:r>
      <w:r>
        <w:rPr>
          <w:b/>
          <w:bCs/>
        </w:rPr>
        <w:t xml:space="preserve">Coverage begins with deaths on April 1, 2022</w:t>
      </w:r>
      <w:r>
        <w:t xml:space="preserve"> </w:t>
      </w:r>
      <w:r>
        <w:t xml:space="preserve">(owner decision W1, 2026-10-07). Earlier deaths are not determinable.</w:t>
      </w:r>
    </w:p>
    <w:bookmarkEnd w:id="10"/>
    <w:bookmarkStart w:id="11" w:name="how-washington-differs-from-california"/>
    <w:p>
      <w:pPr>
        <w:pStyle w:val="Heading2"/>
      </w:pPr>
      <w:r>
        <w:t xml:space="preserve">How Washington differs from California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Washington</w:t>
            </w:r>
          </w:p>
        </w:tc>
        <w:tc>
          <w:tcPr/>
          <w:p>
            <w:pPr>
              <w:pStyle w:val="Compact"/>
            </w:pPr>
            <w:r>
              <w:t xml:space="preserve">California</w:t>
            </w:r>
          </w:p>
        </w:tc>
      </w:tr>
      <w:tr>
        <w:tc>
          <w:tcPr/>
          <w:p>
            <w:pPr>
              <w:pStyle w:val="Compact"/>
            </w:pPr>
            <w:r>
              <w:t xml:space="preserve">Small-estate limit</w:t>
            </w:r>
          </w:p>
        </w:tc>
        <w:tc>
          <w:tcPr/>
          <w:p>
            <w:pPr>
              <w:pStyle w:val="Compact"/>
            </w:pPr>
            <w:r>
              <w:rPr>
                <w:b/>
                <w:bCs/>
              </w:rPr>
              <w:t xml:space="preserve">$100,000</w:t>
            </w:r>
            <w:r>
              <w:t xml:space="preserve">, fixed, with no inflation adjustment (RCW 11.62.010(2)(c))</w:t>
            </w:r>
          </w:p>
        </w:tc>
        <w:tc>
          <w:tcPr/>
          <w:p>
            <w:pPr>
              <w:pStyle w:val="Compact"/>
            </w:pPr>
            <w:r>
              <w:t xml:space="preserve">$208,850, adjusted every 3 years</w:t>
            </w:r>
          </w:p>
        </w:tc>
      </w:tr>
      <w:tr>
        <w:tc>
          <w:tcPr/>
          <w:p>
            <w:pPr>
              <w:pStyle w:val="Compact"/>
            </w:pPr>
            <w:r>
              <w:t xml:space="preserve">What the limit measures</w:t>
            </w:r>
          </w:p>
        </w:tc>
        <w:tc>
          <w:tcPr/>
          <w:p>
            <w:pPr>
              <w:pStyle w:val="Compact"/>
            </w:pPr>
            <w:r>
              <w:t xml:space="preserve">The</w:t>
            </w:r>
            <w:r>
              <w:t xml:space="preserve"> </w:t>
            </w:r>
            <w:r>
              <w:rPr>
                <w:b/>
                <w:bCs/>
              </w:rPr>
              <w:t xml:space="preserve">entire probate estate wherever located</w:t>
            </w:r>
            <w:r>
              <w:t xml:space="preserve">,</w:t>
            </w:r>
            <w:r>
              <w:t xml:space="preserve"> </w:t>
            </w:r>
            <w:r>
              <w:rPr>
                <w:b/>
                <w:bCs/>
              </w:rPr>
              <w:t xml:space="preserve">less liens and encumbrances</w:t>
            </w:r>
            <w:r>
              <w:t xml:space="preserve">, excluding the surviving spouse's or domestic partner's community property interest</w:t>
            </w:r>
          </w:p>
        </w:tc>
        <w:tc>
          <w:tcPr/>
          <w:p>
            <w:pPr>
              <w:pStyle w:val="Compact"/>
            </w:pPr>
            <w:r>
              <w:t xml:space="preserve">Gross value of California property, with listed exclusions</w:t>
            </w:r>
          </w:p>
        </w:tc>
      </w:tr>
      <w:tr>
        <w:tc>
          <w:tcPr/>
          <w:p>
            <w:pPr>
              <w:pStyle w:val="Compact"/>
            </w:pPr>
            <w:r>
              <w:t xml:space="preserve">Existing administration</w:t>
            </w:r>
          </w:p>
        </w:tc>
        <w:tc>
          <w:tcPr/>
          <w:p>
            <w:pPr>
              <w:pStyle w:val="Compact"/>
            </w:pPr>
            <w:r>
              <w:rPr>
                <w:b/>
                <w:bCs/>
              </w:rPr>
              <w:t xml:space="preserve">Any</w:t>
            </w:r>
            <w:r>
              <w:t xml:space="preserve"> </w:t>
            </w:r>
            <w:r>
              <w:t xml:space="preserve">pending or granted application for a personal representative,</w:t>
            </w:r>
            <w:r>
              <w:t xml:space="preserve"> </w:t>
            </w:r>
            <w:r>
              <w:rPr>
                <w:b/>
                <w:bCs/>
              </w:rPr>
              <w:t xml:space="preserve">in any jurisdiction</w:t>
            </w:r>
            <w:r>
              <w:t xml:space="preserve">, bars the affidavit. There is no consent route.</w:t>
            </w:r>
          </w:p>
        </w:tc>
        <w:tc>
          <w:tcPr/>
          <w:p>
            <w:pPr>
              <w:pStyle w:val="Compact"/>
            </w:pPr>
            <w:r>
              <w:t xml:space="preserve">Allowed with the personal representative's written consent</w:t>
            </w:r>
          </w:p>
        </w:tc>
      </w:tr>
      <w:tr>
        <w:tc>
          <w:tcPr/>
          <w:p>
            <w:pPr>
              <w:pStyle w:val="Compact"/>
            </w:pPr>
            <w:r>
              <w:t xml:space="preserve">Extra conditions</w:t>
            </w:r>
          </w:p>
        </w:tc>
        <w:tc>
          <w:tcPr/>
          <w:p>
            <w:pPr>
              <w:pStyle w:val="Compact"/>
            </w:pPr>
            <w:r>
              <w:t xml:space="preserve">The decedent was a WA resident; all debts are paid or provided for; written notice went to all other successors</w:t>
            </w:r>
            <w:r>
              <w:t xml:space="preserve"> </w:t>
            </w:r>
            <w:r>
              <w:rPr>
                <w:b/>
                <w:bCs/>
              </w:rPr>
              <w:t xml:space="preserve">at least 10 days</w:t>
            </w:r>
            <w:r>
              <w:t xml:space="preserve"> </w:t>
            </w:r>
            <w:r>
              <w:t xml:space="preserve">before</w:t>
            </w:r>
          </w:p>
        </w:tc>
        <w:tc>
          <w:tcPr/>
          <w:p>
            <w:pPr>
              <w:pStyle w:val="Compact"/>
            </w:pPr>
            <w:r>
              <w:t xml:space="preserve">None comparable</w:t>
            </w:r>
          </w:p>
        </w:tc>
      </w:tr>
      <w:tr>
        <w:tc>
          <w:tcPr/>
          <w:p>
            <w:pPr>
              <w:pStyle w:val="Compact"/>
            </w:pPr>
            <w:r>
              <w:t xml:space="preserve">Joint accounts</w:t>
            </w:r>
          </w:p>
        </w:tc>
        <w:tc>
          <w:tcPr/>
          <w:p>
            <w:pPr>
              <w:pStyle w:val="Compact"/>
            </w:pPr>
            <w:r>
              <w:t xml:space="preserve">With</w:t>
            </w:r>
            <w:r>
              <w:t xml:space="preserve"> </w:t>
            </w:r>
            <w:r>
              <w:rPr>
                <w:b/>
                <w:bCs/>
              </w:rPr>
              <w:t xml:space="preserve">or without</w:t>
            </w:r>
            <w:r>
              <w:t xml:space="preserve"> </w:t>
            </w:r>
            <w:r>
              <w:t xml:space="preserve">right of survivorship (RCW 30A.22.050)</w:t>
            </w:r>
          </w:p>
        </w:tc>
        <w:tc>
          <w:tcPr/>
          <w:p>
            <w:pPr>
              <w:pStyle w:val="Compact"/>
            </w:pPr>
            <w:r>
              <w:t xml:space="preserve">Survivorship presumed (Prob. Code § 5302(a))</w:t>
            </w:r>
          </w:p>
        </w:tc>
      </w:tr>
      <w:tr>
        <w:tc>
          <w:tcPr/>
          <w:p>
            <w:pPr>
              <w:pStyle w:val="Compact"/>
            </w:pPr>
            <w:r>
              <w:t xml:space="preserve">A will overriding a POD designation</w:t>
            </w:r>
          </w:p>
        </w:tc>
        <w:tc>
          <w:tcPr/>
          <w:p>
            <w:pPr>
              <w:pStyle w:val="Compact"/>
            </w:pPr>
            <w:r>
              <w:rPr>
                <w:b/>
                <w:bCs/>
              </w:rPr>
              <w:t xml:space="preserve">Possible</w:t>
            </w:r>
            <w:r>
              <w:t xml:space="preserve"> </w:t>
            </w:r>
            <w:r>
              <w:t xml:space="preserve">for WA residents under RCW 11.11.020; bank POD and survivorship accounts are nonprobate assets (RCW 11.02.005(14)). The institution is protected until it receives an RCW 11.11.050 notice (see W3).</w:t>
            </w:r>
          </w:p>
        </w:tc>
        <w:tc>
          <w:tcPr/>
          <w:p>
            <w:pPr>
              <w:pStyle w:val="Compact"/>
            </w:pPr>
            <w:r>
              <w:t xml:space="preserve">Not possible (§ 5302(e))</w:t>
            </w:r>
          </w:p>
        </w:tc>
      </w:tr>
    </w:tbl>
    <w:bookmarkEnd w:id="11"/>
    <w:bookmarkStart w:id="12" w:name="Xa8b0157b2b0ec4a29bc79bc6151715648347cfa"/>
    <w:p>
      <w:pPr>
        <w:pStyle w:val="Heading2"/>
      </w:pPr>
      <w:r>
        <w:t xml:space="preserve">Path A: accounts with surviving depositors or POD/trust beneficiaries</w:t>
      </w:r>
    </w:p>
    <w:p>
      <w:pPr>
        <w:pStyle w:val="FirstParagraph"/>
      </w:pPr>
      <w:r>
        <w:t xml:space="preserve">The account type is set by the contract of deposit (RCW 30A.22.050). Washington treats POD and trust accounts together ("trust and P.O.D. accounts", RCW 30A.22.040(18)).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Rule</w:t>
            </w:r>
          </w:p>
        </w:tc>
        <w:tc>
          <w:tcPr/>
          <w:p>
            <w:pPr>
              <w:pStyle w:val="Compact"/>
            </w:pPr>
            <w:r>
              <w:t xml:space="preserve">Citation</w:t>
            </w:r>
          </w:p>
        </w:tc>
      </w:tr>
      <w:tr>
        <w:tc>
          <w:tcPr/>
          <w:p>
            <w:pPr>
              <w:pStyle w:val="Compact"/>
            </w:pPr>
            <w:r>
              <w:t xml:space="preserve">Who is paid</w:t>
            </w:r>
          </w:p>
        </w:tc>
        <w:tc>
          <w:tcPr/>
          <w:p>
            <w:pPr>
              <w:pStyle w:val="Compact"/>
            </w:pPr>
            <w:r>
              <w:rPr>
                <w:b/>
                <w:bCs/>
              </w:rPr>
              <w:t xml:space="preserve">Joint account with right of survivorship:</w:t>
            </w:r>
            <w:r>
              <w:t xml:space="preserve"> </w:t>
            </w:r>
            <w:r>
              <w:t xml:space="preserve">the decedent's funds belong to the surviving depositors.</w:t>
            </w:r>
            <w:r>
              <w:t xml:space="preserve"> </w:t>
            </w:r>
            <w:r>
              <w:rPr>
                <w:b/>
                <w:bCs/>
              </w:rPr>
              <w:t xml:space="preserve">POD or trust account:</w:t>
            </w:r>
            <w:r>
              <w:t xml:space="preserve"> </w:t>
            </w:r>
            <w:r>
              <w:t xml:space="preserve">the funds belong to the designated beneficiaries who survive. If the account is also a joint account with survivorship, it passes to the beneficiaries only after the last depositor dies.</w:t>
            </w:r>
            <w:r>
              <w:t xml:space="preserve"> </w:t>
            </w:r>
            <w:r>
              <w:rPr>
                <w:b/>
                <w:bCs/>
              </w:rPr>
              <w:t xml:space="preserve">Joint account without survivorship:</w:t>
            </w:r>
            <w:r>
              <w:t xml:space="preserve"> </w:t>
            </w:r>
            <w:r>
              <w:t xml:space="preserve">the decedent's funds go to the estate (use Path B or probate) unless the decedent designated a POD beneficiary of that interest.</w:t>
            </w:r>
          </w:p>
        </w:tc>
        <w:tc>
          <w:tcPr/>
          <w:p>
            <w:pPr>
              <w:pStyle w:val="Compact"/>
            </w:pPr>
            <w:r>
              <w:t xml:space="preserve">RCW 30A.22.100(2)–(4)</w:t>
            </w:r>
          </w:p>
        </w:tc>
      </w:tr>
      <w:tr>
        <w:tc>
          <w:tcPr/>
          <w:p>
            <w:pPr>
              <w:pStyle w:val="Compact"/>
            </w:pPr>
            <w:r>
              <w:t xml:space="preserve">Shares</w:t>
            </w:r>
          </w:p>
        </w:tc>
        <w:tc>
          <w:tcPr/>
          <w:p>
            <w:pPr>
              <w:pStyle w:val="Compact"/>
            </w:pPr>
            <w:r>
              <w:rPr>
                <w:b/>
                <w:bCs/>
              </w:rPr>
              <w:t xml:space="preserve">Joint with survivorship, several survivors:</w:t>
            </w:r>
            <w:r>
              <w:t xml:space="preserve"> </w:t>
            </w:r>
            <w:r>
              <w:t xml:space="preserve">the institution may pay any one or more depositors, without regard to actual ownership (</w:t>
            </w:r>
            <w:r>
              <w:rPr>
                <w:rStyle w:val="VerbatimChar"/>
              </w:rPr>
              <w:t xml:space="preserve">any_of</w:t>
            </w:r>
            <w:r>
              <w:t xml:space="preserve">). As between the survivors, the funds belong equally unless the contract says otherwise.</w:t>
            </w:r>
            <w:r>
              <w:t xml:space="preserve"> </w:t>
            </w:r>
            <w:r>
              <w:rPr>
                <w:b/>
                <w:bCs/>
              </w:rPr>
              <w:t xml:space="preserve">POD or trust, several surviving beneficiaries:</w:t>
            </w:r>
            <w:r>
              <w:t xml:space="preserve"> </w:t>
            </w:r>
            <w:r>
              <w:t xml:space="preserve">equal shares unless the contract specifies otherwise. The institution may not pay any one beneficiary more than the balance divided by the number of beneficiaries, unless the contract provides otherwise (see W2).</w:t>
            </w:r>
          </w:p>
        </w:tc>
        <w:tc>
          <w:tcPr/>
          <w:p>
            <w:pPr>
              <w:pStyle w:val="Compact"/>
            </w:pPr>
            <w:r>
              <w:t xml:space="preserve">RCW 30A.22.140; 30A.22.100(3), (4); 30A.22.160</w:t>
            </w:r>
          </w:p>
        </w:tc>
      </w:tr>
      <w:tr>
        <w:tc>
          <w:tcPr/>
          <w:p>
            <w:pPr>
              <w:pStyle w:val="Compact"/>
            </w:pPr>
            <w:r>
              <w:t xml:space="preserve">Documents</w:t>
            </w:r>
          </w:p>
        </w:tc>
        <w:tc>
          <w:tcPr/>
          <w:p>
            <w:pPr>
              <w:pStyle w:val="Compact"/>
            </w:pPr>
            <w:r>
              <w:t xml:space="preserve">Proof of death of every depositor who had to die before the beneficiary. "Proof of death" means a certified or authenticated copy of a death certificate, or an equivalent government record.</w:t>
            </w:r>
          </w:p>
        </w:tc>
        <w:tc>
          <w:tcPr/>
          <w:p>
            <w:pPr>
              <w:pStyle w:val="Compact"/>
            </w:pPr>
            <w:r>
              <w:t xml:space="preserve">RCW 30A.22.160; 30A.22.040(14)</w:t>
            </w:r>
          </w:p>
        </w:tc>
      </w:tr>
      <w:tr>
        <w:tc>
          <w:tcPr/>
          <w:p>
            <w:pPr>
              <w:pStyle w:val="Compact"/>
            </w:pPr>
            <w:r>
              <w:t xml:space="preserve">Earliest payment</w:t>
            </w:r>
          </w:p>
        </w:tc>
        <w:tc>
          <w:tcPr/>
          <w:p>
            <w:pPr>
              <w:pStyle w:val="Compact"/>
            </w:pPr>
            <w:r>
              <w:t xml:space="preserve">Once proof of death is received. No statutory waiting period; an institution policy may add one.</w:t>
            </w:r>
          </w:p>
        </w:tc>
        <w:tc>
          <w:tcPr/>
          <w:p>
            <w:pPr>
              <w:pStyle w:val="Compact"/>
            </w:pPr>
            <w:r>
              <w:t xml:space="preserve">RCW 30A.22.160</w:t>
            </w:r>
          </w:p>
        </w:tc>
      </w:tr>
      <w:tr>
        <w:tc>
          <w:tcPr/>
          <w:p>
            <w:pPr>
              <w:pStyle w:val="Compact"/>
            </w:pPr>
            <w:r>
              <w:t xml:space="preserve">Liability protection</w:t>
            </w:r>
          </w:p>
        </w:tc>
        <w:tc>
          <w:tcPr/>
          <w:p>
            <w:pPr>
              <w:pStyle w:val="Compact"/>
            </w:pPr>
            <w:r>
              <w:rPr>
                <w:b/>
                <w:bCs/>
              </w:rPr>
              <w:t xml:space="preserve">Yes.</w:t>
            </w:r>
            <w:r>
              <w:t xml:space="preserve"> </w:t>
            </w:r>
            <w:r>
              <w:t xml:space="preserve">Payments made under the chapter are a complete release and discharge, even if inconsistent with actual ownership.</w:t>
            </w:r>
            <w:r>
              <w:t xml:space="preserve"> </w:t>
            </w:r>
            <w:r>
              <w:rPr>
                <w:b/>
                <w:bCs/>
              </w:rPr>
              <w:t xml:space="preserve">Exception:</w:t>
            </w:r>
            <w:r>
              <w:t xml:space="preserve"> </w:t>
            </w:r>
            <w:r>
              <w:t xml:space="preserve">the institution has</w:t>
            </w:r>
            <w:r>
              <w:t xml:space="preserve"> </w:t>
            </w:r>
            <w:r>
              <w:rPr>
                <w:i/>
                <w:iCs/>
              </w:rPr>
              <w:t xml:space="preserve">actual knowledge</w:t>
            </w:r>
            <w:r>
              <w:t xml:space="preserve"> </w:t>
            </w:r>
            <w:r>
              <w:t xml:space="preserve">of a dispute, meaning written notice to a branch manager or officer in time to act on it.</w:t>
            </w:r>
          </w:p>
        </w:tc>
        <w:tc>
          <w:tcPr/>
          <w:p>
            <w:pPr>
              <w:pStyle w:val="Compact"/>
            </w:pPr>
            <w:r>
              <w:t xml:space="preserve">RCW 30A.22.120; 30A.22.040(2)</w:t>
            </w:r>
          </w:p>
        </w:tc>
      </w:tr>
    </w:tbl>
    <w:p>
      <w:pPr>
        <w:pStyle w:val="BodyText"/>
      </w:pPr>
      <w:r>
        <w:rPr>
          <w:b/>
          <w:bCs/>
        </w:rPr>
        <w:t xml:space="preserve">Not determinable on this path:</w:t>
      </w:r>
    </w:p>
    <w:p>
      <w:pPr>
        <w:pStyle w:val="Compact"/>
        <w:numPr>
          <w:ilvl w:val="0"/>
          <w:numId w:val="1003"/>
        </w:numPr>
      </w:pPr>
      <w:r>
        <w:rPr>
          <w:b/>
          <w:bCs/>
        </w:rPr>
        <w:t xml:space="preserve">Written notice of a dispute received.</w:t>
      </w:r>
      <w:r>
        <w:t xml:space="preserve"> </w:t>
      </w:r>
      <w:r>
        <w:t xml:space="preserve">The institution may withhold payment until all parties consent in writing or a court directs, or it may pay against an adverse-claim bond.</w:t>
      </w:r>
    </w:p>
    <w:p>
      <w:pPr>
        <w:pStyle w:val="Compact"/>
        <w:numPr>
          <w:ilvl w:val="0"/>
          <w:numId w:val="1003"/>
        </w:numPr>
      </w:pPr>
      <w:r>
        <w:rPr>
          <w:b/>
          <w:bCs/>
        </w:rPr>
        <w:t xml:space="preserve">Notice of testamentary disposition received.</w:t>
      </w:r>
      <w:r>
        <w:t xml:space="preserve"> </w:t>
      </w:r>
      <w:r>
        <w:t xml:space="preserve">A will may redirect a nonprobate asset, and the institution loses its reliance protection once it receives proper notice under RCW 11.11.050.</w:t>
      </w:r>
    </w:p>
    <w:p>
      <w:pPr>
        <w:pStyle w:val="Compact"/>
        <w:numPr>
          <w:ilvl w:val="0"/>
          <w:numId w:val="1003"/>
        </w:numPr>
      </w:pPr>
      <w:r>
        <w:rPr>
          <w:b/>
          <w:bCs/>
        </w:rPr>
        <w:t xml:space="preserve">The POD beneficiary is a former spouse or former registered domestic partner.</w:t>
      </w:r>
      <w:r>
        <w:t xml:space="preserve"> </w:t>
      </w:r>
      <w:r>
        <w:t xml:space="preserve">The designation is revoked by dissolution, with exceptions, and the institution is protected only until it has actual knowledge.</w:t>
      </w:r>
    </w:p>
    <w:p>
      <w:pPr>
        <w:pStyle w:val="Compact"/>
        <w:numPr>
          <w:ilvl w:val="0"/>
          <w:numId w:val="1003"/>
        </w:numPr>
      </w:pPr>
      <w:r>
        <w:rPr>
          <w:b/>
          <w:bCs/>
        </w:rPr>
        <w:t xml:space="preserve">No beneficiary survived.</w:t>
      </w:r>
      <w:r>
        <w:t xml:space="preserve"> </w:t>
      </w:r>
      <w:r>
        <w:t xml:space="preserve">The funds go to the estate, so Path B or probate applies.</w:t>
      </w:r>
    </w:p>
    <w:p>
      <w:pPr>
        <w:pStyle w:val="Compact"/>
        <w:numPr>
          <w:ilvl w:val="0"/>
          <w:numId w:val="1003"/>
        </w:numPr>
      </w:pPr>
      <w:r>
        <w:rPr>
          <w:b/>
          <w:bCs/>
        </w:rPr>
        <w:t xml:space="preserve">The terms require multiple signatures</w:t>
      </w:r>
      <w:r>
        <w:t xml:space="preserve"> </w:t>
      </w:r>
      <w:r>
        <w:t xml:space="preserve">in a way the claim doesn't satisfy.</w:t>
      </w:r>
    </w:p>
    <w:p>
      <w:pPr>
        <w:pStyle w:val="FirstParagraph"/>
      </w:pPr>
      <w:r>
        <w:t xml:space="preserve">Citations for this list, in order: RCW 30A.22.210, 30A.22.220; RCW 11.11.020, 11.11.040, 11.11.050; RCW 11.07.010(2), (3); RCW 30A.22.100(4).</w:t>
      </w:r>
    </w:p>
    <w:bookmarkEnd w:id="12"/>
    <w:bookmarkStart w:id="15" w:name="path-b-small-estate-affidavit-rcw-1162"/>
    <w:p>
      <w:pPr>
        <w:pStyle w:val="Heading2"/>
      </w:pPr>
      <w:r>
        <w:t xml:space="preserve">Path B: small-estate affidavit (RCW 11.62)</w:t>
      </w:r>
    </w:p>
    <w:p>
      <w:pPr>
        <w:pStyle w:val="FirstParagraph"/>
      </w:pPr>
      <w:r>
        <w:t xml:space="preserve">Applies to funds that belong to the estate: a single account, the decedent's share of a joint account without survivorship, or an account where no beneficiary survived.</w:t>
      </w:r>
    </w:p>
    <w:bookmarkStart w:id="13" w:name="Xfac66a4adaf37874211cc27d19c8c400e4841e7"/>
    <w:p>
      <w:pPr>
        <w:pStyle w:val="Heading3"/>
      </w:pPr>
      <w:r>
        <w:t xml:space="preserve">Eligibility (all required, as stated in the affidavit)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Citation</w:t>
            </w:r>
          </w:p>
        </w:tc>
      </w:tr>
      <w:tr>
        <w:tc>
          <w:tcPr/>
          <w:p>
            <w:pPr>
              <w:pStyle w:val="Compact"/>
            </w:pPr>
            <w:r>
              <w:t xml:space="preserve">At least 40 days have passed since the death.</w:t>
            </w:r>
          </w:p>
        </w:tc>
        <w:tc>
          <w:tcPr/>
          <w:p>
            <w:pPr>
              <w:pStyle w:val="Compact"/>
            </w:pPr>
            <w:r>
              <w:t xml:space="preserve">RCW 11.62.010(1), (2)(d)</w:t>
            </w:r>
          </w:p>
        </w:tc>
      </w:tr>
      <w:tr>
        <w:tc>
          <w:tcPr/>
          <w:p>
            <w:pPr>
              <w:pStyle w:val="Compact"/>
            </w:pPr>
            <w:r>
              <w:t xml:space="preserve">The decedent was a Washington resident on the date of death.</w:t>
            </w:r>
          </w:p>
        </w:tc>
        <w:tc>
          <w:tcPr/>
          <w:p>
            <w:pPr>
              <w:pStyle w:val="Compact"/>
            </w:pPr>
            <w:r>
              <w:t xml:space="preserve">RCW 11.62.010(2)(b)</w:t>
            </w:r>
          </w:p>
        </w:tc>
      </w:tr>
      <w:tr>
        <w:tc>
          <w:tcPr/>
          <w:p>
            <w:pPr>
              <w:pStyle w:val="Compact"/>
            </w:pPr>
            <w:r>
              <w:t xml:space="preserve">The decedent's entire probate estate, wherever located, less liens and encumbrances, does not exceed</w:t>
            </w:r>
            <w:r>
              <w:t xml:space="preserve"> </w:t>
            </w:r>
            <w:r>
              <w:rPr>
                <w:b/>
                <w:bCs/>
              </w:rPr>
              <w:t xml:space="preserve">$100,000</w:t>
            </w:r>
            <w:r>
              <w:t xml:space="preserve">. This excludes the surviving spouse's or domestic partner's community property interest.</w:t>
            </w:r>
          </w:p>
        </w:tc>
        <w:tc>
          <w:tcPr/>
          <w:p>
            <w:pPr>
              <w:pStyle w:val="Compact"/>
            </w:pPr>
            <w:r>
              <w:t xml:space="preserve">RCW 11.62.010(2)(c)</w:t>
            </w:r>
          </w:p>
        </w:tc>
      </w:tr>
      <w:tr>
        <w:tc>
          <w:tcPr/>
          <w:p>
            <w:pPr>
              <w:pStyle w:val="Compact"/>
            </w:pPr>
            <w:r>
              <w:t xml:space="preserve">No application or petition to appoint a personal representative is pending or has been granted</w:t>
            </w:r>
            <w:r>
              <w:t xml:space="preserve"> </w:t>
            </w:r>
            <w:r>
              <w:rPr>
                <w:b/>
                <w:bCs/>
              </w:rPr>
              <w:t xml:space="preserve">in any jurisdiction</w:t>
            </w:r>
            <w:r>
              <w:t xml:space="preserve">.</w:t>
            </w:r>
          </w:p>
        </w:tc>
        <w:tc>
          <w:tcPr/>
          <w:p>
            <w:pPr>
              <w:pStyle w:val="Compact"/>
            </w:pPr>
            <w:r>
              <w:t xml:space="preserve">RCW 11.62.010(2)(e)</w:t>
            </w:r>
          </w:p>
        </w:tc>
      </w:tr>
      <w:tr>
        <w:tc>
          <w:tcPr/>
          <w:p>
            <w:pPr>
              <w:pStyle w:val="Compact"/>
            </w:pPr>
            <w:r>
              <w:t xml:space="preserve">All debts of the decedent, including funeral and burial expenses, have been paid or provided for.</w:t>
            </w:r>
          </w:p>
        </w:tc>
        <w:tc>
          <w:tcPr/>
          <w:p>
            <w:pPr>
              <w:pStyle w:val="Compact"/>
            </w:pPr>
            <w:r>
              <w:t xml:space="preserve">RCW 11.62.010(2)(f)</w:t>
            </w:r>
          </w:p>
        </w:tc>
      </w:tr>
      <w:tr>
        <w:tc>
          <w:tcPr/>
          <w:p>
            <w:pPr>
              <w:pStyle w:val="Compact"/>
            </w:pPr>
            <w:r>
              <w:t xml:space="preserve">The claimant gave written notice of the claim to</w:t>
            </w:r>
            <w:r>
              <w:t xml:space="preserve"> </w:t>
            </w:r>
            <w:r>
              <w:rPr>
                <w:b/>
                <w:bCs/>
              </w:rPr>
              <w:t xml:space="preserve">all other successors</w:t>
            </w:r>
            <w:r>
              <w:t xml:space="preserve"> </w:t>
            </w:r>
            <w:r>
              <w:t xml:space="preserve">by personal service or mail, and at least</w:t>
            </w:r>
            <w:r>
              <w:t xml:space="preserve"> </w:t>
            </w:r>
            <w:r>
              <w:rPr>
                <w:b/>
                <w:bCs/>
              </w:rPr>
              <w:t xml:space="preserve">10 days</w:t>
            </w:r>
            <w:r>
              <w:t xml:space="preserve"> </w:t>
            </w:r>
            <w:r>
              <w:t xml:space="preserve">have passed since.</w:t>
            </w:r>
          </w:p>
        </w:tc>
        <w:tc>
          <w:tcPr/>
          <w:p>
            <w:pPr>
              <w:pStyle w:val="Compact"/>
            </w:pPr>
            <w:r>
              <w:t xml:space="preserve">RCW 11.62.010(2)(h)</w:t>
            </w:r>
          </w:p>
        </w:tc>
      </w:tr>
      <w:tr>
        <w:tc>
          <w:tcPr/>
          <w:p>
            <w:pPr>
              <w:pStyle w:val="Compact"/>
            </w:pPr>
            <w:r>
              <w:t xml:space="preserve">The claimant is a "successor": an heir or beneficiary under the will, a surviving spouse or domestic partner for their half of the community property, DSHS for recovery claims, or the state for escheat. A creditor is not a successor.</w:t>
            </w:r>
          </w:p>
        </w:tc>
        <w:tc>
          <w:tcPr/>
          <w:p>
            <w:pPr>
              <w:pStyle w:val="Compact"/>
            </w:pPr>
            <w:r>
              <w:t xml:space="preserve">RCW 11.62.005(2)</w:t>
            </w:r>
          </w:p>
        </w:tc>
      </w:tr>
    </w:tbl>
    <w:bookmarkEnd w:id="13"/>
    <w:bookmarkStart w:id="14" w:name="decision"/>
    <w:p>
      <w:pPr>
        <w:pStyle w:val="Heading3"/>
      </w:pPr>
      <w:r>
        <w:t xml:space="preserve">Decision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Rule</w:t>
            </w:r>
          </w:p>
        </w:tc>
        <w:tc>
          <w:tcPr/>
          <w:p>
            <w:pPr>
              <w:pStyle w:val="Compact"/>
            </w:pPr>
            <w:r>
              <w:t xml:space="preserve">Citation</w:t>
            </w:r>
          </w:p>
        </w:tc>
      </w:tr>
      <w:tr>
        <w:tc>
          <w:tcPr/>
          <w:p>
            <w:pPr>
              <w:pStyle w:val="Compact"/>
            </w:pPr>
            <w:r>
              <w:t xml:space="preserve">Who is paid</w:t>
            </w:r>
          </w:p>
        </w:tc>
        <w:tc>
          <w:tcPr/>
          <w:p>
            <w:pPr>
              <w:pStyle w:val="Compact"/>
            </w:pPr>
            <w:r>
              <w:t xml:space="preserve">The claiming successor who presents the affidavit and proof of death. The claimant must be either personally entitled to full payment, or entitled on behalf of, and with the written authority of, all other successors who have an interest.</w:t>
            </w:r>
          </w:p>
        </w:tc>
        <w:tc>
          <w:tcPr/>
          <w:p>
            <w:pPr>
              <w:pStyle w:val="Compact"/>
            </w:pPr>
            <w:r>
              <w:t xml:space="preserve">RCW 11.62.010(1), (2)(i)</w:t>
            </w:r>
          </w:p>
        </w:tc>
      </w:tr>
      <w:tr>
        <w:tc>
          <w:tcPr/>
          <w:p>
            <w:pPr>
              <w:pStyle w:val="Compact"/>
            </w:pPr>
            <w:r>
              <w:t xml:space="preserve">Shares</w:t>
            </w:r>
          </w:p>
        </w:tc>
        <w:tc>
          <w:tcPr/>
          <w:p>
            <w:pPr>
              <w:pStyle w:val="Compact"/>
            </w:pPr>
            <w:r>
              <w:t xml:space="preserve">The institution pays "so much ... as is claimed". A claimant acting with every other successor's written authority may take the full balance (W5).</w:t>
            </w:r>
          </w:p>
        </w:tc>
        <w:tc>
          <w:tcPr/>
          <w:p>
            <w:pPr>
              <w:pStyle w:val="Compact"/>
            </w:pPr>
            <w:r>
              <w:t xml:space="preserve">RCW 11.62.010(1), (2)(g), (i)</w:t>
            </w:r>
          </w:p>
        </w:tc>
      </w:tr>
      <w:tr>
        <w:tc>
          <w:tcPr/>
          <w:p>
            <w:pPr>
              <w:pStyle w:val="Compact"/>
            </w:pPr>
            <w:r>
              <w:t xml:space="preserve">Documents</w:t>
            </w:r>
          </w:p>
        </w:tc>
        <w:tc>
          <w:tcPr/>
          <w:p>
            <w:pPr>
              <w:pStyle w:val="Compact"/>
            </w:pPr>
            <w:r>
              <w:t xml:space="preserve">1. The affidavit with every RCW 11.62.010(2) statement. 2. Proof of death. No tax release may be required.</w:t>
            </w:r>
          </w:p>
        </w:tc>
        <w:tc>
          <w:tcPr/>
          <w:p>
            <w:pPr>
              <w:pStyle w:val="Compact"/>
            </w:pPr>
            <w:r>
              <w:t xml:space="preserve">RCW 11.62.010(1), (2), (4)</w:t>
            </w:r>
          </w:p>
        </w:tc>
      </w:tr>
      <w:tr>
        <w:tc>
          <w:tcPr/>
          <w:p>
            <w:pPr>
              <w:pStyle w:val="Compact"/>
            </w:pPr>
            <w:r>
              <w:t xml:space="preserve">Earliest payment</w:t>
            </w:r>
          </w:p>
        </w:tc>
        <w:tc>
          <w:tcPr/>
          <w:p>
            <w:pPr>
              <w:pStyle w:val="Compact"/>
            </w:pPr>
            <w:r>
              <w:t xml:space="preserve">The</w:t>
            </w:r>
            <w:r>
              <w:t xml:space="preserve"> </w:t>
            </w:r>
            <w:r>
              <w:rPr>
                <w:b/>
                <w:bCs/>
              </w:rPr>
              <w:t xml:space="preserve">later</w:t>
            </w:r>
            <w:r>
              <w:t xml:space="preserve"> </w:t>
            </w:r>
            <w:r>
              <w:t xml:space="preserve">of: 40 days after death, or 10 days after notice was served or mailed to the other successors. Days are counted under RCW 1.12.040 (exclude the first day, include the last); whether payment may happen on day 40 or day 41, and whether weekends and holidays extend the wait, is W4.</w:t>
            </w:r>
          </w:p>
        </w:tc>
        <w:tc>
          <w:tcPr/>
          <w:p>
            <w:pPr>
              <w:pStyle w:val="Compact"/>
            </w:pPr>
            <w:r>
              <w:t xml:space="preserve">RCW 11.62.010(1), (2)(d), (h); RCW 1.12.040</w:t>
            </w:r>
          </w:p>
        </w:tc>
      </w:tr>
      <w:tr>
        <w:tc>
          <w:tcPr/>
          <w:p>
            <w:pPr>
              <w:pStyle w:val="Compact"/>
            </w:pPr>
            <w:r>
              <w:t xml:space="preserve">Liability protection</w:t>
            </w:r>
          </w:p>
        </w:tc>
        <w:tc>
          <w:tcPr/>
          <w:p>
            <w:pPr>
              <w:pStyle w:val="Compact"/>
            </w:pPr>
            <w:r>
              <w:rPr>
                <w:b/>
                <w:bCs/>
              </w:rPr>
              <w:t xml:space="preserve">Yes.</w:t>
            </w:r>
            <w:r>
              <w:t xml:space="preserve"> </w:t>
            </w:r>
            <w:r>
              <w:t xml:space="preserve">The institution is discharged as if it had dealt with a personal representative,</w:t>
            </w:r>
            <w:r>
              <w:t xml:space="preserve"> </w:t>
            </w:r>
            <w:r>
              <w:rPr>
                <w:b/>
                <w:bCs/>
              </w:rPr>
              <w:t xml:space="preserve">unless</w:t>
            </w:r>
            <w:r>
              <w:t xml:space="preserve"> </w:t>
            </w:r>
            <w:r>
              <w:t xml:space="preserve">it had actual knowledge that a required statement was false. An organization has that knowledge only once it reaches the individual making the payment. If several affidavits arrive, it may pay the first one received with proof of death, or interplead.</w:t>
            </w:r>
          </w:p>
        </w:tc>
        <w:tc>
          <w:tcPr/>
          <w:p>
            <w:pPr>
              <w:pStyle w:val="Compact"/>
            </w:pPr>
            <w:r>
              <w:t xml:space="preserve">RCW 11.62.020</w:t>
            </w:r>
          </w:p>
        </w:tc>
      </w:tr>
    </w:tbl>
    <w:p>
      <w:pPr>
        <w:pStyle w:val="BodyText"/>
      </w:pPr>
      <w:r>
        <w:rPr>
          <w:b/>
          <w:bCs/>
        </w:rPr>
        <w:t xml:space="preserve">Also required by statute:</w:t>
      </w:r>
      <w:r>
        <w:t xml:space="preserve"> </w:t>
      </w:r>
      <w:r>
        <w:t xml:space="preserve">a copy of the affidavit, including the decedent's Social Security number, must be mailed to DSHS's Office of Financial Recovery. The statute doesn't say who mails it (W6). The engine never handles the SSN; at most this becomes a process step or document.</w:t>
      </w:r>
    </w:p>
    <w:p>
      <w:pPr>
        <w:pStyle w:val="BodyText"/>
      </w:pPr>
      <w:r>
        <w:rPr>
          <w:b/>
          <w:bCs/>
        </w:rPr>
        <w:t xml:space="preserve">Not determinable on this path:</w:t>
      </w:r>
    </w:p>
    <w:p>
      <w:pPr>
        <w:pStyle w:val="Compact"/>
        <w:numPr>
          <w:ilvl w:val="0"/>
          <w:numId w:val="1004"/>
        </w:numPr>
      </w:pPr>
      <w:r>
        <w:t xml:space="preserve">An application to appoint a personal representative exists anywhere.</w:t>
      </w:r>
    </w:p>
    <w:p>
      <w:pPr>
        <w:pStyle w:val="Compact"/>
        <w:numPr>
          <w:ilvl w:val="0"/>
          <w:numId w:val="1004"/>
        </w:numPr>
      </w:pPr>
      <w:r>
        <w:t xml:space="preserve">The decedent was not a WA resident, or residency is unknown.</w:t>
      </w:r>
    </w:p>
    <w:p>
      <w:pPr>
        <w:pStyle w:val="Compact"/>
        <w:numPr>
          <w:ilvl w:val="0"/>
          <w:numId w:val="1004"/>
        </w:numPr>
      </w:pPr>
      <w:r>
        <w:t xml:space="preserve">The declared value exceeds $100,000 or is unknown.</w:t>
      </w:r>
    </w:p>
    <w:p>
      <w:pPr>
        <w:pStyle w:val="Compact"/>
        <w:numPr>
          <w:ilvl w:val="0"/>
          <w:numId w:val="1004"/>
        </w:numPr>
      </w:pPr>
      <w:r>
        <w:t xml:space="preserve">Notice to the other successors hasn't been given, or its date is unknown.</w:t>
      </w:r>
    </w:p>
    <w:p>
      <w:pPr>
        <w:pStyle w:val="Compact"/>
        <w:numPr>
          <w:ilvl w:val="0"/>
          <w:numId w:val="1004"/>
        </w:numPr>
      </w:pPr>
      <w:r>
        <w:t xml:space="preserve">The claimant is neither fully entitled nor authorized by all other successors.</w:t>
      </w:r>
    </w:p>
    <w:bookmarkEnd w:id="14"/>
    <w:bookmarkEnd w:id="15"/>
    <w:bookmarkStart w:id="16" w:name="X6ac5933fc7557ef0c1ed279dae613d29ee681c3"/>
    <w:p>
      <w:pPr>
        <w:pStyle w:val="Heading2"/>
      </w:pPr>
      <w:r>
        <w:t xml:space="preserve">Path C: other statutory payments (RCW 30A.22.190)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Case</w:t>
            </w:r>
          </w:p>
        </w:tc>
        <w:tc>
          <w:tcPr/>
          <w:p>
            <w:pPr>
              <w:pStyle w:val="Compact"/>
            </w:pPr>
            <w:r>
              <w:t xml:space="preserve">Rule</w:t>
            </w:r>
          </w:p>
        </w:tc>
        <w:tc>
          <w:tcPr/>
          <w:p>
            <w:pPr>
              <w:pStyle w:val="Compact"/>
            </w:pPr>
            <w:r>
              <w:t xml:space="preserve">Status</w:t>
            </w:r>
          </w:p>
        </w:tc>
      </w:tr>
      <w:tr>
        <w:tc>
          <w:tcPr/>
          <w:p>
            <w:pPr>
              <w:pStyle w:val="Compact"/>
            </w:pPr>
            <w:r>
              <w:rPr>
                <w:b/>
                <w:bCs/>
              </w:rPr>
              <w:t xml:space="preserve">Community property agreement</w:t>
            </w:r>
          </w:p>
        </w:tc>
        <w:tc>
          <w:tcPr/>
          <w:p>
            <w:pPr>
              <w:pStyle w:val="Compact"/>
            </w:pPr>
            <w:r>
              <w:t xml:space="preserve">Pay all funds in the deceased spouse's name to the surviving spouse, on a certified copy of the recorded agreement plus the spouse's affidavit that it was valid and in force at death.</w:t>
            </w:r>
          </w:p>
        </w:tc>
        <w:tc>
          <w:tcPr/>
          <w:p>
            <w:pPr>
              <w:pStyle w:val="Compact"/>
            </w:pPr>
            <w:r>
              <w:t xml:space="preserve">Under owner review (W7; analysis in open-questions)</w:t>
            </w:r>
          </w:p>
        </w:tc>
      </w:tr>
      <w:tr>
        <w:tc>
          <w:tcPr/>
          <w:p>
            <w:pPr>
              <w:pStyle w:val="Compact"/>
            </w:pPr>
            <w:r>
              <w:rPr>
                <w:b/>
                <w:bCs/>
              </w:rPr>
              <w:t xml:space="preserve">Balance at or below $2,500</w:t>
            </w:r>
          </w:p>
        </w:tc>
        <w:tc>
          <w:tcPr/>
          <w:p>
            <w:pPr>
              <w:pStyle w:val="Compact"/>
            </w:pPr>
            <w:r>
              <w:t xml:space="preserve">Payment may go to the surviving spouse, next of kin, funeral director, or a creditor who "may appear to be entitled", on proof of death and an affidavit that no personal representative was appointed. The institution may require waivers, indemnity and other proofs (Policy).</w:t>
            </w:r>
          </w:p>
        </w:tc>
        <w:tc>
          <w:tcPr/>
          <w:p>
            <w:pPr>
              <w:pStyle w:val="Compact"/>
            </w:pPr>
            <w:r>
              <w:t xml:space="preserve">Under owner review (W8; analysis in open-questions)</w:t>
            </w:r>
          </w:p>
        </w:tc>
      </w:tr>
      <w:tr>
        <w:tc>
          <w:tcPr/>
          <w:p>
            <w:pPr>
              <w:pStyle w:val="Compact"/>
            </w:pPr>
            <w:r>
              <w:rPr>
                <w:b/>
                <w:bCs/>
              </w:rPr>
              <w:t xml:space="preserve">Foreign personal representative</w:t>
            </w:r>
          </w:p>
        </w:tc>
        <w:tc>
          <w:tcPr/>
          <w:p>
            <w:pPr>
              <w:pStyle w:val="Compact"/>
            </w:pPr>
            <w:r>
              <w:t xml:space="preserve">After 60 days, with the documents listed in RCW 30A.22.200.</w:t>
            </w:r>
          </w:p>
        </w:tc>
        <w:tc>
          <w:tcPr/>
          <w:p>
            <w:pPr>
              <w:pStyle w:val="Compact"/>
            </w:pPr>
            <w:r>
              <w:t xml:space="preserve">Out of scope for v1</w:t>
            </w:r>
          </w:p>
        </w:tc>
      </w:tr>
      <w:tr>
        <w:tc>
          <w:tcPr/>
          <w:p>
            <w:pPr>
              <w:pStyle w:val="Compact"/>
            </w:pPr>
            <w:r>
              <w:rPr>
                <w:b/>
                <w:bCs/>
              </w:rPr>
              <w:t xml:space="preserve">Credit union, balance at or below $1,000</w:t>
            </w:r>
          </w:p>
        </w:tc>
        <w:tc>
          <w:tcPr/>
          <w:p>
            <w:pPr>
              <w:pStyle w:val="Compact"/>
            </w:pPr>
            <w:r>
              <w:t xml:space="preserve">A credit union may pay the surviving spouse or domestic partner on their affidavit that no executor or administrator was appointed. A good-faith payment is a full release, and the spouse must account to a later personal representative.</w:t>
            </w:r>
          </w:p>
        </w:tc>
        <w:tc>
          <w:tcPr/>
          <w:p>
            <w:pPr>
              <w:pStyle w:val="Compact"/>
            </w:pPr>
            <w:r>
              <w:t xml:space="preserve">Under owner review (W11)</w:t>
            </w:r>
          </w:p>
        </w:tc>
      </w:tr>
    </w:tbl>
    <w:bookmarkEnd w:id="16"/>
    <w:bookmarkStart w:id="17" w:name="intestate-shares-reference-only"/>
    <w:p>
      <w:pPr>
        <w:pStyle w:val="Heading2"/>
      </w:pPr>
      <w:r>
        <w:t xml:space="preserve">Intestate shares (reference only)</w:t>
      </w:r>
    </w:p>
    <w:p>
      <w:pPr>
        <w:pStyle w:val="FirstParagraph"/>
      </w:pPr>
      <w:r>
        <w:t xml:space="preserve">RCW 11.04.015 sets intestate shares. The surviving spouse or domestic partner takes all of the decedent's share of the community estate, plus one-half, three-quarters, or all of the separate estate depending on who else survives. On Path B the institution relies on the affidavit (RCW 11.62.020), so v1 does</w:t>
      </w:r>
      <w:r>
        <w:t xml:space="preserve"> </w:t>
      </w:r>
      <w:r>
        <w:rPr>
          <w:b/>
          <w:bCs/>
        </w:rPr>
        <w:t xml:space="preserve">not</w:t>
      </w:r>
      <w:r>
        <w:t xml:space="preserve"> </w:t>
      </w:r>
      <w:r>
        <w:t xml:space="preserve">compute intestate shares.</w:t>
      </w:r>
    </w:p>
    <w:bookmarkEnd w:id="17"/>
    <w:bookmarkStart w:id="18" w:name="facts-the-engine-will-need"/>
    <w:p>
      <w:pPr>
        <w:pStyle w:val="Heading2"/>
      </w:pPr>
      <w:r>
        <w:t xml:space="preserve">Facts the engine will need</w:t>
      </w:r>
    </w:p>
    <w:p>
      <w:pPr>
        <w:pStyle w:val="FirstParagraph"/>
      </w:pPr>
      <w:r>
        <w:rPr>
          <w:b/>
          <w:bCs/>
        </w:rPr>
        <w:t xml:space="preserve">In the schema</w:t>
      </w:r>
      <w:r>
        <w:t xml:space="preserve"> </w:t>
      </w:r>
      <w:r>
        <w:t xml:space="preserve">(REQ-CORE-004, -005, -006):</w:t>
      </w:r>
    </w:p>
    <w:p>
      <w:pPr>
        <w:pStyle w:val="Compact"/>
        <w:numPr>
          <w:ilvl w:val="0"/>
          <w:numId w:val="1005"/>
        </w:numPr>
      </w:pPr>
      <w:r>
        <w:rPr>
          <w:rStyle w:val="VerbatimChar"/>
        </w:rPr>
        <w:t xml:space="preserve">account.account_type</w:t>
      </w:r>
      <w:r>
        <w:t xml:space="preserve">:</w:t>
      </w:r>
      <w:r>
        <w:t xml:space="preserve"> </w:t>
      </w:r>
      <w:r>
        <w:rPr>
          <w:rStyle w:val="VerbatimChar"/>
        </w:rPr>
        <w:t xml:space="preserve">sole</w:t>
      </w:r>
      <w:r>
        <w:t xml:space="preserve">,</w:t>
      </w:r>
      <w:r>
        <w:t xml:space="preserve"> </w:t>
      </w:r>
      <w:r>
        <w:rPr>
          <w:rStyle w:val="VerbatimChar"/>
        </w:rPr>
        <w:t xml:space="preserve">joint_with_survivorship</w:t>
      </w:r>
      <w:r>
        <w:t xml:space="preserve">,</w:t>
      </w:r>
      <w:r>
        <w:t xml:space="preserve"> </w:t>
      </w:r>
      <w:r>
        <w:rPr>
          <w:rStyle w:val="VerbatimChar"/>
        </w:rPr>
        <w:t xml:space="preserve">joint_without_survivorship</w:t>
      </w:r>
      <w:r>
        <w:t xml:space="preserve"> </w:t>
      </w:r>
      <w:r>
        <w:t xml:space="preserve">(which may also name POD payees),</w:t>
      </w:r>
      <w:r>
        <w:t xml:space="preserve"> </w:t>
      </w:r>
      <w:r>
        <w:rPr>
          <w:rStyle w:val="VerbatimChar"/>
        </w:rPr>
        <w:t xml:space="preserve">payable_on_death</w:t>
      </w:r>
      <w:r>
        <w:t xml:space="preserve">,</w:t>
      </w:r>
      <w:r>
        <w:t xml:space="preserve"> </w:t>
      </w:r>
      <w:r>
        <w:rPr>
          <w:rStyle w:val="VerbatimChar"/>
        </w:rPr>
        <w:t xml:space="preserve">totten_trust</w:t>
      </w:r>
      <w:r>
        <w:t xml:space="preserve">; holders with survivorship and terms shares.</w:t>
      </w:r>
    </w:p>
    <w:p>
      <w:pPr>
        <w:pStyle w:val="Compact"/>
        <w:numPr>
          <w:ilvl w:val="0"/>
          <w:numId w:val="1005"/>
        </w:numPr>
      </w:pPr>
      <w:r>
        <w:rPr>
          <w:rStyle w:val="VerbatimChar"/>
        </w:rPr>
        <w:t xml:space="preserve">account.dispute_notice_received</w:t>
      </w:r>
      <w:r>
        <w:t xml:space="preserve"> </w:t>
      </w:r>
      <w:r>
        <w:t xml:space="preserve">(RCW 30A.22.120, .210) and</w:t>
      </w:r>
      <w:r>
        <w:t xml:space="preserve"> </w:t>
      </w:r>
      <w:r>
        <w:rPr>
          <w:rStyle w:val="VerbatimChar"/>
        </w:rPr>
        <w:t xml:space="preserve">account.testamentary_disposition_notice_received</w:t>
      </w:r>
      <w:r>
        <w:t xml:space="preserve"> </w:t>
      </w:r>
      <w:r>
        <w:t xml:space="preserve">(RCW 11.11.040, .050); restraining order and withdrawal notice; multiple-signature terms.</w:t>
      </w:r>
    </w:p>
    <w:p>
      <w:pPr>
        <w:pStyle w:val="Compact"/>
        <w:numPr>
          <w:ilvl w:val="0"/>
          <w:numId w:val="1005"/>
        </w:numPr>
      </w:pPr>
      <w:r>
        <w:rPr>
          <w:rStyle w:val="VerbatimChar"/>
        </w:rPr>
        <w:t xml:space="preserve">decedent_resident_of_jurisdiction</w:t>
      </w:r>
      <w:r>
        <w:t xml:space="preserve"> </w:t>
      </w:r>
      <w:r>
        <w:t xml:space="preserve">(RCW 11.62.010(2)(b)).</w:t>
      </w:r>
    </w:p>
    <w:p>
      <w:pPr>
        <w:pStyle w:val="Compact"/>
        <w:numPr>
          <w:ilvl w:val="0"/>
          <w:numId w:val="1005"/>
        </w:numPr>
      </w:pPr>
      <w:r>
        <w:rPr>
          <w:rStyle w:val="VerbatimChar"/>
        </w:rPr>
        <w:t xml:space="preserve">estate.administration</w:t>
      </w:r>
      <w:r>
        <w:t xml:space="preserve"> </w:t>
      </w:r>
      <w:r>
        <w:t xml:space="preserve">(in Washington) and</w:t>
      </w:r>
      <w:r>
        <w:t xml:space="preserve"> </w:t>
      </w:r>
      <w:r>
        <w:rPr>
          <w:rStyle w:val="VerbatimChar"/>
        </w:rPr>
        <w:t xml:space="preserve">estate.representative_application_elsewhere</w:t>
      </w:r>
      <w:r>
        <w:t xml:space="preserve"> </w:t>
      </w:r>
      <w:r>
        <w:t xml:space="preserve">(any other jurisdiction); together these cover RCW 11.62.010(2)(e).</w:t>
      </w:r>
    </w:p>
    <w:p>
      <w:pPr>
        <w:pStyle w:val="Compact"/>
        <w:numPr>
          <w:ilvl w:val="0"/>
          <w:numId w:val="1005"/>
        </w:numPr>
      </w:pPr>
      <w:r>
        <w:rPr>
          <w:rStyle w:val="VerbatimChar"/>
        </w:rPr>
        <w:t xml:space="preserve">estate.declared_value</w:t>
      </w:r>
      <w:r>
        <w:t xml:space="preserve"> </w:t>
      </w:r>
      <w:r>
        <w:t xml:space="preserve">(as RCW 11.62.010(2)(c) defines it),</w:t>
      </w:r>
      <w:r>
        <w:t xml:space="preserve"> </w:t>
      </w:r>
      <w:r>
        <w:rPr>
          <w:rStyle w:val="VerbatimChar"/>
        </w:rPr>
        <w:t xml:space="preserve">estate.successor_notice_given_on</w:t>
      </w:r>
      <w:r>
        <w:t xml:space="preserve"> </w:t>
      </w:r>
      <w:r>
        <w:t xml:space="preserve">(10-day wait),</w:t>
      </w:r>
      <w:r>
        <w:t xml:space="preserve"> </w:t>
      </w:r>
      <w:r>
        <w:rPr>
          <w:rStyle w:val="VerbatimChar"/>
        </w:rPr>
        <w:t xml:space="preserve">estate.claim_authorized_by_all_successors</w:t>
      </w:r>
      <w:r>
        <w:t xml:space="preserve"> </w:t>
      </w:r>
      <w:r>
        <w:t xml:space="preserve">(RCW 11.62.010(2)(i)), and</w:t>
      </w:r>
      <w:r>
        <w:t xml:space="preserve"> </w:t>
      </w:r>
      <w:r>
        <w:rPr>
          <w:rStyle w:val="VerbatimChar"/>
        </w:rPr>
        <w:t xml:space="preserve">estate.affiants</w:t>
      </w:r>
      <w:r>
        <w:t xml:space="preserve">.</w:t>
      </w:r>
    </w:p>
    <w:p>
      <w:pPr>
        <w:pStyle w:val="Compact"/>
        <w:numPr>
          <w:ilvl w:val="0"/>
          <w:numId w:val="1005"/>
        </w:numPr>
      </w:pPr>
      <w:r>
        <w:t xml:space="preserve">Former-spouse and former-partner relationships (RCW 11.07.010).</w:t>
      </w:r>
    </w:p>
    <w:p>
      <w:pPr>
        <w:pStyle w:val="FirstParagraph"/>
      </w:pPr>
      <w:r>
        <w:rPr>
          <w:b/>
          <w:bCs/>
        </w:rPr>
        <w:t xml:space="preserve">Waiting on owner decisions:</w:t>
      </w:r>
      <w:r>
        <w:t xml:space="preserve"> </w:t>
      </w:r>
      <w:r>
        <w:t xml:space="preserve">community property agreement documents (W7);</w:t>
      </w:r>
      <w:r>
        <w:t xml:space="preserve"> </w:t>
      </w:r>
      <w:r>
        <w:rPr>
          <w:rStyle w:val="VerbatimChar"/>
        </w:rPr>
        <w:t xml:space="preserve">funeral_director</w:t>
      </w:r>
      <w:r>
        <w:t xml:space="preserve"> </w:t>
      </w:r>
      <w:r>
        <w:t xml:space="preserve">and</w:t>
      </w:r>
      <w:r>
        <w:t xml:space="preserve"> </w:t>
      </w:r>
      <w:r>
        <w:rPr>
          <w:rStyle w:val="VerbatimChar"/>
        </w:rPr>
        <w:t xml:space="preserve">creditor</w:t>
      </w:r>
      <w:r>
        <w:t xml:space="preserve"> </w:t>
      </w:r>
      <w:r>
        <w:t xml:space="preserve">relationships plus claimant priority in policy (W8); institution type in policy (W11).</w:t>
      </w:r>
    </w:p>
    <w:bookmarkEnd w:id="18"/>
    <w:bookmarkStart w:id="19" w:name="draft-golden-scenarios"/>
    <w:p>
      <w:pPr>
        <w:pStyle w:val="Heading2"/>
      </w:pPr>
      <w:r>
        <w:t xml:space="preserve">Draft golden scenarios</w:t>
      </w:r>
    </w:p>
    <w:p>
      <w:pPr>
        <w:pStyle w:val="FirstParagraph"/>
      </w:pPr>
      <w:r>
        <w:t xml:space="preserve">These assume W4 resolves as "the later of death + 40 days or notice + 10 days" and a policy that adds nothing.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Facts</w:t>
            </w:r>
          </w:p>
        </w:tc>
        <w:tc>
          <w:tcPr/>
          <w:p>
            <w:pPr>
              <w:pStyle w:val="Compact"/>
            </w:pPr>
            <w:r>
              <w:t xml:space="preserve">Expected</w:t>
            </w:r>
          </w:p>
        </w:tc>
      </w:tr>
      <w:tr>
        <w:tc>
          <w:tcPr/>
          <w:p>
            <w:pPr>
              <w:pStyle w:val="Compact"/>
            </w:pPr>
            <w:r>
              <w:t xml:space="preserve">GS-WA-001</w:t>
            </w:r>
          </w:p>
        </w:tc>
        <w:tc>
          <w:tcPr/>
          <w:p>
            <w:pPr>
              <w:pStyle w:val="Compact"/>
            </w:pPr>
            <w:r>
              <w:t xml:space="preserve">Sole account; WA resident; died 2025-06-01; declared estate $90,000.00; no PR application anywhere; one claimant with the other successors' written authority; notice mailed 2025-06-20</w:t>
            </w:r>
          </w:p>
        </w:tc>
        <w:tc>
          <w:tcPr/>
          <w:p>
            <w:pPr>
              <w:pStyle w:val="Compact"/>
            </w:pPr>
            <w:r>
              <w:t xml:space="preserve">Pay claimant 1/1. Documents: affidavit, proof of death. Earliest payment 2025-07-11 (40 days after death; the notice wait ended 2025-06-30). Protected (RCW 11.62.020).</w:t>
            </w:r>
          </w:p>
        </w:tc>
      </w:tr>
      <w:tr>
        <w:tc>
          <w:tcPr/>
          <w:p>
            <w:pPr>
              <w:pStyle w:val="Compact"/>
            </w:pPr>
            <w:r>
              <w:t xml:space="preserve">GS-WA-002</w:t>
            </w:r>
          </w:p>
        </w:tc>
        <w:tc>
          <w:tcPr/>
          <w:p>
            <w:pPr>
              <w:pStyle w:val="Compact"/>
            </w:pPr>
            <w:r>
              <w:t xml:space="preserve">As 001, but notice mailed 2025-07-08</w:t>
            </w:r>
          </w:p>
        </w:tc>
        <w:tc>
          <w:tcPr/>
          <w:p>
            <w:pPr>
              <w:pStyle w:val="Compact"/>
            </w:pPr>
            <w:r>
              <w:t xml:space="preserve">Earliest payment 2025-07-18 (10 days after notice).</w:t>
            </w:r>
          </w:p>
        </w:tc>
      </w:tr>
      <w:tr>
        <w:tc>
          <w:tcPr/>
          <w:p>
            <w:pPr>
              <w:pStyle w:val="Compact"/>
            </w:pPr>
            <w:r>
              <w:t xml:space="preserve">GS-WA-003</w:t>
            </w:r>
          </w:p>
        </w:tc>
        <w:tc>
          <w:tcPr/>
          <w:p>
            <w:pPr>
              <w:pStyle w:val="Compact"/>
            </w:pPr>
            <w:r>
              <w:t xml:space="preserve">As 001, but declared estate $100,000.00</w:t>
            </w:r>
          </w:p>
        </w:tc>
        <w:tc>
          <w:tcPr/>
          <w:p>
            <w:pPr>
              <w:pStyle w:val="Compact"/>
            </w:pPr>
            <w:r>
              <w:t xml:space="preserve">Eligible: equal to the limit.</w:t>
            </w:r>
          </w:p>
        </w:tc>
      </w:tr>
      <w:tr>
        <w:tc>
          <w:tcPr/>
          <w:p>
            <w:pPr>
              <w:pStyle w:val="Compact"/>
            </w:pPr>
            <w:r>
              <w:t xml:space="preserve">GS-WA-004</w:t>
            </w:r>
          </w:p>
        </w:tc>
        <w:tc>
          <w:tcPr/>
          <w:p>
            <w:pPr>
              <w:pStyle w:val="Compact"/>
            </w:pPr>
            <w:r>
              <w:t xml:space="preserve">As 001, but declared estate $100,000.01</w:t>
            </w:r>
          </w:p>
        </w:tc>
        <w:tc>
          <w:tcPr/>
          <w:p>
            <w:pPr>
              <w:pStyle w:val="Compact"/>
            </w:pPr>
            <w:r>
              <w:t xml:space="preserve">Not determinable: over the limit.</w:t>
            </w:r>
          </w:p>
        </w:tc>
      </w:tr>
      <w:tr>
        <w:tc>
          <w:tcPr/>
          <w:p>
            <w:pPr>
              <w:pStyle w:val="Compact"/>
            </w:pPr>
            <w:r>
              <w:t xml:space="preserve">GS-WA-005</w:t>
            </w:r>
          </w:p>
        </w:tc>
        <w:tc>
          <w:tcPr/>
          <w:p>
            <w:pPr>
              <w:pStyle w:val="Compact"/>
            </w:pPr>
            <w:r>
              <w:t xml:space="preserve">As 001, but a PR application is pending in another state</w:t>
            </w:r>
          </w:p>
        </w:tc>
        <w:tc>
          <w:tcPr/>
          <w:p>
            <w:pPr>
              <w:pStyle w:val="Compact"/>
            </w:pPr>
            <w:r>
              <w:t xml:space="preserve">Not determinable (RCW 11.62.010(2)(e)).</w:t>
            </w:r>
          </w:p>
        </w:tc>
      </w:tr>
      <w:tr>
        <w:tc>
          <w:tcPr/>
          <w:p>
            <w:pPr>
              <w:pStyle w:val="Compact"/>
            </w:pPr>
            <w:r>
              <w:t xml:space="preserve">GS-WA-006</w:t>
            </w:r>
          </w:p>
        </w:tc>
        <w:tc>
          <w:tcPr/>
          <w:p>
            <w:pPr>
              <w:pStyle w:val="Compact"/>
            </w:pPr>
            <w:r>
              <w:t xml:space="preserve">As 001, but the decedent was not a WA resident</w:t>
            </w:r>
          </w:p>
        </w:tc>
        <w:tc>
          <w:tcPr/>
          <w:p>
            <w:pPr>
              <w:pStyle w:val="Compact"/>
            </w:pPr>
            <w:r>
              <w:t xml:space="preserve">Not determinable (RCW 11.62.010(2)(b)).</w:t>
            </w:r>
          </w:p>
        </w:tc>
      </w:tr>
      <w:tr>
        <w:tc>
          <w:tcPr/>
          <w:p>
            <w:pPr>
              <w:pStyle w:val="Compact"/>
            </w:pPr>
            <w:r>
              <w:t xml:space="preserve">GS-WA-007</w:t>
            </w:r>
          </w:p>
        </w:tc>
        <w:tc>
          <w:tcPr/>
          <w:p>
            <w:pPr>
              <w:pStyle w:val="Compact"/>
            </w:pPr>
            <w:r>
              <w:t xml:space="preserve">Joint with survivorship; two surviving depositors</w:t>
            </w:r>
          </w:p>
        </w:tc>
        <w:tc>
          <w:tcPr/>
          <w:p>
            <w:pPr>
              <w:pStyle w:val="Compact"/>
            </w:pPr>
            <w:r>
              <w:t xml:space="preserve">Payable to any of the survivors (</w:t>
            </w:r>
            <w:r>
              <w:rPr>
                <w:rStyle w:val="VerbatimChar"/>
              </w:rPr>
              <w:t xml:space="preserve">any_of</w:t>
            </w:r>
            <w:r>
              <w:t xml:space="preserve">). Proof of death. Protected (RCW 30A.22.120).</w:t>
            </w:r>
          </w:p>
        </w:tc>
      </w:tr>
      <w:tr>
        <w:tc>
          <w:tcPr/>
          <w:p>
            <w:pPr>
              <w:pStyle w:val="Compact"/>
            </w:pPr>
            <w:r>
              <w:t xml:space="preserve">GS-WA-008</w:t>
            </w:r>
          </w:p>
        </w:tc>
        <w:tc>
          <w:tcPr/>
          <w:p>
            <w:pPr>
              <w:pStyle w:val="Compact"/>
            </w:pPr>
            <w:r>
              <w:t xml:space="preserve">POD; three designated beneficiaries, all surviving; no share terms</w:t>
            </w:r>
          </w:p>
        </w:tc>
        <w:tc>
          <w:tcPr/>
          <w:p>
            <w:pPr>
              <w:pStyle w:val="Compact"/>
            </w:pPr>
            <w:r>
              <w:t xml:space="preserve">Pay each 1/3. Proof of death. Protected (RCW 30A.22.120).</w:t>
            </w:r>
          </w:p>
        </w:tc>
      </w:tr>
      <w:tr>
        <w:tc>
          <w:tcPr/>
          <w:p>
            <w:pPr>
              <w:pStyle w:val="Compact"/>
            </w:pPr>
            <w:r>
              <w:t xml:space="preserve">GS-WA-009</w:t>
            </w:r>
          </w:p>
        </w:tc>
        <w:tc>
          <w:tcPr/>
          <w:p>
            <w:pPr>
              <w:pStyle w:val="Compact"/>
            </w:pPr>
            <w:r>
              <w:t xml:space="preserve">POD; three designated beneficiaries, one predeceased; no share terms</w:t>
            </w:r>
          </w:p>
        </w:tc>
        <w:tc>
          <w:tcPr/>
          <w:p>
            <w:pPr>
              <w:pStyle w:val="Compact"/>
            </w:pPr>
            <w:r>
              <w:t xml:space="preserve">Belong equally to the 2 survivors (RCW 30A.22.100(4)), but no single payment may exceed 1/3 (RCW 30A.22.160).</w:t>
            </w:r>
            <w:r>
              <w:t xml:space="preserve"> </w:t>
            </w:r>
            <w:r>
              <w:rPr>
                <w:b/>
                <w:bCs/>
              </w:rPr>
              <w:t xml:space="preserve">Expected outcome depends on W2.</w:t>
            </w:r>
          </w:p>
        </w:tc>
      </w:tr>
      <w:tr>
        <w:tc>
          <w:tcPr/>
          <w:p>
            <w:pPr>
              <w:pStyle w:val="Compact"/>
            </w:pPr>
            <w:r>
              <w:t xml:space="preserve">GS-WA-010</w:t>
            </w:r>
          </w:p>
        </w:tc>
        <w:tc>
          <w:tcPr/>
          <w:p>
            <w:pPr>
              <w:pStyle w:val="Compact"/>
            </w:pPr>
            <w:r>
              <w:t xml:space="preserve">POD; terms give 60% / 40%</w:t>
            </w:r>
          </w:p>
        </w:tc>
        <w:tc>
          <w:tcPr/>
          <w:p>
            <w:pPr>
              <w:pStyle w:val="Compact"/>
            </w:pPr>
            <w:r>
              <w:t xml:space="preserve">Pay 3/5 and 2/5 per the contract of deposit.</w:t>
            </w:r>
          </w:p>
        </w:tc>
      </w:tr>
      <w:tr>
        <w:tc>
          <w:tcPr/>
          <w:p>
            <w:pPr>
              <w:pStyle w:val="Compact"/>
            </w:pPr>
            <w:r>
              <w:t xml:space="preserve">GS-WA-011</w:t>
            </w:r>
          </w:p>
        </w:tc>
        <w:tc>
          <w:tcPr/>
          <w:p>
            <w:pPr>
              <w:pStyle w:val="Compact"/>
            </w:pPr>
            <w:r>
              <w:t xml:space="preserve">POD; written notice of dispute received</w:t>
            </w:r>
          </w:p>
        </w:tc>
        <w:tc>
          <w:tcPr/>
          <w:p>
            <w:pPr>
              <w:pStyle w:val="Compact"/>
            </w:pPr>
            <w:r>
              <w:t xml:space="preserve">Not determinable (RCW 30A.22.210).</w:t>
            </w:r>
          </w:p>
        </w:tc>
      </w:tr>
      <w:tr>
        <w:tc>
          <w:tcPr/>
          <w:p>
            <w:pPr>
              <w:pStyle w:val="Compact"/>
            </w:pPr>
            <w:r>
              <w:t xml:space="preserve">GS-WA-012</w:t>
            </w:r>
          </w:p>
        </w:tc>
        <w:tc>
          <w:tcPr/>
          <w:p>
            <w:pPr>
              <w:pStyle w:val="Compact"/>
            </w:pPr>
            <w:r>
              <w:t xml:space="preserve">POD; notice of testamentary disposition received</w:t>
            </w:r>
          </w:p>
        </w:tc>
        <w:tc>
          <w:tcPr/>
          <w:p>
            <w:pPr>
              <w:pStyle w:val="Compact"/>
            </w:pPr>
            <w:r>
              <w:t xml:space="preserve">Not determinable (RCW 11.11.040, 11.11.050).</w:t>
            </w:r>
          </w:p>
        </w:tc>
      </w:tr>
      <w:tr>
        <w:tc>
          <w:tcPr/>
          <w:p>
            <w:pPr>
              <w:pStyle w:val="Compact"/>
            </w:pPr>
            <w:r>
              <w:t xml:space="preserve">GS-WA-013</w:t>
            </w:r>
          </w:p>
        </w:tc>
        <w:tc>
          <w:tcPr/>
          <w:p>
            <w:pPr>
              <w:pStyle w:val="Compact"/>
            </w:pPr>
            <w:r>
              <w:t xml:space="preserve">POD beneficiary is a former spouse</w:t>
            </w:r>
          </w:p>
        </w:tc>
        <w:tc>
          <w:tcPr/>
          <w:p>
            <w:pPr>
              <w:pStyle w:val="Compact"/>
            </w:pPr>
            <w:r>
              <w:t xml:space="preserve">Not determinable (RCW 11.07.010).</w:t>
            </w:r>
          </w:p>
        </w:tc>
      </w:tr>
      <w:tr>
        <w:tc>
          <w:tcPr/>
          <w:p>
            <w:pPr>
              <w:pStyle w:val="Compact"/>
            </w:pPr>
            <w:r>
              <w:t xml:space="preserve">GS-WA-014</w:t>
            </w:r>
          </w:p>
        </w:tc>
        <w:tc>
          <w:tcPr/>
          <w:p>
            <w:pPr>
              <w:pStyle w:val="Compact"/>
            </w:pPr>
            <w:r>
              <w:t xml:space="preserve">Joint without survivorship; decedent's share; small-estate facts as in 001</w:t>
            </w:r>
          </w:p>
        </w:tc>
        <w:tc>
          <w:tcPr/>
          <w:p>
            <w:pPr>
              <w:pStyle w:val="Compact"/>
            </w:pPr>
            <w:r>
              <w:t xml:space="preserve">Path B applies to the decedent's funds.</w:t>
            </w:r>
          </w:p>
        </w:tc>
      </w:tr>
      <w:tr>
        <w:tc>
          <w:tcPr/>
          <w:p>
            <w:pPr>
              <w:pStyle w:val="Compact"/>
            </w:pPr>
            <w:r>
              <w:t xml:space="preserve">GS-WA-015</w:t>
            </w:r>
          </w:p>
        </w:tc>
        <w:tc>
          <w:tcPr/>
          <w:p>
            <w:pPr>
              <w:pStyle w:val="Compact"/>
            </w:pPr>
            <w:r>
              <w:t xml:space="preserve">As 001, but died 2022-03-31</w:t>
            </w:r>
          </w:p>
        </w:tc>
        <w:tc>
          <w:tcPr/>
          <w:p>
            <w:pPr>
              <w:pStyle w:val="Compact"/>
            </w:pPr>
            <w:r>
              <w:t xml:space="preserve">Not determinable: before coverage starts (W1).</w:t>
            </w:r>
          </w:p>
        </w:tc>
      </w:tr>
    </w:tbl>
    <w:p>
      <w:r>
        <w:br w:type="page"/>
      </w:r>
    </w:p>
    <w:bookmarkEnd w:id="19"/>
    <w:bookmarkEnd w:id="20"/>
    <w:bookmarkStart w:id="25" w:name="washington-open-questions"/>
    <w:p>
      <w:pPr>
        <w:pStyle w:val="Heading1"/>
      </w:pPr>
      <w:r>
        <w:t xml:space="preserve">Washington: open questions</w:t>
      </w:r>
    </w:p>
    <w:p>
      <w:pPr>
        <w:pStyle w:val="FirstParagraph"/>
      </w:pPr>
      <w:r>
        <w:t xml:space="preserve">Each question is tagged with what answers it:</w:t>
      </w:r>
    </w:p>
    <w:p>
      <w:pPr>
        <w:pStyle w:val="Compact"/>
        <w:numPr>
          <w:ilvl w:val="0"/>
          <w:numId w:val="1006"/>
        </w:numPr>
      </w:pPr>
      <w:r>
        <w:rPr>
          <w:b/>
          <w:bCs/>
        </w:rPr>
        <w:t xml:space="preserve">Law:</w:t>
      </w:r>
      <w:r>
        <w:t xml:space="preserve"> </w:t>
      </w:r>
      <w:r>
        <w:t xml:space="preserve">needs an attorney.</w:t>
      </w:r>
    </w:p>
    <w:p>
      <w:pPr>
        <w:pStyle w:val="Compact"/>
        <w:numPr>
          <w:ilvl w:val="0"/>
          <w:numId w:val="1006"/>
        </w:numPr>
      </w:pPr>
      <w:r>
        <w:rPr>
          <w:b/>
          <w:bCs/>
        </w:rPr>
        <w:t xml:space="preserve">Terms:</w:t>
      </w:r>
      <w:r>
        <w:t xml:space="preserve"> </w:t>
      </w:r>
      <w:r>
        <w:t xml:space="preserve">answered by the account's own terms, supplied as facts.</w:t>
      </w:r>
    </w:p>
    <w:p>
      <w:pPr>
        <w:pStyle w:val="Compact"/>
        <w:numPr>
          <w:ilvl w:val="0"/>
          <w:numId w:val="1006"/>
        </w:numPr>
      </w:pPr>
      <w:r>
        <w:rPr>
          <w:b/>
          <w:bCs/>
        </w:rPr>
        <w:t xml:space="preserve">Policy:</w:t>
      </w:r>
      <w:r>
        <w:t xml:space="preserve"> </w:t>
      </w:r>
      <w:r>
        <w:t xml:space="preserve">an institution choice. It may be stricter than the statute, never looser.</w:t>
      </w:r>
    </w:p>
    <w:p>
      <w:pPr>
        <w:pStyle w:val="Compact"/>
        <w:numPr>
          <w:ilvl w:val="0"/>
          <w:numId w:val="1006"/>
        </w:numPr>
      </w:pPr>
      <w:r>
        <w:rPr>
          <w:b/>
          <w:bCs/>
        </w:rPr>
        <w:t xml:space="preserve">Owner:</w:t>
      </w:r>
      <w:r>
        <w:t xml:space="preserve"> </w:t>
      </w:r>
      <w:r>
        <w:t xml:space="preserve">a product decision.</w:t>
      </w:r>
    </w:p>
    <w:p>
      <w:pPr>
        <w:pStyle w:val="FirstParagraph"/>
      </w:pPr>
      <w:r>
        <w:t xml:space="preserve">Until a question is answered, the affected cases are</w:t>
      </w:r>
      <w:r>
        <w:t xml:space="preserve"> </w:t>
      </w:r>
      <w:r>
        <w:rPr>
          <w:b/>
          <w:bCs/>
        </w:rPr>
        <w:t xml:space="preserve">not determinable</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Question</w:t>
            </w:r>
          </w:p>
        </w:tc>
        <w:tc>
          <w:tcPr/>
          <w:p>
            <w:pPr>
              <w:pStyle w:val="Compact"/>
            </w:pPr>
            <w:r>
              <w:t xml:space="preserve">Answered by</w:t>
            </w:r>
          </w:p>
        </w:tc>
        <w:tc>
          <w:tcPr/>
          <w:p>
            <w:pPr>
              <w:pStyle w:val="Compact"/>
            </w:pPr>
            <w:r>
              <w:t xml:space="preserve">Blocks</w:t>
            </w:r>
          </w:p>
        </w:tc>
        <w:tc>
          <w:tcPr/>
          <w:p>
            <w:pPr>
              <w:pStyle w:val="Compact"/>
            </w:pPr>
            <w:r>
              <w:t xml:space="preserve">Proposed default</w:t>
            </w:r>
          </w:p>
        </w:tc>
      </w:tr>
      <w:tr>
        <w:tc>
          <w:tcPr/>
          <w:p>
            <w:pPr>
              <w:pStyle w:val="Compact"/>
            </w:pPr>
            <w:r>
              <w:t xml:space="preserve">W2</w:t>
            </w:r>
          </w:p>
        </w:tc>
        <w:tc>
          <w:tcPr/>
          <w:p>
            <w:pPr>
              <w:pStyle w:val="Compact"/>
            </w:pPr>
            <w:r>
              <w:t xml:space="preserve">A POD beneficiary predeceased. RCW 30A.22.100(4) gives the funds equally to the</w:t>
            </w:r>
            <w:r>
              <w:t xml:space="preserve"> </w:t>
            </w:r>
            <w:r>
              <w:rPr>
                <w:i/>
                <w:iCs/>
              </w:rPr>
              <w:t xml:space="preserve">surviving</w:t>
            </w:r>
            <w:r>
              <w:t xml:space="preserve"> </w:t>
            </w:r>
            <w:r>
              <w:t xml:space="preserve">beneficiaries. RCW 30A.22.160 bars paying any one beneficiary more than the balance divided by the</w:t>
            </w:r>
            <w:r>
              <w:t xml:space="preserve"> </w:t>
            </w:r>
            <w:r>
              <w:rPr>
                <w:i/>
                <w:iCs/>
              </w:rPr>
              <w:t xml:space="preserve">number of beneficiaries</w:t>
            </w:r>
            <w:r>
              <w:t xml:space="preserve">. Does "number" mean all designated beneficiaries or only the survivors?</w:t>
            </w:r>
          </w:p>
        </w:tc>
        <w:tc>
          <w:tcPr/>
          <w:p>
            <w:pPr>
              <w:pStyle w:val="Compact"/>
            </w:pPr>
            <w:r>
              <w:t xml:space="preserve">Law</w:t>
            </w:r>
          </w:p>
        </w:tc>
        <w:tc>
          <w:tcPr/>
          <w:p>
            <w:pPr>
              <w:pStyle w:val="Compact"/>
            </w:pPr>
            <w:r>
              <w:t xml:space="preserve">GS-WA-009</w:t>
            </w:r>
          </w:p>
        </w:tc>
        <w:tc>
          <w:tcPr/>
          <w:p>
            <w:pPr>
              <w:pStyle w:val="Compact"/>
            </w:pPr>
            <w:r>
              <w:t xml:space="preserve">Not determinable when any designated beneficiary predeceased.</w:t>
            </w:r>
          </w:p>
        </w:tc>
      </w:tr>
      <w:tr>
        <w:tc>
          <w:tcPr/>
          <w:p>
            <w:pPr>
              <w:pStyle w:val="Compact"/>
            </w:pPr>
            <w:r>
              <w:t xml:space="preserve">W3</w:t>
            </w:r>
          </w:p>
        </w:tc>
        <w:tc>
          <w:tcPr/>
          <w:p>
            <w:pPr>
              <w:pStyle w:val="Compact"/>
            </w:pPr>
            <w:r>
              <w:t xml:space="preserve">A will overriding a POD designation.</w:t>
            </w:r>
            <w:r>
              <w:t xml:space="preserve"> </w:t>
            </w:r>
            <w:r>
              <w:rPr>
                <w:b/>
                <w:bCs/>
              </w:rPr>
              <w:t xml:space="preserve">Research so far:</w:t>
            </w:r>
            <w:r>
              <w:t xml:space="preserve"> </w:t>
            </w:r>
            <w:r>
              <w:t xml:space="preserve">RCW 11.02.005(14) expressly lists joint bank accounts with survivorship and POD/trust bank accounts as nonprobate assets, and chapter 11.11's exclusions (RCW 11.11.010(7)) don't remove them. So RCW 11.11.020 reaches deposit accounts of WA residents dying on or after 1999-07-01 (RCW 11.11.901), despite RCW 30A.22.100's "cannot ... be changed by the will" sentence (1981). The institution is protected when it pays per the account form until it receives an RCW 11.11.050 notice (RCW 11.11.003(3), .040, .007).</w:t>
            </w:r>
            <w:r>
              <w:t xml:space="preserve"> </w:t>
            </w:r>
            <w:r>
              <w:rPr>
                <w:b/>
                <w:bCs/>
              </w:rPr>
              <w:t xml:space="preserve">Remaining question:</w:t>
            </w:r>
            <w:r>
              <w:t xml:space="preserve"> </w:t>
            </w:r>
            <w:r>
              <w:t xml:space="preserve">confirm that the 1998 chapter governs over the 1981 sentence, and that the RCW 11.11.050 notice is the only trigger.</w:t>
            </w:r>
          </w:p>
        </w:tc>
        <w:tc>
          <w:tcPr/>
          <w:p>
            <w:pPr>
              <w:pStyle w:val="Compact"/>
            </w:pPr>
            <w:r>
              <w:t xml:space="preserve">Law (narrowed)</w:t>
            </w:r>
          </w:p>
        </w:tc>
        <w:tc>
          <w:tcPr/>
          <w:p>
            <w:pPr>
              <w:pStyle w:val="Compact"/>
            </w:pPr>
            <w:r>
              <w:t xml:space="preserve">Path A</w:t>
            </w:r>
          </w:p>
        </w:tc>
        <w:tc>
          <w:tcPr/>
          <w:p>
            <w:pPr>
              <w:pStyle w:val="Compact"/>
            </w:pPr>
            <w:r>
              <w:t xml:space="preserve">Pay per the account form unless a testamentary-disposition notice was received; with notice, not determinable.</w:t>
            </w:r>
          </w:p>
        </w:tc>
      </w:tr>
      <w:tr>
        <w:tc>
          <w:tcPr/>
          <w:p>
            <w:pPr>
              <w:pStyle w:val="Compact"/>
            </w:pPr>
            <w:r>
              <w:t xml:space="preserve">W4</w:t>
            </w:r>
          </w:p>
        </w:tc>
        <w:tc>
          <w:tcPr/>
          <w:p>
            <w:pPr>
              <w:pStyle w:val="Compact"/>
            </w:pPr>
            <w:r>
              <w:t xml:space="preserve">Earliest payment date for Path B: "at any time after forty days" (RCW 11.62.010(1)), and at least 10 days after notice (RCW 11.62.010(2)(h)).</w:t>
            </w:r>
            <w:r>
              <w:t xml:space="preserve"> </w:t>
            </w:r>
            <w:r>
              <w:rPr>
                <w:b/>
                <w:bCs/>
              </w:rPr>
              <w:t xml:space="preserve">Research so far:</w:t>
            </w:r>
            <w:r>
              <w:t xml:space="preserve"> </w:t>
            </w:r>
            <w:r>
              <w:t xml:space="preserve">RCW 1.12.040 counts time by excluding the first day and including the last, and excludes the last day too if it is a Saturday, Sunday, or holiday. So day 40 is the date of death + 40.</w:t>
            </w:r>
            <w:r>
              <w:t xml:space="preserve"> </w:t>
            </w:r>
            <w:r>
              <w:rPr>
                <w:b/>
                <w:bCs/>
              </w:rPr>
              <w:t xml:space="preserve">Remaining questions:</w:t>
            </w:r>
            <w:r>
              <w:t xml:space="preserve"> </w:t>
            </w:r>
            <w:r>
              <w:t xml:space="preserve">(a) Is payment allowed</w:t>
            </w:r>
            <w:r>
              <w:t xml:space="preserve"> </w:t>
            </w:r>
            <w:r>
              <w:rPr>
                <w:i/>
                <w:iCs/>
              </w:rPr>
              <w:t xml:space="preserve">on</w:t>
            </w:r>
            <w:r>
              <w:t xml:space="preserve"> </w:t>
            </w:r>
            <w:r>
              <w:t xml:space="preserve">day 40 or only from day 41 ("after forty days", "forty days have elapsed")? (b) Does RCW 1.12.040's weekend/holiday extension apply to a waiting period before an act may be done, or only to deadlines? If it applies, the engine needs Washington's legal-holiday calendar (RCW 1.16.050) as cited rule data.</w:t>
            </w:r>
          </w:p>
        </w:tc>
        <w:tc>
          <w:tcPr/>
          <w:p>
            <w:pPr>
              <w:pStyle w:val="Compact"/>
            </w:pPr>
            <w:r>
              <w:t xml:space="preserve">Law (narrowed)</w:t>
            </w:r>
          </w:p>
        </w:tc>
        <w:tc>
          <w:tcPr/>
          <w:p>
            <w:pPr>
              <w:pStyle w:val="Compact"/>
            </w:pPr>
            <w:r>
              <w:t xml:space="preserve">Path B dates</w:t>
            </w:r>
          </w:p>
        </w:tc>
        <w:tc>
          <w:tcPr/>
          <w:p>
            <w:pPr>
              <w:pStyle w:val="Compact"/>
            </w:pPr>
            <w:r>
              <w:t xml:space="preserve">The later of death + 40 days or notice + 10 days, with no weekend/holiday extension.</w:t>
            </w:r>
          </w:p>
        </w:tc>
      </w:tr>
      <w:tr>
        <w:tc>
          <w:tcPr/>
          <w:p>
            <w:pPr>
              <w:pStyle w:val="Compact"/>
            </w:pPr>
            <w:r>
              <w:t xml:space="preserve">W5</w:t>
            </w:r>
          </w:p>
        </w:tc>
        <w:tc>
          <w:tcPr/>
          <w:p>
            <w:pPr>
              <w:pStyle w:val="Compact"/>
            </w:pPr>
            <w:r>
              <w:t xml:space="preserve">Partial claims. RCW 11.62.010(1) pays "so much ... as is claimed". If the claimant is entitled only to a share and lacks other successors' authority, can the institution pay a partial amount?</w:t>
            </w:r>
          </w:p>
        </w:tc>
        <w:tc>
          <w:tcPr/>
          <w:p>
            <w:pPr>
              <w:pStyle w:val="Compact"/>
            </w:pPr>
            <w:r>
              <w:t xml:space="preserve">Law + Policy</w:t>
            </w:r>
          </w:p>
        </w:tc>
        <w:tc>
          <w:tcPr/>
          <w:p>
            <w:pPr>
              <w:pStyle w:val="Compact"/>
            </w:pPr>
            <w:r>
              <w:t xml:space="preserve">Path B shares</w:t>
            </w:r>
          </w:p>
        </w:tc>
        <w:tc>
          <w:tcPr/>
          <w:p>
            <w:pPr>
              <w:pStyle w:val="Compact"/>
            </w:pPr>
            <w:r>
              <w:t xml:space="preserve">Pay only a full claim backed by all other successors' written authority; otherwise not determinable.</w:t>
            </w:r>
          </w:p>
        </w:tc>
      </w:tr>
      <w:tr>
        <w:tc>
          <w:tcPr/>
          <w:p>
            <w:pPr>
              <w:pStyle w:val="Compact"/>
            </w:pPr>
            <w:r>
              <w:t xml:space="preserve">W6</w:t>
            </w:r>
          </w:p>
        </w:tc>
        <w:tc>
          <w:tcPr/>
          <w:p>
            <w:pPr>
              <w:pStyle w:val="Compact"/>
            </w:pPr>
            <w:r>
              <w:t xml:space="preserve">Who mails the affidavit copy (with the SSN) to DSHS's Office of Financial Recovery (RCW 11.62.010(5)): the claimant or the institution? Must payment wait for it? RCW 43.20B.080 (DSHS estate recovery, including from nonprobate assets of Medicaid recipients 55 and over) does not assign the duty.</w:t>
            </w:r>
          </w:p>
        </w:tc>
        <w:tc>
          <w:tcPr/>
          <w:p>
            <w:pPr>
              <w:pStyle w:val="Compact"/>
            </w:pPr>
            <w:r>
              <w:t xml:space="preserve">Law + Policy</w:t>
            </w:r>
          </w:p>
        </w:tc>
        <w:tc>
          <w:tcPr/>
          <w:p>
            <w:pPr>
              <w:pStyle w:val="Compact"/>
            </w:pPr>
            <w:r>
              <w:t xml:space="preserve">Path B documents</w:t>
            </w:r>
          </w:p>
        </w:tc>
        <w:tc>
          <w:tcPr/>
          <w:p>
            <w:pPr>
              <w:pStyle w:val="Compact"/>
            </w:pPr>
            <w:r>
              <w:t xml:space="preserve">Treat as the claimant's duty; record it as a process note, not a payment condition.</w:t>
            </w:r>
          </w:p>
        </w:tc>
      </w:tr>
      <w:tr>
        <w:tc>
          <w:tcPr/>
          <w:p>
            <w:pPr>
              <w:pStyle w:val="Compact"/>
            </w:pPr>
            <w:r>
              <w:t xml:space="preserve">W7</w:t>
            </w:r>
          </w:p>
        </w:tc>
        <w:tc>
          <w:tcPr/>
          <w:p>
            <w:pPr>
              <w:pStyle w:val="Compact"/>
            </w:pPr>
            <w:r>
              <w:t xml:space="preserve">Should the community property agreement payment (RCW 30A.22.190(1)) be in v1? See the analysis at the end of Part 2.</w:t>
            </w:r>
          </w:p>
        </w:tc>
        <w:tc>
          <w:tcPr/>
          <w:p>
            <w:pPr>
              <w:pStyle w:val="Compact"/>
            </w:pPr>
            <w:r>
              <w:t xml:space="preserve">Owner (Law to confirm)</w:t>
            </w:r>
          </w:p>
        </w:tc>
        <w:tc>
          <w:tcPr/>
          <w:p>
            <w:pPr>
              <w:pStyle w:val="Compact"/>
            </w:pPr>
            <w:r>
              <w:t xml:space="preserve">Path C</w:t>
            </w:r>
          </w:p>
        </w:tc>
        <w:tc>
          <w:tcPr/>
          <w:p>
            <w:pPr>
              <w:pStyle w:val="Compact"/>
            </w:pPr>
            <w:r>
              <w:t xml:space="preserve">Out of scope until approved.</w:t>
            </w:r>
          </w:p>
        </w:tc>
      </w:tr>
      <w:tr>
        <w:tc>
          <w:tcPr/>
          <w:p>
            <w:pPr>
              <w:pStyle w:val="Compact"/>
            </w:pPr>
            <w:r>
              <w:t xml:space="preserve">W8</w:t>
            </w:r>
          </w:p>
        </w:tc>
        <w:tc>
          <w:tcPr/>
          <w:p>
            <w:pPr>
              <w:pStyle w:val="Compact"/>
            </w:pPr>
            <w:r>
              <w:t xml:space="preserve">Should the $2,500 payment (RCW 30A.22.190(2)) be in v1? See the analysis at the end of Part 2.</w:t>
            </w:r>
          </w:p>
        </w:tc>
        <w:tc>
          <w:tcPr/>
          <w:p>
            <w:pPr>
              <w:pStyle w:val="Compact"/>
            </w:pPr>
            <w:r>
              <w:t xml:space="preserve">Owner + Policy</w:t>
            </w:r>
          </w:p>
        </w:tc>
        <w:tc>
          <w:tcPr/>
          <w:p>
            <w:pPr>
              <w:pStyle w:val="Compact"/>
            </w:pPr>
            <w:r>
              <w:t xml:space="preserve">Path C</w:t>
            </w:r>
          </w:p>
        </w:tc>
        <w:tc>
          <w:tcPr/>
          <w:p>
            <w:pPr>
              <w:pStyle w:val="Compact"/>
            </w:pPr>
            <w:r>
              <w:t xml:space="preserve">Out of scope.</w:t>
            </w:r>
          </w:p>
        </w:tc>
      </w:tr>
      <w:tr>
        <w:tc>
          <w:tcPr/>
          <w:p>
            <w:pPr>
              <w:pStyle w:val="Compact"/>
            </w:pPr>
            <w:r>
              <w:t xml:space="preserve">W9</w:t>
            </w:r>
          </w:p>
        </w:tc>
        <w:tc>
          <w:tcPr/>
          <w:p>
            <w:pPr>
              <w:pStyle w:val="Compact"/>
            </w:pPr>
            <w:r>
              <w:t xml:space="preserve">Community property interests. Accounts are "subject to community property rights" (RCW 30A.22.100), but the institution may rely on the account form (RCW 30A.22.120, 11.11.040). Do community property claims affect anything the institution decides?</w:t>
            </w:r>
          </w:p>
        </w:tc>
        <w:tc>
          <w:tcPr/>
          <w:p>
            <w:pPr>
              <w:pStyle w:val="Compact"/>
            </w:pPr>
            <w:r>
              <w:t xml:space="preserve">Law</w:t>
            </w:r>
          </w:p>
        </w:tc>
        <w:tc>
          <w:tcPr/>
          <w:p>
            <w:pPr>
              <w:pStyle w:val="Compact"/>
            </w:pPr>
            <w:r>
              <w:t xml:space="preserve">Path A and Path B scope</w:t>
            </w:r>
          </w:p>
        </w:tc>
        <w:tc>
          <w:tcPr/>
          <w:p>
            <w:pPr>
              <w:pStyle w:val="Compact"/>
            </w:pPr>
            <w:r>
              <w:t xml:space="preserve">Rely on the account form; no CP calculation.</w:t>
            </w:r>
          </w:p>
        </w:tc>
      </w:tr>
      <w:tr>
        <w:tc>
          <w:tcPr/>
          <w:p>
            <w:pPr>
              <w:pStyle w:val="Compact"/>
            </w:pPr>
            <w:r>
              <w:t xml:space="preserve">W11</w:t>
            </w:r>
          </w:p>
        </w:tc>
        <w:tc>
          <w:tcPr/>
          <w:p>
            <w:pPr>
              <w:pStyle w:val="Compact"/>
            </w:pPr>
            <w:r>
              <w:t xml:space="preserve">Should the</w:t>
            </w:r>
            <w:r>
              <w:t xml:space="preserve"> </w:t>
            </w:r>
            <w:r>
              <w:rPr>
                <w:b/>
                <w:bCs/>
              </w:rPr>
              <w:t xml:space="preserve">credit union</w:t>
            </w:r>
            <w:r>
              <w:t xml:space="preserve"> </w:t>
            </w:r>
            <w:r>
              <w:t xml:space="preserve">surviving-spouse payment (RCW 11.62.030) be in v1? A credit union</w:t>
            </w:r>
            <w:r>
              <w:t xml:space="preserve"> </w:t>
            </w:r>
            <w:r>
              <w:rPr>
                <w:b/>
                <w:bCs/>
              </w:rPr>
              <w:t xml:space="preserve">may</w:t>
            </w:r>
            <w:r>
              <w:t xml:space="preserve"> </w:t>
            </w:r>
            <w:r>
              <w:t xml:space="preserve">pay a surviving spouse or domestic partner up to</w:t>
            </w:r>
            <w:r>
              <w:t xml:space="preserve"> </w:t>
            </w:r>
            <w:r>
              <w:rPr>
                <w:b/>
                <w:bCs/>
              </w:rPr>
              <w:t xml:space="preserve">$1,000</w:t>
            </w:r>
            <w:r>
              <w:t xml:space="preserve"> </w:t>
            </w:r>
            <w:r>
              <w:t xml:space="preserve">on their affidavit (member died; no executor or administrator appointed; deposit not over $1,000). A good-faith payment is a full release, and the spouse must account to any later personal representative. It only applies to credit unions, so the institution policy would need to record the institution type.</w:t>
            </w:r>
          </w:p>
        </w:tc>
        <w:tc>
          <w:tcPr/>
          <w:p>
            <w:pPr>
              <w:pStyle w:val="Compact"/>
            </w:pPr>
            <w:r>
              <w:t xml:space="preserve">Owner (Law to confirm)</w:t>
            </w:r>
          </w:p>
        </w:tc>
        <w:tc>
          <w:tcPr/>
          <w:p>
            <w:pPr>
              <w:pStyle w:val="Compact"/>
            </w:pPr>
            <w:r>
              <w:t xml:space="preserve">Path C</w:t>
            </w:r>
          </w:p>
        </w:tc>
        <w:tc>
          <w:tcPr/>
          <w:p>
            <w:pPr>
              <w:pStyle w:val="Compact"/>
            </w:pPr>
            <w:r>
              <w:t xml:space="preserve">Out of scope.</w:t>
            </w:r>
          </w:p>
        </w:tc>
      </w:tr>
      <w:tr>
        <w:tc>
          <w:tcPr/>
          <w:p>
            <w:pPr>
              <w:pStyle w:val="Compact"/>
            </w:pPr>
            <w:r>
              <w:t xml:space="preserve">W10</w:t>
            </w:r>
          </w:p>
        </w:tc>
        <w:tc>
          <w:tcPr/>
          <w:p>
            <w:pPr>
              <w:pStyle w:val="Compact"/>
            </w:pPr>
            <w:r>
              <w:t xml:space="preserve">Confirm every citation and quotation against the official code. The text was read from app.leg.wa.gov on 2026-10-07; this is a sign-off step.</w:t>
            </w:r>
          </w:p>
        </w:tc>
        <w:tc>
          <w:tcPr/>
          <w:p>
            <w:pPr>
              <w:pStyle w:val="Compact"/>
            </w:pPr>
            <w:r>
              <w:t xml:space="preserve">Law</w:t>
            </w:r>
          </w:p>
        </w:tc>
        <w:tc>
          <w:tcPr/>
          <w:p>
            <w:pPr>
              <w:pStyle w:val="Compact"/>
            </w:pPr>
            <w:r>
              <w:t xml:space="preserve">Approval of the whole spec</w:t>
            </w:r>
          </w:p>
        </w:tc>
        <w:tc>
          <w:tcPr/>
          <w:p>
            <w:pPr>
              <w:pStyle w:val="Compact"/>
            </w:pPr>
            <w:r>
              <w:t xml:space="preserve">—</w:t>
            </w:r>
          </w:p>
        </w:tc>
      </w:tr>
    </w:tbl>
    <w:bookmarkStart w:id="21" w:name="resolved"/>
    <w:p>
      <w:pPr>
        <w:pStyle w:val="Heading2"/>
      </w:pPr>
      <w:r>
        <w:t xml:space="preserve">Resolved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By</w:t>
            </w:r>
          </w:p>
        </w:tc>
        <w:tc>
          <w:tcPr/>
          <w:p>
            <w:pPr>
              <w:pStyle w:val="Compact"/>
            </w:pPr>
            <w:r>
              <w:t xml:space="preserve">Date</w:t>
            </w:r>
          </w:p>
        </w:tc>
      </w:tr>
      <w:tr>
        <w:tc>
          <w:tcPr/>
          <w:p>
            <w:pPr>
              <w:pStyle w:val="Compact"/>
            </w:pPr>
            <w:r>
              <w:t xml:space="preserve">W1</w:t>
            </w:r>
          </w:p>
        </w:tc>
        <w:tc>
          <w:tcPr/>
          <w:p>
            <w:pPr>
              <w:pStyle w:val="Compact"/>
            </w:pPr>
            <w:r>
              <w:t xml:space="preserve">Washington coverage begins with deaths on 2022-04-01, matching California. RCW 11.62.010 is unchanged since 2008, so one rule-set version covers it.</w:t>
            </w:r>
          </w:p>
        </w:tc>
        <w:tc>
          <w:tcPr/>
          <w:p>
            <w:pPr>
              <w:pStyle w:val="Compact"/>
            </w:pPr>
            <w:r>
              <w:t xml:space="preserve">Owner</w:t>
            </w:r>
          </w:p>
        </w:tc>
        <w:tc>
          <w:tcPr/>
          <w:p>
            <w:pPr>
              <w:pStyle w:val="Compact"/>
            </w:pPr>
            <w:r>
              <w:t xml:space="preserve">2026-10-07</w:t>
            </w:r>
          </w:p>
        </w:tc>
      </w:tr>
    </w:tbl>
    <w:bookmarkEnd w:id="21"/>
    <w:bookmarkStart w:id="24" w:name="analysis-for-owner-decisions"/>
    <w:p>
      <w:pPr>
        <w:pStyle w:val="Heading2"/>
      </w:pPr>
      <w:r>
        <w:t xml:space="preserve">Analysis for owner decisions</w:t>
      </w:r>
    </w:p>
    <w:bookmarkStart w:id="22" w:name="w7-community-property-agreement-payment"/>
    <w:p>
      <w:pPr>
        <w:pStyle w:val="Heading3"/>
      </w:pPr>
      <w:r>
        <w:t xml:space="preserve">W7: community property agreement payment</w:t>
      </w:r>
    </w:p>
    <w:p>
      <w:pPr>
        <w:pStyle w:val="FirstParagraph"/>
      </w:pPr>
      <w:r>
        <w:rPr>
          <w:b/>
          <w:bCs/>
        </w:rPr>
        <w:t xml:space="preserve">What the statute allows</w:t>
      </w:r>
      <w:r>
        <w:t xml:space="preserve"> </w:t>
      </w:r>
      <w:r>
        <w:t xml:space="preserve">(RCW 30A.22.190(1)): when a deceased depositor left a surviving spouse, and both had executed a community property agreement that "by its terms would include" the account funds, the institution</w:t>
      </w:r>
      <w:r>
        <w:t xml:space="preserve"> </w:t>
      </w:r>
      <w:r>
        <w:rPr>
          <w:b/>
          <w:bCs/>
        </w:rPr>
        <w:t xml:space="preserve">may</w:t>
      </w:r>
      <w:r>
        <w:t xml:space="preserve"> </w:t>
      </w:r>
      <w:r>
        <w:t xml:space="preserve">pay</w:t>
      </w:r>
      <w:r>
        <w:t xml:space="preserve"> </w:t>
      </w:r>
      <w:r>
        <w:rPr>
          <w:b/>
          <w:bCs/>
        </w:rPr>
        <w:t xml:space="preserve">all</w:t>
      </w:r>
      <w:r>
        <w:t xml:space="preserve"> </w:t>
      </w:r>
      <w:r>
        <w:t xml:space="preserve">funds in the decedent's name to the surviving spouse.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Finding</w:t>
            </w:r>
          </w:p>
        </w:tc>
        <w:tc>
          <w:tcPr/>
          <w:p>
            <w:pPr>
              <w:pStyle w:val="Compact"/>
            </w:pPr>
            <w:r>
              <w:t xml:space="preserve">Citation</w:t>
            </w:r>
          </w:p>
        </w:tc>
      </w:tr>
      <w:tr>
        <w:tc>
          <w:tcPr/>
          <w:p>
            <w:pPr>
              <w:pStyle w:val="Compact"/>
            </w:pPr>
            <w:r>
              <w:t xml:space="preserve">Which funds</w:t>
            </w:r>
          </w:p>
        </w:tc>
        <w:tc>
          <w:tcPr/>
          <w:p>
            <w:pPr>
              <w:pStyle w:val="Compact"/>
            </w:pPr>
            <w:r>
              <w:t xml:space="preserve">Only funds that would otherwise go to the personal representative: a single account, the decedent's share of a joint account without survivorship, or the last surviving depositor's funds. It never reaches POD or survivorship funds, which go to the named survivors.</w:t>
            </w:r>
          </w:p>
        </w:tc>
        <w:tc>
          <w:tcPr/>
          <w:p>
            <w:pPr>
              <w:pStyle w:val="Compact"/>
            </w:pPr>
            <w:r>
              <w:t xml:space="preserve">RCW 30A.22.190 (opening clause), 30A.22.180</w:t>
            </w:r>
          </w:p>
        </w:tc>
      </w:tr>
      <w:tr>
        <w:tc>
          <w:tcPr/>
          <w:p>
            <w:pPr>
              <w:pStyle w:val="Compact"/>
            </w:pPr>
            <w:r>
              <w:t xml:space="preserve">Who</w:t>
            </w:r>
          </w:p>
        </w:tc>
        <w:tc>
          <w:tcPr/>
          <w:p>
            <w:pPr>
              <w:pStyle w:val="Compact"/>
            </w:pPr>
            <w:r>
              <w:t xml:space="preserve">The surviving spouse, or a surviving state registered domestic partner. A former spouse is not a surviving spouse.</w:t>
            </w:r>
          </w:p>
        </w:tc>
        <w:tc>
          <w:tcPr/>
          <w:p>
            <w:pPr>
              <w:pStyle w:val="Compact"/>
            </w:pPr>
            <w:r>
              <w:t xml:space="preserve">RCW 30A.22.190(1), 30A.22.902</w:t>
            </w:r>
          </w:p>
        </w:tc>
      </w:tr>
      <w:tr>
        <w:tc>
          <w:tcPr/>
          <w:p>
            <w:pPr>
              <w:pStyle w:val="Compact"/>
            </w:pPr>
            <w:r>
              <w:t xml:space="preserve">Documents</w:t>
            </w:r>
          </w:p>
        </w:tc>
        <w:tc>
          <w:tcPr/>
          <w:p>
            <w:pPr>
              <w:pStyle w:val="Compact"/>
            </w:pPr>
            <w:r>
              <w:t xml:space="preserve">A certified copy of the agreement</w:t>
            </w:r>
            <w:r>
              <w:t xml:space="preserve"> </w:t>
            </w:r>
            <w:r>
              <w:rPr>
                <w:b/>
                <w:bCs/>
              </w:rPr>
              <w:t xml:space="preserve">as recorded</w:t>
            </w:r>
            <w:r>
              <w:t xml:space="preserve"> </w:t>
            </w:r>
            <w:r>
              <w:t xml:space="preserve">with a county auditor, plus the surviving spouse's affidavit that the agreement was validly executed and in force at death.</w:t>
            </w:r>
          </w:p>
        </w:tc>
        <w:tc>
          <w:tcPr/>
          <w:p>
            <w:pPr>
              <w:pStyle w:val="Compact"/>
            </w:pPr>
            <w:r>
              <w:t xml:space="preserve">RCW 30A.22.190(1)</w:t>
            </w:r>
          </w:p>
        </w:tc>
      </w:tr>
      <w:tr>
        <w:tc>
          <w:tcPr/>
          <w:p>
            <w:pPr>
              <w:pStyle w:val="Compact"/>
            </w:pPr>
            <w:r>
              <w:t xml:space="preserve">Limits</w:t>
            </w:r>
          </w:p>
        </w:tc>
        <w:tc>
          <w:tcPr/>
          <w:p>
            <w:pPr>
              <w:pStyle w:val="Compact"/>
            </w:pPr>
            <w:r>
              <w:t xml:space="preserve">No dollar limit, no waiting period, and no residency or notice requirement.</w:t>
            </w:r>
          </w:p>
        </w:tc>
        <w:tc>
          <w:tcPr/>
          <w:p>
            <w:pPr>
              <w:pStyle w:val="Compact"/>
            </w:pPr>
            <w:r>
              <w:t xml:space="preserve">RCW 30A.22.190(1)</w:t>
            </w:r>
          </w:p>
        </w:tc>
      </w:tr>
      <w:tr>
        <w:tc>
          <w:tcPr/>
          <w:p>
            <w:pPr>
              <w:pStyle w:val="Compact"/>
            </w:pPr>
            <w:r>
              <w:t xml:space="preserve">The agreement itself</w:t>
            </w:r>
          </w:p>
        </w:tc>
        <w:tc>
          <w:tcPr/>
          <w:p>
            <w:pPr>
              <w:pStyle w:val="Compact"/>
            </w:pPr>
            <w:r>
              <w:t xml:space="preserve">Signed by both spouses or partners, and witnessed, acknowledged and certified like a real-estate deed. It can be amended, cannot defeat creditors' rights, and can be set aside by a court for fraud.</w:t>
            </w:r>
          </w:p>
        </w:tc>
        <w:tc>
          <w:tcPr/>
          <w:p>
            <w:pPr>
              <w:pStyle w:val="Compact"/>
            </w:pPr>
            <w:r>
              <w:t xml:space="preserve">RCW 26.16.120</w:t>
            </w:r>
          </w:p>
        </w:tc>
      </w:tr>
      <w:tr>
        <w:tc>
          <w:tcPr/>
          <w:p>
            <w:pPr>
              <w:pStyle w:val="Compact"/>
            </w:pPr>
            <w:r>
              <w:t xml:space="preserve">Protection</w:t>
            </w:r>
          </w:p>
        </w:tc>
        <w:tc>
          <w:tcPr/>
          <w:p>
            <w:pPr>
              <w:pStyle w:val="Compact"/>
            </w:pPr>
            <w:r>
              <w:t xml:space="preserve">A payment under § 190 is a "payment" (RCW 30A.22.040(12)), so the complete discharge in RCW 30A.22.120 applies unless the institution has actual knowledge of a dispute. Unlike the § 190(2) and (3) payments, the statute does not make the recipient accountable to a later personal representative.</w:t>
            </w:r>
          </w:p>
        </w:tc>
        <w:tc>
          <w:tcPr/>
          <w:p>
            <w:pPr>
              <w:pStyle w:val="Compact"/>
            </w:pPr>
            <w:r>
              <w:t xml:space="preserve">RCW 30A.22.120, 30A.22.190 (last paragraph)</w:t>
            </w:r>
          </w:p>
        </w:tc>
      </w:tr>
    </w:tbl>
    <w:p>
      <w:pPr>
        <w:pStyle w:val="BodyText"/>
      </w:pPr>
      <w:r>
        <w:rPr>
          <w:b/>
          <w:bCs/>
        </w:rPr>
        <w:t xml:space="preserve">What the engine could and could not decide.</w:t>
      </w:r>
      <w:r>
        <w:t xml:space="preserve"> </w:t>
      </w:r>
      <w:r>
        <w:t xml:space="preserve">The engine can check every condition except one: whether the agreement "by its terms would include" these funds. That requires someone to read the agreement. It would be a fact the institution's staff confirm, and the engine would rely on it.</w:t>
      </w:r>
    </w:p>
    <w:p>
      <w:pPr>
        <w:pStyle w:val="BodyText"/>
      </w:pPr>
      <w:r>
        <w:rPr>
          <w:b/>
          <w:bCs/>
        </w:rPr>
        <w:t xml:space="preserve">Facts needed:</w:t>
      </w:r>
      <w:r>
        <w:t xml:space="preserve"> </w:t>
      </w:r>
      <w:r>
        <w:t xml:space="preserve">a surviving spouse or partner among the parties; the recorded certified copy presented; the spouse's affidavit presented; and staff confirmation that the agreement covers the funds.</w:t>
      </w:r>
    </w:p>
    <w:p>
      <w:pPr>
        <w:pStyle w:val="BodyText"/>
      </w:pPr>
      <w:r>
        <w:rPr>
          <w:b/>
          <w:bCs/>
        </w:rPr>
        <w:t xml:space="preserve">Decision if included:</w:t>
      </w:r>
      <w:r>
        <w:t xml:space="preserve"> </w:t>
      </w:r>
      <w:r>
        <w:t xml:space="preserve">pay the surviving spouse 1/1 on receipt of the documents, protected under RCW 30A.22.120.</w:t>
      </w:r>
    </w:p>
    <w:p>
      <w:pPr>
        <w:pStyle w:val="BodyText"/>
      </w:pPr>
      <w:r>
        <w:rPr>
          <w:b/>
          <w:bCs/>
        </w:rPr>
        <w:t xml:space="preserve">Questions for the attorney:</w:t>
      </w:r>
    </w:p>
    <w:p>
      <w:pPr>
        <w:pStyle w:val="Compact"/>
        <w:numPr>
          <w:ilvl w:val="0"/>
          <w:numId w:val="1007"/>
        </w:numPr>
      </w:pPr>
      <w:r>
        <w:t xml:space="preserve">Does RCW 30A.22.120's discharge clearly cover a § 190(1) payment, given its "at the request of any depositor" wording?</w:t>
      </w:r>
    </w:p>
    <w:p>
      <w:pPr>
        <w:pStyle w:val="Compact"/>
        <w:numPr>
          <w:ilvl w:val="0"/>
          <w:numId w:val="1007"/>
        </w:numPr>
      </w:pPr>
      <w:r>
        <w:t xml:space="preserve">Is the spouse's affidavit plus the recorded copy enough, or must the institution independently check the agreement's scope?</w:t>
      </w:r>
    </w:p>
    <w:p>
      <w:pPr>
        <w:pStyle w:val="FirstParagraph"/>
      </w:pPr>
      <w:r>
        <w:rPr>
          <w:b/>
          <w:bCs/>
        </w:rPr>
        <w:t xml:space="preserve">Wills can't override it.</w:t>
      </w:r>
      <w:r>
        <w:t xml:space="preserve"> </w:t>
      </w:r>
      <w:r>
        <w:t xml:space="preserve">A community property agreement is a nonprobate asset (RCW 11.02.005(14)) but is excluded from chapter 11.11 (RCW 11.11.010(7)(a)(iv)), so a will can't redirect it the way W3 allows for POD accounts.</w:t>
      </w:r>
    </w:p>
    <w:p>
      <w:pPr>
        <w:pStyle w:val="BodyText"/>
      </w:pPr>
      <w:r>
        <w:rPr>
          <w:b/>
          <w:bCs/>
        </w:rPr>
        <w:t xml:space="preserve">Trade-off.</w:t>
      </w:r>
      <w:r>
        <w:t xml:space="preserve"> </w:t>
      </w:r>
      <w:r>
        <w:t xml:space="preserve">It settles estate funds for surviving spouses with an agreement without probate, with no value limit and no 40-day wait. The cost is one manual step (reading the agreement) plus four new facts.</w:t>
      </w:r>
    </w:p>
    <w:bookmarkEnd w:id="22"/>
    <w:bookmarkStart w:id="23" w:name="w8-small-balance-payment-2500"/>
    <w:p>
      <w:pPr>
        <w:pStyle w:val="Heading3"/>
      </w:pPr>
      <w:r>
        <w:t xml:space="preserve">W8: small-balance payment ($2,500)</w:t>
      </w:r>
    </w:p>
    <w:p>
      <w:pPr>
        <w:pStyle w:val="FirstParagraph"/>
      </w:pPr>
      <w:r>
        <w:rPr>
          <w:b/>
          <w:bCs/>
        </w:rPr>
        <w:t xml:space="preserve">What the statute allows</w:t>
      </w:r>
      <w:r>
        <w:t xml:space="preserve"> </w:t>
      </w:r>
      <w:r>
        <w:t xml:space="preserve">(RCW 30A.22.190(2)): when the decedent's funds in the account do not exceed</w:t>
      </w:r>
      <w:r>
        <w:t xml:space="preserve"> </w:t>
      </w:r>
      <w:r>
        <w:rPr>
          <w:b/>
          <w:bCs/>
        </w:rPr>
        <w:t xml:space="preserve">$2,500</w:t>
      </w:r>
      <w:r>
        <w:t xml:space="preserve">, the institution</w:t>
      </w:r>
      <w:r>
        <w:t xml:space="preserve"> </w:t>
      </w:r>
      <w:r>
        <w:rPr>
          <w:b/>
          <w:bCs/>
        </w:rPr>
        <w:t xml:space="preserve">may</w:t>
      </w:r>
      <w:r>
        <w:t xml:space="preserve"> </w:t>
      </w:r>
      <w:r>
        <w:t xml:space="preserve">pay them to "the surviving spouse, next of kin, funeral director, or other creditor who may appear to be entitled thereto".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Finding</w:t>
            </w:r>
          </w:p>
        </w:tc>
        <w:tc>
          <w:tcPr/>
          <w:p>
            <w:pPr>
              <w:pStyle w:val="Compact"/>
            </w:pPr>
            <w:r>
              <w:t xml:space="preserve">Citation</w:t>
            </w:r>
          </w:p>
        </w:tc>
      </w:tr>
      <w:tr>
        <w:tc>
          <w:tcPr/>
          <w:p>
            <w:pPr>
              <w:pStyle w:val="Compact"/>
            </w:pPr>
            <w:r>
              <w:t xml:space="preserve">Which funds</w:t>
            </w:r>
          </w:p>
        </w:tc>
        <w:tc>
          <w:tcPr/>
          <w:p>
            <w:pPr>
              <w:pStyle w:val="Compact"/>
            </w:pPr>
            <w:r>
              <w:t xml:space="preserve">Same as W7: funds that would otherwise go to the personal representative.</w:t>
            </w:r>
          </w:p>
        </w:tc>
        <w:tc>
          <w:tcPr/>
          <w:p>
            <w:pPr>
              <w:pStyle w:val="Compact"/>
            </w:pPr>
            <w:r>
              <w:t xml:space="preserve">RCW 30A.22.190 (opening clause), 30A.22.180</w:t>
            </w:r>
          </w:p>
        </w:tc>
      </w:tr>
      <w:tr>
        <w:tc>
          <w:tcPr/>
          <w:p>
            <w:pPr>
              <w:pStyle w:val="Compact"/>
            </w:pPr>
            <w:r>
              <w:t xml:space="preserve">Who</w:t>
            </w:r>
          </w:p>
        </w:tc>
        <w:tc>
          <w:tcPr/>
          <w:p>
            <w:pPr>
              <w:pStyle w:val="Compact"/>
            </w:pPr>
            <w:r>
              <w:t xml:space="preserve">The surviving spouse or partner, next of kin, a funeral director, or another creditor. Unlike the RCW 11.62 affidavit, creditors may be paid here, and the institution chooses among those who "may appear to be entitled".</w:t>
            </w:r>
          </w:p>
        </w:tc>
        <w:tc>
          <w:tcPr/>
          <w:p>
            <w:pPr>
              <w:pStyle w:val="Compact"/>
            </w:pPr>
            <w:r>
              <w:t xml:space="preserve">RCW 30A.22.190(2); compare RCW 11.62.005(2)(b)</w:t>
            </w:r>
          </w:p>
        </w:tc>
      </w:tr>
      <w:tr>
        <w:tc>
          <w:tcPr/>
          <w:p>
            <w:pPr>
              <w:pStyle w:val="Compact"/>
            </w:pPr>
            <w:r>
              <w:t xml:space="preserve">Documents</w:t>
            </w:r>
          </w:p>
        </w:tc>
        <w:tc>
          <w:tcPr/>
          <w:p>
            <w:pPr>
              <w:pStyle w:val="Compact"/>
            </w:pPr>
            <w:r>
              <w:t xml:space="preserve">Proof of death, plus an affidavit that no personal representative has been appointed. The institution</w:t>
            </w:r>
            <w:r>
              <w:t xml:space="preserve"> </w:t>
            </w:r>
            <w:r>
              <w:rPr>
                <w:b/>
                <w:bCs/>
              </w:rPr>
              <w:t xml:space="preserve">may</w:t>
            </w:r>
            <w:r>
              <w:t xml:space="preserve"> </w:t>
            </w:r>
            <w:r>
              <w:t xml:space="preserve">also require waivers, indemnity, receipts, acquittance and other proofs (policy).</w:t>
            </w:r>
          </w:p>
        </w:tc>
        <w:tc>
          <w:tcPr/>
          <w:p>
            <w:pPr>
              <w:pStyle w:val="Compact"/>
            </w:pPr>
            <w:r>
              <w:t xml:space="preserve">RCW 30A.22.190(2)</w:t>
            </w:r>
          </w:p>
        </w:tc>
      </w:tr>
      <w:tr>
        <w:tc>
          <w:tcPr/>
          <w:p>
            <w:pPr>
              <w:pStyle w:val="Compact"/>
            </w:pPr>
            <w:r>
              <w:t xml:space="preserve">Limits</w:t>
            </w:r>
          </w:p>
        </w:tc>
        <w:tc>
          <w:tcPr/>
          <w:p>
            <w:pPr>
              <w:pStyle w:val="Compact"/>
            </w:pPr>
            <w:r>
              <w:t xml:space="preserve">$2,500, not indexed. No waiting period is stated. The section was last amended by 2014 c 37 s 198; whether that changed the amount is unverified.</w:t>
            </w:r>
          </w:p>
        </w:tc>
        <w:tc>
          <w:tcPr/>
          <w:p>
            <w:pPr>
              <w:pStyle w:val="Compact"/>
            </w:pPr>
            <w:r>
              <w:t xml:space="preserve">RCW 30A.22.190(2) and its history</w:t>
            </w:r>
          </w:p>
        </w:tc>
      </w:tr>
      <w:tr>
        <w:tc>
          <w:tcPr/>
          <w:p>
            <w:pPr>
              <w:pStyle w:val="Compact"/>
            </w:pPr>
            <w:r>
              <w:t xml:space="preserve">Protection</w:t>
            </w:r>
          </w:p>
        </w:tc>
        <w:tc>
          <w:tcPr/>
          <w:p>
            <w:pPr>
              <w:pStyle w:val="Compact"/>
            </w:pPr>
            <w:r>
              <w:t xml:space="preserve">Discharged under RCW 30A.22.120 unless the institution has actual knowledge of a dispute. The recipient is accountable to any personal representative appointed later.</w:t>
            </w:r>
          </w:p>
        </w:tc>
        <w:tc>
          <w:tcPr/>
          <w:p>
            <w:pPr>
              <w:pStyle w:val="Compact"/>
            </w:pPr>
            <w:r>
              <w:t xml:space="preserve">RCW 30A.22.120, 30A.22.190 (last paragraph)</w:t>
            </w:r>
          </w:p>
        </w:tc>
      </w:tr>
    </w:tbl>
    <w:p>
      <w:pPr>
        <w:pStyle w:val="BodyText"/>
      </w:pPr>
      <w:r>
        <w:rPr>
          <w:b/>
          <w:bCs/>
        </w:rPr>
        <w:t xml:space="preserve">What makes it different.</w:t>
      </w:r>
      <w:r>
        <w:t xml:space="preserve"> </w:t>
      </w:r>
      <w:r>
        <w:t xml:space="preserve">The statute leaves the choice of payee to the institution's judgment. The engine can decide</w:t>
      </w:r>
      <w:r>
        <w:t xml:space="preserve"> </w:t>
      </w:r>
      <w:r>
        <w:rPr>
          <w:i/>
          <w:iCs/>
        </w:rPr>
        <w:t xml:space="preserve">eligibility</w:t>
      </w:r>
      <w:r>
        <w:t xml:space="preserve">, but</w:t>
      </w:r>
      <w:r>
        <w:t xml:space="preserve"> </w:t>
      </w:r>
      <w:r>
        <w:rPr>
          <w:i/>
          <w:iCs/>
        </w:rPr>
        <w:t xml:space="preserve">who</w:t>
      </w:r>
      <w:r>
        <w:t xml:space="preserve"> </w:t>
      </w:r>
      <w:r>
        <w:t xml:space="preserve">to pay among competing claimants is an institution choice.</w:t>
      </w:r>
    </w:p>
    <w:p>
      <w:pPr>
        <w:pStyle w:val="BodyText"/>
      </w:pPr>
      <w:r>
        <w:rPr>
          <w:b/>
          <w:bCs/>
        </w:rPr>
        <w:t xml:space="preserve">How it could fit the design:</w:t>
      </w:r>
      <w:r>
        <w:t xml:space="preserve"> </w:t>
      </w:r>
      <w:r>
        <w:t xml:space="preserve">an institution would</w:t>
      </w:r>
      <w:r>
        <w:t xml:space="preserve"> </w:t>
      </w:r>
      <w:r>
        <w:rPr>
          <w:b/>
          <w:bCs/>
        </w:rPr>
        <w:t xml:space="preserve">opt in</w:t>
      </w:r>
      <w:r>
        <w:t xml:space="preserve"> </w:t>
      </w:r>
      <w:r>
        <w:t xml:space="preserve">through its policy and set a claimant priority, for example: surviving spouse, then next of kin, then funeral director, then other creditor. Two claimants at the same priority would be not determinable. The baseline policy would not opt in.</w:t>
      </w:r>
    </w:p>
    <w:p>
      <w:pPr>
        <w:pStyle w:val="BodyText"/>
      </w:pPr>
      <w:r>
        <w:t xml:space="preserve">This extends today's stricter-only policy rule: a policy could choose among options the statute permits, but still never go past what the statute allows.</w:t>
      </w:r>
    </w:p>
    <w:p>
      <w:pPr>
        <w:pStyle w:val="BodyText"/>
      </w:pPr>
      <w:r>
        <w:rPr>
          <w:b/>
          <w:bCs/>
        </w:rPr>
        <w:t xml:space="preserve">Facts needed:</w:t>
      </w:r>
      <w:r>
        <w:t xml:space="preserve"> </w:t>
      </w:r>
      <w:r>
        <w:t xml:space="preserve">party relationships</w:t>
      </w:r>
      <w:r>
        <w:t xml:space="preserve"> </w:t>
      </w:r>
      <w:r>
        <w:rPr>
          <w:rStyle w:val="VerbatimChar"/>
        </w:rPr>
        <w:t xml:space="preserve">funeral_director</w:t>
      </w:r>
      <w:r>
        <w:t xml:space="preserve"> </w:t>
      </w:r>
      <w:r>
        <w:t xml:space="preserve">and</w:t>
      </w:r>
      <w:r>
        <w:t xml:space="preserve"> </w:t>
      </w:r>
      <w:r>
        <w:rPr>
          <w:rStyle w:val="VerbatimChar"/>
        </w:rPr>
        <w:t xml:space="preserve">creditor</w:t>
      </w:r>
      <w:r>
        <w:t xml:space="preserve"> </w:t>
      </w:r>
      <w:r>
        <w:t xml:space="preserve">(opaque IDs, no PII); a no-personal-representative affidavit presented; and which parties are claiming.</w:t>
      </w:r>
    </w:p>
    <w:p>
      <w:pPr>
        <w:pStyle w:val="BodyText"/>
      </w:pPr>
      <w:r>
        <w:rPr>
          <w:b/>
          <w:bCs/>
        </w:rPr>
        <w:t xml:space="preserve">Questions for the attorney:</w:t>
      </w:r>
    </w:p>
    <w:p>
      <w:pPr>
        <w:pStyle w:val="Compact"/>
        <w:numPr>
          <w:ilvl w:val="0"/>
          <w:numId w:val="1008"/>
        </w:numPr>
      </w:pPr>
      <w:r>
        <w:t xml:space="preserve">Is "$2,500" measured per account, or across all of the decedent's accounts at the institution?</w:t>
      </w:r>
    </w:p>
    <w:p>
      <w:pPr>
        <w:pStyle w:val="Compact"/>
        <w:numPr>
          <w:ilvl w:val="0"/>
          <w:numId w:val="1008"/>
        </w:numPr>
      </w:pPr>
      <w:r>
        <w:t xml:space="preserve">Which relationships count as "next of kin"?</w:t>
      </w:r>
    </w:p>
    <w:p>
      <w:pPr>
        <w:pStyle w:val="Compact"/>
        <w:numPr>
          <w:ilvl w:val="0"/>
          <w:numId w:val="1008"/>
        </w:numPr>
      </w:pPr>
      <w:r>
        <w:t xml:space="preserve">Does paying a creditor here conflict with any duty to the estate, given that the recipient is accountable to a later personal representative?</w:t>
      </w:r>
    </w:p>
    <w:p>
      <w:pPr>
        <w:pStyle w:val="FirstParagraph"/>
      </w:pPr>
      <w:r>
        <w:rPr>
          <w:b/>
          <w:bCs/>
        </w:rPr>
        <w:t xml:space="preserve">Trade-off.</w:t>
      </w:r>
      <w:r>
        <w:t xml:space="preserve"> </w:t>
      </w:r>
      <w:r>
        <w:t xml:space="preserve">It allows fast, cheap handling of small balances with low risk, given the $2,500 cap. The cost is a new opt-in policy concept, two new relationships, and payee choice that depends on policy instead of law.</w:t>
      </w:r>
    </w:p>
    <w:p>
      <w:r>
        <w:br w:type="page"/>
      </w:r>
    </w:p>
    <w:bookmarkEnd w:id="23"/>
    <w:bookmarkEnd w:id="24"/>
    <w:bookmarkEnd w:id="25"/>
    <w:bookmarkStart w:id="26" w:name="washington-sources"/>
    <w:p>
      <w:pPr>
        <w:pStyle w:val="Heading1"/>
      </w:pPr>
      <w:r>
        <w:t xml:space="preserve">Washington: sources</w:t>
      </w:r>
    </w:p>
    <w:p>
      <w:pPr>
        <w:pStyle w:val="FirstParagraph"/>
      </w:pPr>
      <w:r>
        <w:t xml:space="preserve">All statute text was retrieved on 2026-10-07 from the</w:t>
      </w:r>
      <w:r>
        <w:t xml:space="preserve"> </w:t>
      </w:r>
      <w:r>
        <w:rPr>
          <w:b/>
          <w:bCs/>
        </w:rPr>
        <w:t xml:space="preserve">official</w:t>
      </w:r>
      <w:r>
        <w:t xml:space="preserve"> </w:t>
      </w:r>
      <w:r>
        <w:t xml:space="preserve">Revised Code of Washington at app.leg.wa.gov (</w:t>
      </w:r>
      <w:r>
        <w:rPr>
          <w:rStyle w:val="VerbatimChar"/>
        </w:rPr>
        <w:t xml:space="preserve">https://app.leg.wa.gov/RCW/default.aspx?cite=&lt;section&gt;&amp;full=true</w:t>
      </w:r>
      <w:r>
        <w:t xml:space="preserve">). The history column shows each section's session-law history as printed there; the first entry is the most recent amendment.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Used for</w:t>
            </w:r>
          </w:p>
        </w:tc>
        <w:tc>
          <w:tcPr/>
          <w:p>
            <w:pPr>
              <w:pStyle w:val="Compact"/>
            </w:pPr>
            <w:r>
              <w:t xml:space="preserve">History (most recent first)</w:t>
            </w:r>
          </w:p>
        </w:tc>
      </w:tr>
      <w:tr>
        <w:tc>
          <w:tcPr/>
          <w:p>
            <w:pPr>
              <w:pStyle w:val="Compact"/>
            </w:pPr>
            <w:r>
              <w:t xml:space="preserve">RCW 11.62.005</w:t>
            </w:r>
          </w:p>
        </w:tc>
        <w:tc>
          <w:tcPr/>
          <w:p>
            <w:pPr>
              <w:pStyle w:val="Compact"/>
            </w:pPr>
            <w:r>
              <w:t xml:space="preserve">Successor definition</w:t>
            </w:r>
          </w:p>
        </w:tc>
        <w:tc>
          <w:tcPr/>
          <w:p>
            <w:pPr>
              <w:pStyle w:val="Compact"/>
            </w:pPr>
            <w:r>
              <w:t xml:space="preserve">2008 c 6 s 922; 2006 c 360 s 15; …</w:t>
            </w:r>
          </w:p>
        </w:tc>
      </w:tr>
      <w:tr>
        <w:tc>
          <w:tcPr/>
          <w:p>
            <w:pPr>
              <w:pStyle w:val="Compact"/>
            </w:pPr>
            <w:r>
              <w:t xml:space="preserve">RCW 11.62.010</w:t>
            </w:r>
          </w:p>
        </w:tc>
        <w:tc>
          <w:tcPr/>
          <w:p>
            <w:pPr>
              <w:pStyle w:val="Compact"/>
            </w:pPr>
            <w:r>
              <w:t xml:space="preserve">Small-estate affidavit: 40 days, $100,000, conditions, statements, DSHS copy</w:t>
            </w:r>
          </w:p>
        </w:tc>
        <w:tc>
          <w:tcPr/>
          <w:p>
            <w:pPr>
              <w:pStyle w:val="Compact"/>
            </w:pPr>
            <w:r>
              <w:t xml:space="preserve">2008 c 6 s 923; 2006 c 360 s 16; …</w:t>
            </w:r>
          </w:p>
        </w:tc>
      </w:tr>
      <w:tr>
        <w:tc>
          <w:tcPr/>
          <w:p>
            <w:pPr>
              <w:pStyle w:val="Compact"/>
            </w:pPr>
            <w:r>
              <w:t xml:space="preserve">RCW 11.62.020</w:t>
            </w:r>
          </w:p>
        </w:tc>
        <w:tc>
          <w:tcPr/>
          <w:p>
            <w:pPr>
              <w:pStyle w:val="Compact"/>
            </w:pPr>
            <w:r>
              <w:t xml:space="preserve">Discharge; actual knowledge; conflicting affidavits</w:t>
            </w:r>
          </w:p>
        </w:tc>
        <w:tc>
          <w:tcPr/>
          <w:p>
            <w:pPr>
              <w:pStyle w:val="Compact"/>
            </w:pPr>
            <w:r>
              <w:t xml:space="preserve">1990 c 180 s 4; …</w:t>
            </w:r>
          </w:p>
        </w:tc>
      </w:tr>
      <w:tr>
        <w:tc>
          <w:tcPr/>
          <w:p>
            <w:pPr>
              <w:pStyle w:val="Compact"/>
            </w:pPr>
            <w:r>
              <w:t xml:space="preserve">RCW 30A.22.040</w:t>
            </w:r>
          </w:p>
        </w:tc>
        <w:tc>
          <w:tcPr/>
          <w:p>
            <w:pPr>
              <w:pStyle w:val="Compact"/>
            </w:pPr>
            <w:r>
              <w:t xml:space="preserve">Definitions (actual knowledge, proof of death, account types)</w:t>
            </w:r>
          </w:p>
        </w:tc>
        <w:tc>
          <w:tcPr/>
          <w:p>
            <w:pPr>
              <w:pStyle w:val="Compact"/>
            </w:pPr>
            <w:r>
              <w:t xml:space="preserve">2014 c 37 s 194; …</w:t>
            </w:r>
          </w:p>
        </w:tc>
      </w:tr>
      <w:tr>
        <w:tc>
          <w:tcPr/>
          <w:p>
            <w:pPr>
              <w:pStyle w:val="Compact"/>
            </w:pPr>
            <w:r>
              <w:t xml:space="preserve">RCW 30A.22.050</w:t>
            </w:r>
          </w:p>
        </w:tc>
        <w:tc>
          <w:tcPr/>
          <w:p>
            <w:pPr>
              <w:pStyle w:val="Compact"/>
            </w:pPr>
            <w:r>
              <w:t xml:space="preserve">Types of accounts</w:t>
            </w:r>
          </w:p>
        </w:tc>
        <w:tc>
          <w:tcPr/>
          <w:p>
            <w:pPr>
              <w:pStyle w:val="Compact"/>
            </w:pPr>
            <w:r>
              <w:t xml:space="preserve">1981 c 192 s 5</w:t>
            </w:r>
          </w:p>
        </w:tc>
      </w:tr>
      <w:tr>
        <w:tc>
          <w:tcPr/>
          <w:p>
            <w:pPr>
              <w:pStyle w:val="Compact"/>
            </w:pPr>
            <w:r>
              <w:t xml:space="preserve">RCW 30A.22.090, .100</w:t>
            </w:r>
          </w:p>
        </w:tc>
        <w:tc>
          <w:tcPr/>
          <w:p>
            <w:pPr>
              <w:pStyle w:val="Compact"/>
            </w:pPr>
            <w:r>
              <w:t xml:space="preserve">Ownership during life and after death</w:t>
            </w:r>
          </w:p>
        </w:tc>
        <w:tc>
          <w:tcPr/>
          <w:p>
            <w:pPr>
              <w:pStyle w:val="Compact"/>
            </w:pPr>
            <w:r>
              <w:t xml:space="preserve">1981 c 192 ss 9, 10</w:t>
            </w:r>
          </w:p>
        </w:tc>
      </w:tr>
      <w:tr>
        <w:tc>
          <w:tcPr/>
          <w:p>
            <w:pPr>
              <w:pStyle w:val="Compact"/>
            </w:pPr>
            <w:r>
              <w:t xml:space="preserve">RCW 30A.22.120</w:t>
            </w:r>
          </w:p>
        </w:tc>
        <w:tc>
          <w:tcPr/>
          <w:p>
            <w:pPr>
              <w:pStyle w:val="Compact"/>
            </w:pPr>
            <w:r>
              <w:t xml:space="preserve">Reliance on account form; discharge</w:t>
            </w:r>
          </w:p>
        </w:tc>
        <w:tc>
          <w:tcPr/>
          <w:p>
            <w:pPr>
              <w:pStyle w:val="Compact"/>
            </w:pPr>
            <w:r>
              <w:t xml:space="preserve">2014 c 37 s 196; 1981 c 192 s 12</w:t>
            </w:r>
          </w:p>
        </w:tc>
      </w:tr>
      <w:tr>
        <w:tc>
          <w:tcPr/>
          <w:p>
            <w:pPr>
              <w:pStyle w:val="Compact"/>
            </w:pPr>
            <w:r>
              <w:t xml:space="preserve">RCW 30A.22.140</w:t>
            </w:r>
          </w:p>
        </w:tc>
        <w:tc>
          <w:tcPr/>
          <w:p>
            <w:pPr>
              <w:pStyle w:val="Compact"/>
            </w:pPr>
            <w:r>
              <w:t xml:space="preserve">Payment to any depositor</w:t>
            </w:r>
          </w:p>
        </w:tc>
        <w:tc>
          <w:tcPr/>
          <w:p>
            <w:pPr>
              <w:pStyle w:val="Compact"/>
            </w:pPr>
            <w:r>
              <w:t xml:space="preserve">1981 c 192 s 14</w:t>
            </w:r>
          </w:p>
        </w:tc>
      </w:tr>
      <w:tr>
        <w:tc>
          <w:tcPr/>
          <w:p>
            <w:pPr>
              <w:pStyle w:val="Compact"/>
            </w:pPr>
            <w:r>
              <w:t xml:space="preserve">RCW 30A.22.160</w:t>
            </w:r>
          </w:p>
        </w:tc>
        <w:tc>
          <w:tcPr/>
          <w:p>
            <w:pPr>
              <w:pStyle w:val="Compact"/>
            </w:pPr>
            <w:r>
              <w:t xml:space="preserve">Payment to trust/POD beneficiaries; per-beneficiary cap</w:t>
            </w:r>
          </w:p>
        </w:tc>
        <w:tc>
          <w:tcPr/>
          <w:p>
            <w:pPr>
              <w:pStyle w:val="Compact"/>
            </w:pPr>
            <w:r>
              <w:t xml:space="preserve">1981 c 192 s 16</w:t>
            </w:r>
          </w:p>
        </w:tc>
      </w:tr>
      <w:tr>
        <w:tc>
          <w:tcPr/>
          <w:p>
            <w:pPr>
              <w:pStyle w:val="Compact"/>
            </w:pPr>
            <w:r>
              <w:t xml:space="preserve">RCW 30A.22.180, .190</w:t>
            </w:r>
          </w:p>
        </w:tc>
        <w:tc>
          <w:tcPr/>
          <w:p>
            <w:pPr>
              <w:pStyle w:val="Compact"/>
            </w:pPr>
            <w:r>
              <w:t xml:space="preserve">Payment to a personal representative, heirs, a surviving spouse under a CPA; $2,500 rule; RCW 11.62 affidavit</w:t>
            </w:r>
          </w:p>
        </w:tc>
        <w:tc>
          <w:tcPr/>
          <w:p>
            <w:pPr>
              <w:pStyle w:val="Compact"/>
            </w:pPr>
            <w:r>
              <w:t xml:space="preserve">1981 c 192 s 18; 2014 c 37 s 198; …</w:t>
            </w:r>
          </w:p>
        </w:tc>
      </w:tr>
      <w:tr>
        <w:tc>
          <w:tcPr/>
          <w:p>
            <w:pPr>
              <w:pStyle w:val="Compact"/>
            </w:pPr>
            <w:r>
              <w:t xml:space="preserve">RCW 30A.22.200</w:t>
            </w:r>
          </w:p>
        </w:tc>
        <w:tc>
          <w:tcPr/>
          <w:p>
            <w:pPr>
              <w:pStyle w:val="Compact"/>
            </w:pPr>
            <w:r>
              <w:t xml:space="preserve">Foreign personal representative (60 days)</w:t>
            </w:r>
          </w:p>
        </w:tc>
        <w:tc>
          <w:tcPr/>
          <w:p>
            <w:pPr>
              <w:pStyle w:val="Compact"/>
            </w:pPr>
            <w:r>
              <w:t xml:space="preserve">—</w:t>
            </w:r>
          </w:p>
        </w:tc>
      </w:tr>
      <w:tr>
        <w:tc>
          <w:tcPr/>
          <w:p>
            <w:pPr>
              <w:pStyle w:val="Compact"/>
            </w:pPr>
            <w:r>
              <w:t xml:space="preserve">RCW 30A.22.210, .220</w:t>
            </w:r>
          </w:p>
        </w:tc>
        <w:tc>
          <w:tcPr/>
          <w:p>
            <w:pPr>
              <w:pStyle w:val="Compact"/>
            </w:pPr>
            <w:r>
              <w:t xml:space="preserve">Withholding on dispute; adverse-claim bond</w:t>
            </w:r>
          </w:p>
        </w:tc>
        <w:tc>
          <w:tcPr/>
          <w:p>
            <w:pPr>
              <w:pStyle w:val="Compact"/>
            </w:pPr>
            <w:r>
              <w:t xml:space="preserve">2010 c 133 s 1; …</w:t>
            </w:r>
          </w:p>
        </w:tc>
      </w:tr>
      <w:tr>
        <w:tc>
          <w:tcPr/>
          <w:p>
            <w:pPr>
              <w:pStyle w:val="Compact"/>
            </w:pPr>
            <w:r>
              <w:t xml:space="preserve">RCW 11.07.010</w:t>
            </w:r>
          </w:p>
        </w:tc>
        <w:tc>
          <w:tcPr/>
          <w:p>
            <w:pPr>
              <w:pStyle w:val="Compact"/>
            </w:pPr>
            <w:r>
              <w:t xml:space="preserve">Former spouse/partner designations revoked; payor protection</w:t>
            </w:r>
          </w:p>
        </w:tc>
        <w:tc>
          <w:tcPr/>
          <w:p>
            <w:pPr>
              <w:pStyle w:val="Compact"/>
            </w:pPr>
            <w:r>
              <w:t xml:space="preserve">2014 c 58 s 19; 2008 c 6 s 906; …</w:t>
            </w:r>
          </w:p>
        </w:tc>
      </w:tr>
      <w:tr>
        <w:tc>
          <w:tcPr/>
          <w:p>
            <w:pPr>
              <w:pStyle w:val="Compact"/>
            </w:pPr>
            <w:r>
              <w:t xml:space="preserve">RCW 11.11.010, .020, .040, .050</w:t>
            </w:r>
          </w:p>
        </w:tc>
        <w:tc>
          <w:tcPr/>
          <w:p>
            <w:pPr>
              <w:pStyle w:val="Compact"/>
            </w:pPr>
            <w:r>
              <w:t xml:space="preserve">Will disposing of a nonprobate asset; reliance and notice</w:t>
            </w:r>
          </w:p>
        </w:tc>
        <w:tc>
          <w:tcPr/>
          <w:p>
            <w:pPr>
              <w:pStyle w:val="Compact"/>
            </w:pPr>
            <w:r>
              <w:t xml:space="preserve">2014 c 58 s 20; 2006 c 203 ss 1, 2; 1998 c 292 s 109</w:t>
            </w:r>
          </w:p>
        </w:tc>
      </w:tr>
      <w:tr>
        <w:tc>
          <w:tcPr/>
          <w:p>
            <w:pPr>
              <w:pStyle w:val="Compact"/>
            </w:pPr>
            <w:r>
              <w:t xml:space="preserve">RCW 11.04.015</w:t>
            </w:r>
          </w:p>
        </w:tc>
        <w:tc>
          <w:tcPr/>
          <w:p>
            <w:pPr>
              <w:pStyle w:val="Compact"/>
            </w:pPr>
            <w:r>
              <w:t xml:space="preserve">Intestate shares (reference only)</w:t>
            </w:r>
          </w:p>
        </w:tc>
        <w:tc>
          <w:tcPr/>
          <w:p>
            <w:pPr>
              <w:pStyle w:val="Compact"/>
            </w:pPr>
            <w:r>
              <w:t xml:space="preserve">2010 c 8 s 2001; …</w:t>
            </w:r>
          </w:p>
        </w:tc>
      </w:tr>
      <w:tr>
        <w:tc>
          <w:tcPr/>
          <w:p>
            <w:pPr>
              <w:pStyle w:val="Compact"/>
            </w:pPr>
            <w:r>
              <w:t xml:space="preserve">RCW 11.62.030</w:t>
            </w:r>
          </w:p>
        </w:tc>
        <w:tc>
          <w:tcPr/>
          <w:p>
            <w:pPr>
              <w:pStyle w:val="Compact"/>
            </w:pPr>
            <w:r>
              <w:t xml:space="preserve">Credit union payment to a surviving spouse, up to $1,000</w:t>
            </w:r>
          </w:p>
        </w:tc>
        <w:tc>
          <w:tcPr/>
          <w:p>
            <w:pPr>
              <w:pStyle w:val="Compact"/>
            </w:pPr>
            <w:r>
              <w:t xml:space="preserve">2008 c 6 s 924; 1980 c 41 s 10</w:t>
            </w:r>
          </w:p>
        </w:tc>
      </w:tr>
      <w:tr>
        <w:tc>
          <w:tcPr/>
          <w:p>
            <w:pPr>
              <w:pStyle w:val="Compact"/>
            </w:pPr>
            <w:r>
              <w:t xml:space="preserve">RCW 1.12.040</w:t>
            </w:r>
          </w:p>
        </w:tc>
        <w:tc>
          <w:tcPr/>
          <w:p>
            <w:pPr>
              <w:pStyle w:val="Compact"/>
            </w:pPr>
            <w:r>
              <w:t xml:space="preserve">Computation of time</w:t>
            </w:r>
          </w:p>
        </w:tc>
        <w:tc>
          <w:tcPr/>
          <w:p>
            <w:pPr>
              <w:pStyle w:val="Compact"/>
            </w:pPr>
            <w:r>
              <w:t xml:space="preserve">1997 c 125 s 1; …</w:t>
            </w:r>
          </w:p>
        </w:tc>
      </w:tr>
      <w:tr>
        <w:tc>
          <w:tcPr/>
          <w:p>
            <w:pPr>
              <w:pStyle w:val="Compact"/>
            </w:pPr>
            <w:r>
              <w:t xml:space="preserve">RCW 11.02.005(14)</w:t>
            </w:r>
          </w:p>
        </w:tc>
        <w:tc>
          <w:tcPr/>
          <w:p>
            <w:pPr>
              <w:pStyle w:val="Compact"/>
            </w:pPr>
            <w:r>
              <w:t xml:space="preserve">"Nonprobate asset" includes bank POD and survivorship accounts</w:t>
            </w:r>
          </w:p>
        </w:tc>
        <w:tc>
          <w:tcPr/>
          <w:p>
            <w:pPr>
              <w:pStyle w:val="Compact"/>
            </w:pPr>
            <w:r>
              <w:t xml:space="preserve">—</w:t>
            </w:r>
          </w:p>
        </w:tc>
      </w:tr>
      <w:tr>
        <w:tc>
          <w:tcPr/>
          <w:p>
            <w:pPr>
              <w:pStyle w:val="Compact"/>
            </w:pPr>
            <w:r>
              <w:t xml:space="preserve">RCW 11.11.003, .005, .007, .901</w:t>
            </w:r>
          </w:p>
        </w:tc>
        <w:tc>
          <w:tcPr/>
          <w:p>
            <w:pPr>
              <w:pStyle w:val="Compact"/>
            </w:pPr>
            <w:r>
              <w:t xml:space="preserve">Purposes; construction; intent; application (wills of residents dying on or after 1999-07-01)</w:t>
            </w:r>
          </w:p>
        </w:tc>
        <w:tc>
          <w:tcPr/>
          <w:p>
            <w:pPr>
              <w:pStyle w:val="Compact"/>
            </w:pPr>
            <w:r>
              <w:t xml:space="preserve">1998 c 292</w:t>
            </w:r>
          </w:p>
        </w:tc>
      </w:tr>
      <w:tr>
        <w:tc>
          <w:tcPr/>
          <w:p>
            <w:pPr>
              <w:pStyle w:val="Compact"/>
            </w:pPr>
            <w:r>
              <w:t xml:space="preserve">RCW 26.16.120</w:t>
            </w:r>
          </w:p>
        </w:tc>
        <w:tc>
          <w:tcPr/>
          <w:p>
            <w:pPr>
              <w:pStyle w:val="Compact"/>
            </w:pPr>
            <w:r>
              <w:t xml:space="preserve">Community property agreements</w:t>
            </w:r>
          </w:p>
        </w:tc>
        <w:tc>
          <w:tcPr/>
          <w:p>
            <w:pPr>
              <w:pStyle w:val="Compact"/>
            </w:pPr>
            <w:r>
              <w:t xml:space="preserve">2009 c 525 s 18; 2008 c 6 s 612; …</w:t>
            </w:r>
          </w:p>
        </w:tc>
      </w:tr>
      <w:tr>
        <w:tc>
          <w:tcPr/>
          <w:p>
            <w:pPr>
              <w:pStyle w:val="Compact"/>
            </w:pPr>
            <w:r>
              <w:t xml:space="preserve">RCW 43.20B.080</w:t>
            </w:r>
          </w:p>
        </w:tc>
        <w:tc>
          <w:tcPr/>
          <w:p>
            <w:pPr>
              <w:pStyle w:val="Compact"/>
            </w:pPr>
            <w:r>
              <w:t xml:space="preserve">DSHS estate recovery (W6 context)</w:t>
            </w:r>
          </w:p>
        </w:tc>
        <w:tc>
          <w:tcPr/>
          <w:p>
            <w:pPr>
              <w:pStyle w:val="Compact"/>
            </w:pPr>
            <w:r>
              <w:t xml:space="preserve">—</w:t>
            </w:r>
          </w:p>
        </w:tc>
      </w:tr>
    </w:tbl>
    <w:bookmarkEnd w:id="26"/>
    <w:sectPr>
      <w:footnotePr>
        <w:numRestart w:val="eachSect"/>
      </w:footnotePr>
      <w:pgSz w:h="15840" w:w="12240"/>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60"/>
        <w:left w:type="dxa" w:w="100"/>
        <w:bottom w:type="dxa" w:w="60"/>
        <w:right w:type="dxa" w:w="100"/>
      </w:tblCellMar>
    </w:tblPr>
    <w:tblStylePr w:type="firstRow">
      <w:rPr>
        <w:b/>
      </w:rPr>
      <w:tcPr>
        <w:shd w:color="auto" w:fill="DCE6F2"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Washington Deceased-Account Entitlement Rules</dc:title>
  <dc:creator/>
  <cp:keywords/>
  <dcterms:created xsi:type="dcterms:W3CDTF">2026-10-09T19:18:34Z</dcterms:created>
  <dcterms:modified xsi:type="dcterms:W3CDTF">2026-10-09T19:18:34Z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Prepared 2026-10-09</vt:lpwstr>
  </property>
  <property fmtid="{D5CDD505-2E9C-101B-9397-08002B2CF9AE}" pid="3" name="subtitle">
    <vt:lpwstr>Draft for attorney review</vt:lpwstr>
  </property>
</Properties>
</file>