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  <w:rPr>
          <w:rFonts w:ascii="Georgia" w:cs="Georgia" w:eastAsia="Georgia" w:hAnsi="Georgia"/>
          <w:sz w:val="24"/>
          <w:szCs w:val="24"/>
        </w:rPr>
        <w:sectPr>
          <w:headerReference r:id="rId6" w:type="default"/>
          <w:pgSz w:h="16834" w:w="11909"/>
          <w:pgMar w:bottom="1440" w:top="1440" w:left="1440" w:right="1440" w:header="0"/>
          <w:pgNumType w:start="1"/>
        </w:sectPr>
      </w:pPr>
      <w:bookmarkStart w:colFirst="0" w:colLast="0" w:name="_rz4149ktglk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Данара Сусеева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Georgia" w:cs="Georgia" w:eastAsia="Georgia" w:hAnsi="Georgia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suseevadanara@gmail.com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Georgia" w:cs="Georgia" w:eastAsia="Georgia" w:hAnsi="Georgia"/>
        </w:rPr>
        <w:sectPr>
          <w:type w:val="continuous"/>
          <w:pgSz w:h="16834" w:w="11909"/>
          <w:pgMar w:bottom="1440" w:top="1440" w:left="1440" w:right="1440" w:header="0"/>
          <w:cols w:equalWidth="0" w:num="1">
            <w:col w:space="0" w:w="9025.5"/>
          </w:cols>
        </w:sect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+79692823772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rPr>
          <w:rFonts w:ascii="Georgia" w:cs="Georgia" w:eastAsia="Georgia" w:hAnsi="Georgia"/>
          <w:sz w:val="28"/>
          <w:szCs w:val="28"/>
        </w:rPr>
        <w:sectPr>
          <w:type w:val="continuous"/>
          <w:pgSz w:h="16834" w:w="11909"/>
          <w:pgMar w:bottom="1440" w:top="1440" w:left="1440" w:right="1440" w:header="0"/>
        </w:sectPr>
      </w:pPr>
      <w:bookmarkStart w:colFirst="0" w:colLast="0" w:name="_69pqorj4i65c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Образование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Cousine" w:cs="Cousine" w:eastAsia="Cousine" w:hAnsi="Cousine"/>
          <w:rtl w:val="0"/>
        </w:rPr>
        <w:t xml:space="preserve">МБОУ “СОШ№4” </w:t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МБОУ “Элистинский лицей”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историко-юридический профиль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НИУ ВШЭ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Факультет гуманитарных наук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Отделение культурологии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2006-2013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2013-1017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2017-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Georgia" w:cs="Georgia" w:eastAsia="Georgia" w:hAnsi="Georgia"/>
        </w:rPr>
        <w:sectPr>
          <w:type w:val="continuous"/>
          <w:pgSz w:h="16834" w:w="11909"/>
          <w:pgMar w:bottom="1440" w:top="1440" w:left="1440" w:right="1440" w:header="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rPr>
          <w:rFonts w:ascii="Georgia" w:cs="Georgia" w:eastAsia="Georgia" w:hAnsi="Georgia"/>
          <w:sz w:val="28"/>
          <w:szCs w:val="28"/>
        </w:rPr>
      </w:pPr>
      <w:bookmarkStart w:colFirst="0" w:colLast="0" w:name="_58figlau29vk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Достижения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Участие в организации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People to People International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line="240" w:lineRule="auto"/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Cambridge English: Preliminary (PET):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Призерство на олимпиаде МГЮА им.Кутафина по праву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CAE (Certificate in advanced English): 185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Призерство на региональном этапе ВОШ: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по русскому языку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по обществознанию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Прохождение курса по ковровым узорам (ковроткачеству)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rPr>
          <w:rFonts w:ascii="Georgia" w:cs="Georgia" w:eastAsia="Georgia" w:hAnsi="Georgia"/>
          <w:sz w:val="28"/>
          <w:szCs w:val="28"/>
        </w:rPr>
        <w:sectPr>
          <w:type w:val="continuous"/>
          <w:pgSz w:h="16834" w:w="11909"/>
          <w:pgMar w:bottom="1440" w:top="1440" w:left="1440" w:right="1440" w:header="0"/>
        </w:sectPr>
      </w:pPr>
      <w:bookmarkStart w:colFirst="0" w:colLast="0" w:name="_1khinwlm7n4g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Владение иностранными языками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Английский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Французский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C1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Georgia" w:cs="Georgia" w:eastAsia="Georgia" w:hAnsi="Georgia"/>
          <w:color w:val="222222"/>
          <w:highlight w:val="white"/>
        </w:rPr>
        <w:sectPr>
          <w:type w:val="continuous"/>
          <w:pgSz w:h="16834" w:w="11909"/>
          <w:pgMar w:bottom="1440" w:top="1440" w:left="1440" w:right="1440" w:header="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B1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rPr>
          <w:rFonts w:ascii="Georgia" w:cs="Georgia" w:eastAsia="Georgia" w:hAnsi="Georgia"/>
          <w:sz w:val="28"/>
          <w:szCs w:val="28"/>
        </w:rPr>
      </w:pPr>
      <w:bookmarkStart w:colFirst="0" w:colLast="0" w:name="_341wtj7rum37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Личные качества и увлечения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Личные качества: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Обучаемость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Сохранение спокойствия в нештатных и критических ситуациях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Качественное выполнение индивидуальных поручений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Увлечения: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Культура повседневности СССР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Теория государства и права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Гендерная социология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Выпечка</w:t>
      </w: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yperlink" Target="mailto:suseevadanar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