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0AC" w:rsidRPr="008540AC" w:rsidRDefault="008540AC" w:rsidP="008540AC">
      <w:pPr>
        <w:jc w:val="center"/>
        <w:rPr>
          <w:rFonts w:ascii="Times New Roman" w:hAnsi="Times New Roman" w:cs="Times New Roman"/>
          <w:b/>
          <w:sz w:val="40"/>
        </w:rPr>
      </w:pPr>
      <w:r w:rsidRPr="008540AC">
        <w:rPr>
          <w:rFonts w:ascii="Times New Roman" w:hAnsi="Times New Roman" w:cs="Times New Roman"/>
          <w:b/>
          <w:sz w:val="40"/>
        </w:rPr>
        <w:t>Aveanna Healthcare</w:t>
      </w:r>
    </w:p>
    <w:p w:rsidR="008540AC" w:rsidRDefault="00D33224">
      <w:pPr>
        <w:rPr>
          <w:rFonts w:ascii="Times New Roman" w:hAnsi="Times New Roman" w:cs="Times New Roman"/>
          <w:b/>
          <w:sz w:val="24"/>
        </w:rPr>
      </w:pPr>
      <w:r>
        <w:rPr>
          <w:rFonts w:ascii="Times New Roman" w:hAnsi="Times New Roman" w:cs="Times New Roman"/>
          <w:b/>
          <w:sz w:val="24"/>
        </w:rPr>
        <w:t>Introduction:</w:t>
      </w:r>
    </w:p>
    <w:p w:rsidR="00D33224" w:rsidRDefault="00D33224" w:rsidP="00D33224">
      <w:pPr>
        <w:jc w:val="both"/>
        <w:rPr>
          <w:rFonts w:ascii="Times New Roman" w:hAnsi="Times New Roman" w:cs="Times New Roman"/>
        </w:rPr>
      </w:pPr>
      <w:r w:rsidRPr="00D33224">
        <w:rPr>
          <w:rFonts w:ascii="Times New Roman" w:hAnsi="Times New Roman" w:cs="Times New Roman"/>
        </w:rPr>
        <w:t>Aveanna Healthcare is a leading national provider of home healthcare services in the United States. The company offers a wide range of services primarily focused on pediatric and adult patients, including home health nursing, therapy, medical solutions, and services for medically fragile children.</w:t>
      </w:r>
      <w:r w:rsidR="00CF3EF0" w:rsidRPr="00CF3EF0">
        <w:t xml:space="preserve"> </w:t>
      </w:r>
      <w:r w:rsidR="00CF3EF0" w:rsidRPr="00CF3EF0">
        <w:rPr>
          <w:rFonts w:ascii="Times New Roman" w:hAnsi="Times New Roman" w:cs="Times New Roman"/>
        </w:rPr>
        <w:t>Aveanna Healthcare's goal is to support patients with complex medical needs by offering comprehensive and individualized care plans that enhance their quality of life and enable them to remain in their homes.</w:t>
      </w:r>
    </w:p>
    <w:p w:rsidR="00F07C60" w:rsidRDefault="009246D8" w:rsidP="00D33224">
      <w:pPr>
        <w:jc w:val="both"/>
        <w:rPr>
          <w:rFonts w:ascii="Times New Roman" w:hAnsi="Times New Roman" w:cs="Times New Roman"/>
          <w:b/>
          <w:sz w:val="24"/>
        </w:rPr>
      </w:pPr>
      <w:r>
        <w:rPr>
          <w:rFonts w:ascii="Times New Roman" w:hAnsi="Times New Roman" w:cs="Times New Roman"/>
          <w:b/>
          <w:sz w:val="24"/>
        </w:rPr>
        <w:t>Financial Analysis</w:t>
      </w:r>
    </w:p>
    <w:p w:rsidR="00F07C60" w:rsidRDefault="00F07C60" w:rsidP="00D33224">
      <w:pPr>
        <w:jc w:val="both"/>
        <w:rPr>
          <w:rFonts w:ascii="Times New Roman" w:hAnsi="Times New Roman" w:cs="Times New Roman"/>
          <w:u w:val="single"/>
        </w:rPr>
      </w:pPr>
      <w:r>
        <w:rPr>
          <w:rFonts w:ascii="Times New Roman" w:hAnsi="Times New Roman" w:cs="Times New Roman"/>
          <w:u w:val="single"/>
        </w:rPr>
        <w:t>Return on Investment:</w:t>
      </w:r>
    </w:p>
    <w:p w:rsidR="00334CEC" w:rsidRPr="00334CEC" w:rsidRDefault="00334CEC" w:rsidP="00D33224">
      <w:pPr>
        <w:jc w:val="both"/>
        <w:rPr>
          <w:rFonts w:ascii="Times New Roman" w:hAnsi="Times New Roman" w:cs="Times New Roman"/>
        </w:rPr>
      </w:pPr>
      <w:r w:rsidRPr="00334CEC">
        <w:rPr>
          <w:rFonts w:ascii="Times New Roman" w:hAnsi="Times New Roman" w:cs="Times New Roman"/>
        </w:rPr>
        <w:t xml:space="preserve">Aveanna Healthcare is grappling with challenges in achieving a positive net profit. </w:t>
      </w:r>
      <w:r w:rsidR="00AF02F8">
        <w:rPr>
          <w:rFonts w:ascii="Times New Roman" w:hAnsi="Times New Roman" w:cs="Times New Roman"/>
        </w:rPr>
        <w:t>Analysis of its Return on Investment (ROI</w:t>
      </w:r>
      <w:r w:rsidRPr="00334CEC">
        <w:rPr>
          <w:rFonts w:ascii="Times New Roman" w:hAnsi="Times New Roman" w:cs="Times New Roman"/>
        </w:rPr>
        <w:t>) reveals a consistently negative trend, primarily stemming from annual net losses detailed in its Profit and Loss statement. Particularly notable was the significant net loss of $662 million in 2022, marking a particularly challenging financial year for the company. This substantial loss was predominantly attributed to a $675 million Goodwill impairment. Furthermore, in 2022, the company incurred two impairment charges due to ongoing inflationary pressures and escalating overall costs, which hindered patient volume growth in relation to expenses across various business segments. Despite lower investment levels in 2022 compared to 2023, the company still faced a substantial net loss, resulting in a ne</w:t>
      </w:r>
      <w:r w:rsidR="00AF02F8">
        <w:rPr>
          <w:rFonts w:ascii="Times New Roman" w:hAnsi="Times New Roman" w:cs="Times New Roman"/>
        </w:rPr>
        <w:t>gative ROI of (350.5). While ROI</w:t>
      </w:r>
      <w:r w:rsidRPr="00334CEC">
        <w:rPr>
          <w:rFonts w:ascii="Times New Roman" w:hAnsi="Times New Roman" w:cs="Times New Roman"/>
        </w:rPr>
        <w:t xml:space="preserve"> remained negative in subsequent years due to continued net losses, there is potential for improvement and a pathway to profitability with effective management strategies.</w:t>
      </w:r>
    </w:p>
    <w:p w:rsidR="00AA7D68" w:rsidRPr="007015AB" w:rsidRDefault="00AA7D68" w:rsidP="00137D0B">
      <w:pPr>
        <w:jc w:val="both"/>
        <w:rPr>
          <w:rFonts w:ascii="Times New Roman" w:hAnsi="Times New Roman" w:cs="Times New Roman"/>
          <w:b/>
        </w:rPr>
      </w:pPr>
      <w:r>
        <w:rPr>
          <w:rFonts w:ascii="Times New Roman" w:hAnsi="Times New Roman" w:cs="Times New Roman"/>
        </w:rPr>
        <w:t xml:space="preserve">                             </w:t>
      </w:r>
      <w:r w:rsidR="007015AB">
        <w:rPr>
          <w:noProof/>
        </w:rPr>
        <w:drawing>
          <wp:inline distT="0" distB="0" distL="0" distR="0" wp14:anchorId="20924F2F" wp14:editId="1D547194">
            <wp:extent cx="3232503" cy="1910644"/>
            <wp:effectExtent l="95250" t="38100" r="44450" b="901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7D68" w:rsidRDefault="007461AC" w:rsidP="00137D0B">
      <w:pPr>
        <w:jc w:val="both"/>
        <w:rPr>
          <w:rFonts w:ascii="Times New Roman" w:hAnsi="Times New Roman" w:cs="Times New Roman"/>
          <w:sz w:val="24"/>
          <w:u w:val="single"/>
        </w:rPr>
      </w:pPr>
      <w:r>
        <w:rPr>
          <w:rFonts w:ascii="Times New Roman" w:hAnsi="Times New Roman" w:cs="Times New Roman"/>
          <w:sz w:val="24"/>
          <w:u w:val="single"/>
        </w:rPr>
        <w:t>Net Profit Margin:</w:t>
      </w:r>
    </w:p>
    <w:p w:rsidR="005C6E0C" w:rsidRDefault="00056CA3" w:rsidP="00137D0B">
      <w:pPr>
        <w:jc w:val="both"/>
        <w:rPr>
          <w:rFonts w:ascii="Times New Roman" w:hAnsi="Times New Roman" w:cs="Times New Roman"/>
        </w:rPr>
      </w:pPr>
      <w:r w:rsidRPr="00056CA3">
        <w:rPr>
          <w:rFonts w:ascii="Times New Roman" w:hAnsi="Times New Roman" w:cs="Times New Roman"/>
        </w:rPr>
        <w:t>The Net Profit Margin illustrates the proportion of a company's revenue that translates into profit. Regrettably, Aveanna Healthcare has experienced negative net profit margins over the past three years, indicating consecutive annual net losses. Excessive operating costs, particularly substantial interest expenses resulting from significant borrowing, have been the primary drivers of these losses. The year 2022 stands out as particularly challenging, with the company's financial statements pointing to goodwill impairment as a significant factor contributing to the substantial net loss incurred during that period.</w:t>
      </w:r>
      <w:r>
        <w:rPr>
          <w:rFonts w:ascii="Times New Roman" w:hAnsi="Times New Roman" w:cs="Times New Roman"/>
        </w:rPr>
        <w:t xml:space="preserve"> </w:t>
      </w:r>
    </w:p>
    <w:p w:rsidR="00654140" w:rsidRDefault="00654140" w:rsidP="00137D0B">
      <w:pPr>
        <w:jc w:val="both"/>
        <w:rPr>
          <w:rFonts w:ascii="Times New Roman" w:hAnsi="Times New Roman" w:cs="Times New Roman"/>
        </w:rPr>
      </w:pPr>
    </w:p>
    <w:p w:rsidR="00654140" w:rsidRDefault="00654140" w:rsidP="00137D0B">
      <w:pPr>
        <w:jc w:val="both"/>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647CC767" wp14:editId="73E7401E">
            <wp:extent cx="3391958" cy="1745544"/>
            <wp:effectExtent l="95250" t="38100" r="37465" b="1028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52A3" w:rsidRDefault="00E852A3" w:rsidP="00137D0B">
      <w:pPr>
        <w:jc w:val="both"/>
        <w:rPr>
          <w:rFonts w:ascii="Times New Roman" w:hAnsi="Times New Roman" w:cs="Times New Roman"/>
          <w:sz w:val="24"/>
          <w:u w:val="single"/>
        </w:rPr>
      </w:pPr>
      <w:r>
        <w:rPr>
          <w:rFonts w:ascii="Times New Roman" w:hAnsi="Times New Roman" w:cs="Times New Roman"/>
          <w:sz w:val="24"/>
          <w:u w:val="single"/>
        </w:rPr>
        <w:t>Current Ratio:</w:t>
      </w:r>
    </w:p>
    <w:p w:rsidR="00193E81" w:rsidRDefault="00193E81" w:rsidP="00137D0B">
      <w:pPr>
        <w:jc w:val="both"/>
        <w:rPr>
          <w:rFonts w:ascii="Times New Roman" w:hAnsi="Times New Roman" w:cs="Times New Roman"/>
        </w:rPr>
      </w:pPr>
      <w:r w:rsidRPr="00193E81">
        <w:rPr>
          <w:rFonts w:ascii="Times New Roman" w:hAnsi="Times New Roman" w:cs="Times New Roman"/>
        </w:rPr>
        <w:t xml:space="preserve">The current ratio serves as a valuable financial metric for gauging a company's financial health. However, it also presents challenges for the </w:t>
      </w:r>
      <w:r w:rsidR="00593341">
        <w:rPr>
          <w:rFonts w:ascii="Times New Roman" w:hAnsi="Times New Roman" w:cs="Times New Roman"/>
        </w:rPr>
        <w:t>Aveanna Healthcare</w:t>
      </w:r>
      <w:r w:rsidRPr="00193E81">
        <w:rPr>
          <w:rFonts w:ascii="Times New Roman" w:hAnsi="Times New Roman" w:cs="Times New Roman"/>
        </w:rPr>
        <w:t>. There exists an imbalance between the position of current assets and current liabilities, with the company's short-term assets proving insufficient to cover its short-term obligations. This imbalance in current liabilities may be attributed to increased debt and securitization obligations. Additionally, there is a limited volume of current assets at the company's disposal. Nevertheless, a comparison of performance across years indicates a positive trend, with the company steadily enhancing its base of current assets from 2021 to 2023. Notably, there was a significant improvement in cash and cash equivalents in 2023. With continued improvements, Aveanna has the potential to achieve the ideal current ratio of 1.0.</w:t>
      </w:r>
    </w:p>
    <w:p w:rsidR="001C26D7" w:rsidRPr="001C26D7" w:rsidRDefault="001C26D7" w:rsidP="00137D0B">
      <w:pPr>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14:anchorId="6EDF0C6E" wp14:editId="4163C471">
            <wp:extent cx="3442758" cy="1782939"/>
            <wp:effectExtent l="95250" t="38100" r="43815" b="1035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50D6" w:rsidRDefault="00A350D6" w:rsidP="00137D0B">
      <w:pPr>
        <w:jc w:val="both"/>
        <w:rPr>
          <w:rFonts w:ascii="Times New Roman" w:hAnsi="Times New Roman" w:cs="Times New Roman"/>
          <w:sz w:val="24"/>
          <w:u w:val="single"/>
        </w:rPr>
      </w:pPr>
      <w:r>
        <w:rPr>
          <w:rFonts w:ascii="Times New Roman" w:hAnsi="Times New Roman" w:cs="Times New Roman"/>
          <w:sz w:val="24"/>
          <w:u w:val="single"/>
        </w:rPr>
        <w:t>Debt to Equity Ratio:</w:t>
      </w:r>
    </w:p>
    <w:p w:rsidR="00334857" w:rsidRDefault="00224489" w:rsidP="00224489">
      <w:pPr>
        <w:jc w:val="both"/>
        <w:rPr>
          <w:rFonts w:ascii="Times New Roman" w:hAnsi="Times New Roman" w:cs="Times New Roman"/>
        </w:rPr>
      </w:pPr>
      <w:r w:rsidRPr="00224489">
        <w:rPr>
          <w:rFonts w:ascii="Times New Roman" w:hAnsi="Times New Roman" w:cs="Times New Roman"/>
        </w:rPr>
        <w:t>The company's financial statements reveal a heavy reliance on debt financing to support its investments, with a significant portion of its funding sourced from loans. In contrast, equity financing constitutes a notably smaller percentage. This indicates stringent creditor oversight, leading to substantial interest payments on the company's considerable debt load. The primary rationale behind this indebtedness is to fulfill day-to-day working capital requirements and facili</w:t>
      </w:r>
      <w:r>
        <w:rPr>
          <w:rFonts w:ascii="Times New Roman" w:hAnsi="Times New Roman" w:cs="Times New Roman"/>
        </w:rPr>
        <w:t>tate acquisitions as necessary.</w:t>
      </w:r>
      <w:r w:rsidR="007F60EB">
        <w:rPr>
          <w:rFonts w:ascii="Times New Roman" w:hAnsi="Times New Roman" w:cs="Times New Roman"/>
        </w:rPr>
        <w:t xml:space="preserve"> </w:t>
      </w:r>
      <w:r w:rsidRPr="00224489">
        <w:rPr>
          <w:rFonts w:ascii="Times New Roman" w:hAnsi="Times New Roman" w:cs="Times New Roman"/>
        </w:rPr>
        <w:t>A year-on-year analysis underscores a concerning trend of escalating debt financing, reaching a critical juncture. This uptick poses heightened risks to the company's liquidity position. For instance, the debt to equity ratio surged from 663.94 in 2021 to 775.15 and 770.58 in subsequent years.</w:t>
      </w:r>
      <w:r w:rsidR="00ED3D5D">
        <w:rPr>
          <w:rFonts w:ascii="Times New Roman" w:hAnsi="Times New Roman" w:cs="Times New Roman"/>
        </w:rPr>
        <w:t xml:space="preserve"> </w:t>
      </w:r>
    </w:p>
    <w:p w:rsidR="00ED3D5D" w:rsidRDefault="00ED3D5D" w:rsidP="00137D0B">
      <w:pPr>
        <w:jc w:val="both"/>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496A4E9F" wp14:editId="19CC0038">
            <wp:extent cx="3525308" cy="1923344"/>
            <wp:effectExtent l="95250" t="38100" r="37465" b="965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7047" w:rsidRDefault="00C57047" w:rsidP="00137D0B">
      <w:pPr>
        <w:jc w:val="both"/>
        <w:rPr>
          <w:rFonts w:ascii="Times New Roman" w:hAnsi="Times New Roman" w:cs="Times New Roman"/>
          <w:sz w:val="24"/>
          <w:u w:val="single"/>
        </w:rPr>
      </w:pPr>
      <w:r>
        <w:rPr>
          <w:rFonts w:ascii="Times New Roman" w:hAnsi="Times New Roman" w:cs="Times New Roman"/>
          <w:sz w:val="24"/>
          <w:u w:val="single"/>
        </w:rPr>
        <w:t>Gross Profit Margin:</w:t>
      </w:r>
    </w:p>
    <w:p w:rsidR="00C57047" w:rsidRDefault="004727EE" w:rsidP="004727EE">
      <w:pPr>
        <w:jc w:val="both"/>
        <w:rPr>
          <w:rFonts w:ascii="Times New Roman" w:hAnsi="Times New Roman" w:cs="Times New Roman"/>
        </w:rPr>
      </w:pPr>
      <w:r w:rsidRPr="004727EE">
        <w:rPr>
          <w:rFonts w:ascii="Times New Roman" w:hAnsi="Times New Roman" w:cs="Times New Roman"/>
        </w:rPr>
        <w:t xml:space="preserve">The company's Gross Profit Margin has demonstrated consistency over the years, typically ranging between 30% and 35%. While this indicates a positive gross profit, a margin of 30% is considered suboptimal; ideally, it should be closer to 50-60% for standard performance. The high cost of revenue incurred by the company appears to be the primary factor driving this lower gross profit margin. This elevated cost is consuming a significant portion of the company's revenue, consequently leading to diminished gross profits and, in some </w:t>
      </w:r>
      <w:r w:rsidR="00821FAC">
        <w:rPr>
          <w:rFonts w:ascii="Times New Roman" w:hAnsi="Times New Roman" w:cs="Times New Roman"/>
        </w:rPr>
        <w:t xml:space="preserve">cases, resulting in net losses. </w:t>
      </w:r>
      <w:r w:rsidRPr="004727EE">
        <w:rPr>
          <w:rFonts w:ascii="Times New Roman" w:hAnsi="Times New Roman" w:cs="Times New Roman"/>
        </w:rPr>
        <w:t>Examining the Gross Profit margin analysis chart reveals fluctuations between years. For instance, in 2021, the gross profit was higher compared to 2022.</w:t>
      </w:r>
      <w:r>
        <w:rPr>
          <w:rFonts w:ascii="Times New Roman" w:hAnsi="Times New Roman" w:cs="Times New Roman"/>
        </w:rPr>
        <w:t xml:space="preserve"> </w:t>
      </w:r>
      <w:r w:rsidR="009432EA">
        <w:rPr>
          <w:rFonts w:ascii="Times New Roman" w:hAnsi="Times New Roman" w:cs="Times New Roman"/>
        </w:rPr>
        <w:t xml:space="preserve">This increase was due </w:t>
      </w:r>
      <w:r w:rsidR="009E6CCE">
        <w:rPr>
          <w:rFonts w:ascii="Times New Roman" w:hAnsi="Times New Roman" w:cs="Times New Roman"/>
        </w:rPr>
        <w:t xml:space="preserve">to different segment activities, like increase in PDS cost of revenue and MS cost of </w:t>
      </w:r>
      <w:proofErr w:type="spellStart"/>
      <w:r w:rsidR="009E6CCE">
        <w:rPr>
          <w:rFonts w:ascii="Times New Roman" w:hAnsi="Times New Roman" w:cs="Times New Roman"/>
        </w:rPr>
        <w:t>revnue</w:t>
      </w:r>
      <w:proofErr w:type="spellEnd"/>
      <w:r w:rsidR="009E6CCE">
        <w:rPr>
          <w:rFonts w:ascii="Times New Roman" w:hAnsi="Times New Roman" w:cs="Times New Roman"/>
        </w:rPr>
        <w:t>.</w:t>
      </w:r>
      <w:r w:rsidR="00FD379E">
        <w:rPr>
          <w:rFonts w:ascii="Times New Roman" w:hAnsi="Times New Roman" w:cs="Times New Roman"/>
        </w:rPr>
        <w:t xml:space="preserve"> </w:t>
      </w:r>
    </w:p>
    <w:p w:rsidR="00CC1657" w:rsidRDefault="00CC1657" w:rsidP="00137D0B">
      <w:pPr>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14:anchorId="701B61E7" wp14:editId="1B6DDF1E">
            <wp:extent cx="3536950" cy="2233295"/>
            <wp:effectExtent l="95250" t="38100" r="44450" b="908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421FA" w:rsidRDefault="004B3D53" w:rsidP="00137D0B">
      <w:pPr>
        <w:jc w:val="both"/>
        <w:rPr>
          <w:rFonts w:ascii="Times New Roman" w:hAnsi="Times New Roman" w:cs="Times New Roman"/>
          <w:sz w:val="24"/>
          <w:u w:val="single"/>
        </w:rPr>
      </w:pPr>
      <w:r>
        <w:rPr>
          <w:rFonts w:ascii="Times New Roman" w:hAnsi="Times New Roman" w:cs="Times New Roman"/>
          <w:sz w:val="24"/>
          <w:u w:val="single"/>
        </w:rPr>
        <w:t>Return on Assets:</w:t>
      </w:r>
    </w:p>
    <w:p w:rsidR="00720487" w:rsidRDefault="006F0511" w:rsidP="00137D0B">
      <w:pPr>
        <w:jc w:val="both"/>
        <w:rPr>
          <w:rFonts w:ascii="Times New Roman" w:hAnsi="Times New Roman" w:cs="Times New Roman"/>
          <w:sz w:val="24"/>
        </w:rPr>
      </w:pPr>
      <w:r w:rsidRPr="006F0511">
        <w:rPr>
          <w:rFonts w:ascii="Times New Roman" w:hAnsi="Times New Roman" w:cs="Times New Roman"/>
          <w:sz w:val="24"/>
        </w:rPr>
        <w:t xml:space="preserve">When examining the return on assets to assess how effectively assets generate returns, we observe negative figures due to consistent net losses over the past three years. Various factors such as high revenue costs, operating expenses, and notably, interest expenses contribute to these losses. Consequently, the negative net income has resulted in a negative return on assets, exacerbating the company's situation. Additionally, the company's asset value has been steadily decreasing, from $2.3 billion in 2021 to $1.6 billion in 2023. A closer examination of the financial statements reveals a declining trend in goodwill and a significant decrease in cash and cash equivalents in 2022. This </w:t>
      </w:r>
      <w:r w:rsidRPr="006F0511">
        <w:rPr>
          <w:rFonts w:ascii="Times New Roman" w:hAnsi="Times New Roman" w:cs="Times New Roman"/>
          <w:sz w:val="24"/>
        </w:rPr>
        <w:lastRenderedPageBreak/>
        <w:t>decline may be attributed to substantial interest payments and escalating expenses that the company must regularly cover.</w:t>
      </w:r>
    </w:p>
    <w:p w:rsidR="004C7C7F" w:rsidRDefault="00720487" w:rsidP="00137D0B">
      <w:pPr>
        <w:jc w:val="both"/>
        <w:rPr>
          <w:rFonts w:ascii="Times New Roman" w:hAnsi="Times New Roman" w:cs="Times New Roman"/>
        </w:rPr>
      </w:pPr>
      <w:r>
        <w:rPr>
          <w:rFonts w:ascii="Times New Roman" w:hAnsi="Times New Roman" w:cs="Times New Roman"/>
        </w:rPr>
        <w:t xml:space="preserve">                       </w:t>
      </w:r>
      <w:r w:rsidR="004C7C7F">
        <w:rPr>
          <w:rFonts w:ascii="Times New Roman" w:hAnsi="Times New Roman" w:cs="Times New Roman"/>
        </w:rPr>
        <w:t xml:space="preserve">     </w:t>
      </w:r>
      <w:r>
        <w:rPr>
          <w:noProof/>
        </w:rPr>
        <w:drawing>
          <wp:inline distT="0" distB="0" distL="0" distR="0" wp14:anchorId="4D48AA99" wp14:editId="14F6BA73">
            <wp:extent cx="3503083" cy="2008011"/>
            <wp:effectExtent l="95250" t="38100" r="40640" b="876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1074" w:rsidRPr="00BB1EEB" w:rsidRDefault="00271074" w:rsidP="00137D0B">
      <w:pPr>
        <w:jc w:val="both"/>
        <w:rPr>
          <w:rFonts w:ascii="Times New Roman" w:hAnsi="Times New Roman" w:cs="Times New Roman"/>
          <w:b/>
          <w:sz w:val="28"/>
        </w:rPr>
      </w:pPr>
      <w:r w:rsidRPr="00BB1EEB">
        <w:rPr>
          <w:rFonts w:ascii="Times New Roman" w:hAnsi="Times New Roman" w:cs="Times New Roman"/>
          <w:b/>
          <w:sz w:val="28"/>
        </w:rPr>
        <w:t>Expense Trends:</w:t>
      </w:r>
    </w:p>
    <w:p w:rsidR="00BC415D" w:rsidRDefault="00BC415D" w:rsidP="00DD0953">
      <w:pPr>
        <w:jc w:val="both"/>
        <w:rPr>
          <w:rFonts w:ascii="Times New Roman" w:hAnsi="Times New Roman" w:cs="Times New Roman"/>
        </w:rPr>
      </w:pPr>
      <w:r w:rsidRPr="00BC415D">
        <w:rPr>
          <w:rFonts w:ascii="Times New Roman" w:hAnsi="Times New Roman" w:cs="Times New Roman"/>
        </w:rPr>
        <w:t>Over the past three years, the expense trend has depicted an annual rise, albeit with notable fluctuations. Particularly striking was the significant surge in goodwill impairment expenses in 2022, totaling $675,346, compared to $117,702 in 2021 and $105,136 in 2023, indicating substantial losses in goodwill asset valuation during 2022. Depreciation and amortization amounted to $13.8 million for the fiscal year ended December 30, 2023, down from $21.3 million for the fiscal year ended December 31, 2022, marking a decrease of $7.5 million, or 35.4%. This decline primarily stemmed from the full amortization of certain intangible assets acquired in connection with Comfort Care and Accredited acquisitions, along with fewer capitalized expenses incurred in 2023, resulting in a reduction in depreciation and amortization expenses as older assets reach full depreciation.</w:t>
      </w:r>
      <w:r>
        <w:rPr>
          <w:rFonts w:ascii="Times New Roman" w:hAnsi="Times New Roman" w:cs="Times New Roman"/>
        </w:rPr>
        <w:t xml:space="preserve"> </w:t>
      </w:r>
    </w:p>
    <w:p w:rsidR="00BC415D" w:rsidRDefault="00BC415D" w:rsidP="00DD0953">
      <w:pPr>
        <w:jc w:val="both"/>
        <w:rPr>
          <w:rFonts w:ascii="Times New Roman" w:hAnsi="Times New Roman" w:cs="Times New Roman"/>
        </w:rPr>
      </w:pPr>
      <w:r w:rsidRPr="00BC415D">
        <w:rPr>
          <w:rFonts w:ascii="Times New Roman" w:hAnsi="Times New Roman" w:cs="Times New Roman"/>
        </w:rPr>
        <w:t>Acquisition-related costs encompass expenses accrued during the process of planned, finalized, or terminated acquisitions. These costs comprise various components such as investment banking fees, expenses related to legal due diligence and associated documentation, as well as expenditures linked to finance and accounting diligence and documentation, all as delineated in the Company’s consolidated statements of operations.</w:t>
      </w:r>
    </w:p>
    <w:p w:rsidR="00E93E19" w:rsidRPr="00023382" w:rsidRDefault="00BC415D" w:rsidP="00DD0953">
      <w:pPr>
        <w:jc w:val="both"/>
        <w:rPr>
          <w:rFonts w:ascii="Times New Roman" w:hAnsi="Times New Roman" w:cs="Times New Roman"/>
        </w:rPr>
      </w:pPr>
      <w:r w:rsidRPr="00BC415D">
        <w:rPr>
          <w:rFonts w:ascii="Times New Roman" w:hAnsi="Times New Roman" w:cs="Times New Roman"/>
        </w:rPr>
        <w:t>For the fiscal year concluding on December 30, 2023, the net interest expense, after deducting interest income, amounted to $152.9 million, contrasting with $107.0 million for the fiscal year ending on December 31, 2022, marking a notable increase of $45.9 million, or 42.9%. This surge in interest expense primarily stemmed from significant rises in interest rates, predominantly due to the Federal Reserve Board's upward adjustments to the U.S. federal funds rate from the onset of 2022 until the third quarter of fiscal year 2023. Moreover, interest expense for fiscal year 2023 escalated due to heightened net borrowing on the Securitization Facility, with the facility carrying an outstanding balance of $155.0 million as of December 30, 2023, compared to $140.0 million as of December 31, 2022.</w:t>
      </w:r>
      <w:r w:rsidR="00E93E19">
        <w:rPr>
          <w:rFonts w:ascii="Times New Roman" w:hAnsi="Times New Roman" w:cs="Times New Roman"/>
        </w:rPr>
        <w:t>A detailed chart is presented below to understand the Expense Trend. Blue color represents the 2023 data, Orange for 2022 and Grey for 2021.</w:t>
      </w:r>
    </w:p>
    <w:p w:rsidR="00A350D6" w:rsidRPr="00A350D6" w:rsidRDefault="00A350D6" w:rsidP="00137D0B">
      <w:pPr>
        <w:jc w:val="both"/>
        <w:rPr>
          <w:rFonts w:ascii="Times New Roman" w:hAnsi="Times New Roman" w:cs="Times New Roman"/>
        </w:rPr>
      </w:pPr>
    </w:p>
    <w:p w:rsidR="00F07C60" w:rsidRPr="00F07C60" w:rsidRDefault="00A34852" w:rsidP="00D33224">
      <w:pPr>
        <w:jc w:val="both"/>
        <w:rPr>
          <w:rFonts w:ascii="Times New Roman" w:hAnsi="Times New Roman" w:cs="Times New Roman"/>
        </w:rPr>
      </w:pPr>
      <w:r>
        <w:rPr>
          <w:noProof/>
        </w:rPr>
        <w:lastRenderedPageBreak/>
        <w:drawing>
          <wp:inline distT="0" distB="0" distL="0" distR="0" wp14:anchorId="690A29C5" wp14:editId="3F883E34">
            <wp:extent cx="5943600" cy="3802380"/>
            <wp:effectExtent l="0" t="0" r="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07C60" w:rsidRPr="00F07C60" w:rsidRDefault="00F07C60" w:rsidP="00D33224">
      <w:pPr>
        <w:jc w:val="both"/>
        <w:rPr>
          <w:rFonts w:ascii="Times New Roman" w:hAnsi="Times New Roman" w:cs="Times New Roman"/>
          <w:u w:val="single"/>
        </w:rPr>
      </w:pPr>
    </w:p>
    <w:p w:rsidR="009246D8" w:rsidRDefault="002A6EE6" w:rsidP="00D33224">
      <w:pPr>
        <w:jc w:val="both"/>
        <w:rPr>
          <w:rFonts w:ascii="Times New Roman" w:hAnsi="Times New Roman" w:cs="Times New Roman"/>
          <w:b/>
          <w:sz w:val="24"/>
        </w:rPr>
      </w:pPr>
      <w:r>
        <w:rPr>
          <w:rFonts w:ascii="Times New Roman" w:hAnsi="Times New Roman" w:cs="Times New Roman"/>
          <w:b/>
          <w:sz w:val="24"/>
        </w:rPr>
        <w:t>Conclusion:</w:t>
      </w:r>
    </w:p>
    <w:p w:rsidR="003C4709" w:rsidRDefault="005E05FA" w:rsidP="00A83AE6">
      <w:pPr>
        <w:jc w:val="both"/>
        <w:rPr>
          <w:rFonts w:ascii="Times New Roman" w:hAnsi="Times New Roman" w:cs="Times New Roman"/>
          <w:sz w:val="24"/>
        </w:rPr>
      </w:pPr>
      <w:r w:rsidRPr="005E05FA">
        <w:rPr>
          <w:rFonts w:ascii="Times New Roman" w:hAnsi="Times New Roman" w:cs="Times New Roman"/>
          <w:sz w:val="24"/>
        </w:rPr>
        <w:t>Aveanna Healthcare is confronting significant challenges in recent years. Upon analyzing the past three years, a prominent issue that emerges is the recurring net losses. The company's long-term sustainability is jeopardized by this persistent financial downturn. One contributing factor to these losses is the elevated cost of revenue, which absorbs a substantial portion of the company's earnings. Furthermore, a noteworthy reason behind this concerning scenario is the increased reliance on debt financing. This heightened level of leverage poses significant implications for investors. For instance, it may hinder the company's ability to meet obligations on Senior Secured Credit Facilities and could potentially restrict access to borrowings under the Revolving Credit Facility. Additionally, it exposes Aveanna Healthcare to various risks, including economic downturns, inflation, and market volatility. The heightened borrowing also exposes the company to the risk of rising interest rates, particularly for variable-rate borrowings under the Senior Secured Credit Facilities, necessitating a substantial portion of cash flow from operations to service indebtedness, thereby limiting the ability to fund working capital and other expenses. Moreover, it may impede the company's ability to refinance existing debts or borrow additional funds for various purposes, such as working capital, acquisitions, or debt service requirements. This restricted financial flexibility hampers the company's capacity to adapt to changes in its business environment, placing it at a competitive disadvantage compared to less leveraged competitors.</w:t>
      </w:r>
    </w:p>
    <w:p w:rsidR="0027247E" w:rsidRDefault="003C4709" w:rsidP="003C4709">
      <w:pPr>
        <w:jc w:val="both"/>
        <w:rPr>
          <w:rFonts w:ascii="Times New Roman" w:hAnsi="Times New Roman" w:cs="Times New Roman"/>
          <w:sz w:val="24"/>
        </w:rPr>
      </w:pPr>
      <w:r w:rsidRPr="003C4709">
        <w:rPr>
          <w:rFonts w:ascii="Times New Roman" w:hAnsi="Times New Roman" w:cs="Times New Roman"/>
          <w:sz w:val="24"/>
        </w:rPr>
        <w:lastRenderedPageBreak/>
        <w:t>The company is experiencing a downward trend in its asset base, with assets diminishing annually while liabilities are on the rise. This scenario could pose challenges in meeting both short and long-term obligations in the future. The underlying cause of this unfavorable situation is attributed to poor management practices and unsuccessful policies, exacerbating the company's financial condition. Despite efforts to enhance its cash and cash equivalents, these measures may not prove adequate to address the broader financial challenges faced by Aveanna Healthcare.</w:t>
      </w:r>
    </w:p>
    <w:p w:rsidR="00023F6F" w:rsidRDefault="00023F6F" w:rsidP="003C4709">
      <w:pPr>
        <w:jc w:val="both"/>
        <w:rPr>
          <w:rFonts w:ascii="Times New Roman" w:hAnsi="Times New Roman" w:cs="Times New Roman"/>
          <w:sz w:val="24"/>
        </w:rPr>
      </w:pPr>
    </w:p>
    <w:p w:rsidR="00023F6F" w:rsidRDefault="00023F6F" w:rsidP="003C4709">
      <w:pPr>
        <w:jc w:val="both"/>
        <w:rPr>
          <w:rFonts w:ascii="Times New Roman" w:hAnsi="Times New Roman" w:cs="Times New Roman"/>
          <w:b/>
          <w:sz w:val="24"/>
        </w:rPr>
      </w:pPr>
      <w:r>
        <w:rPr>
          <w:rFonts w:ascii="Times New Roman" w:hAnsi="Times New Roman" w:cs="Times New Roman"/>
          <w:b/>
          <w:sz w:val="24"/>
        </w:rPr>
        <w:t>Recommendations:</w:t>
      </w:r>
    </w:p>
    <w:p w:rsidR="00023F6F" w:rsidRPr="00023F6F" w:rsidRDefault="00023F6F" w:rsidP="00023F6F">
      <w:pPr>
        <w:jc w:val="both"/>
        <w:rPr>
          <w:rFonts w:ascii="Times New Roman" w:hAnsi="Times New Roman" w:cs="Times New Roman"/>
          <w:sz w:val="24"/>
        </w:rPr>
      </w:pPr>
      <w:r w:rsidRPr="00023F6F">
        <w:rPr>
          <w:rFonts w:ascii="Times New Roman" w:hAnsi="Times New Roman" w:cs="Times New Roman"/>
          <w:sz w:val="24"/>
        </w:rPr>
        <w:t>Based on the challenges outlined for Aveanna Healthcare, several recommendations can be proposed to address these issues and improve the company's financial stability:</w:t>
      </w:r>
    </w:p>
    <w:p w:rsidR="00023F6F" w:rsidRPr="00023F6F" w:rsidRDefault="00023F6F" w:rsidP="00023F6F">
      <w:pPr>
        <w:jc w:val="both"/>
        <w:rPr>
          <w:rFonts w:ascii="Times New Roman" w:hAnsi="Times New Roman" w:cs="Times New Roman"/>
          <w:sz w:val="24"/>
        </w:rPr>
      </w:pPr>
    </w:p>
    <w:p w:rsidR="00023F6F" w:rsidRDefault="00023F6F" w:rsidP="00023F6F">
      <w:pPr>
        <w:pStyle w:val="ListParagraph"/>
        <w:numPr>
          <w:ilvl w:val="0"/>
          <w:numId w:val="1"/>
        </w:numPr>
        <w:jc w:val="both"/>
        <w:rPr>
          <w:rFonts w:ascii="Times New Roman" w:hAnsi="Times New Roman" w:cs="Times New Roman"/>
          <w:sz w:val="24"/>
        </w:rPr>
      </w:pPr>
      <w:r w:rsidRPr="00023F6F">
        <w:rPr>
          <w:rFonts w:ascii="Times New Roman" w:hAnsi="Times New Roman" w:cs="Times New Roman"/>
          <w:b/>
          <w:sz w:val="24"/>
        </w:rPr>
        <w:t>Cost Management</w:t>
      </w:r>
      <w:r w:rsidRPr="00023F6F">
        <w:rPr>
          <w:rFonts w:ascii="Times New Roman" w:hAnsi="Times New Roman" w:cs="Times New Roman"/>
          <w:sz w:val="24"/>
        </w:rPr>
        <w:t>:</w:t>
      </w:r>
    </w:p>
    <w:p w:rsidR="00023F6F" w:rsidRPr="00023F6F" w:rsidRDefault="00023F6F" w:rsidP="00023F6F">
      <w:pPr>
        <w:pStyle w:val="ListParagraph"/>
        <w:jc w:val="both"/>
        <w:rPr>
          <w:rFonts w:ascii="Times New Roman" w:hAnsi="Times New Roman" w:cs="Times New Roman"/>
          <w:sz w:val="24"/>
        </w:rPr>
      </w:pPr>
      <w:r w:rsidRPr="00023F6F">
        <w:rPr>
          <w:rFonts w:ascii="Times New Roman" w:hAnsi="Times New Roman" w:cs="Times New Roman"/>
          <w:sz w:val="24"/>
        </w:rPr>
        <w:t xml:space="preserve"> Implement rigorous cost management strategies to mitigate the impact of elevated cost of revenue. This may involve identifying areas of inefficiency, renegotiating contracts with suppliers, and streamlining operational processes to optimize resource utilization.</w:t>
      </w:r>
    </w:p>
    <w:p w:rsidR="00023F6F" w:rsidRPr="00023F6F" w:rsidRDefault="00023F6F" w:rsidP="00023F6F">
      <w:pPr>
        <w:jc w:val="both"/>
        <w:rPr>
          <w:rFonts w:ascii="Times New Roman" w:hAnsi="Times New Roman" w:cs="Times New Roman"/>
          <w:sz w:val="24"/>
        </w:rPr>
      </w:pPr>
    </w:p>
    <w:p w:rsidR="00AE4D71" w:rsidRDefault="00023F6F" w:rsidP="00AE4D71">
      <w:pPr>
        <w:pStyle w:val="ListParagraph"/>
        <w:numPr>
          <w:ilvl w:val="0"/>
          <w:numId w:val="1"/>
        </w:numPr>
        <w:jc w:val="both"/>
        <w:rPr>
          <w:rFonts w:ascii="Times New Roman" w:hAnsi="Times New Roman" w:cs="Times New Roman"/>
          <w:sz w:val="24"/>
        </w:rPr>
      </w:pPr>
      <w:r w:rsidRPr="00AE4D71">
        <w:rPr>
          <w:rFonts w:ascii="Times New Roman" w:hAnsi="Times New Roman" w:cs="Times New Roman"/>
          <w:b/>
          <w:sz w:val="24"/>
        </w:rPr>
        <w:t>Diversification of Revenue Streams</w:t>
      </w:r>
      <w:r w:rsidRPr="00AE4D71">
        <w:rPr>
          <w:rFonts w:ascii="Times New Roman" w:hAnsi="Times New Roman" w:cs="Times New Roman"/>
          <w:sz w:val="24"/>
        </w:rPr>
        <w:t xml:space="preserve">: </w:t>
      </w:r>
    </w:p>
    <w:p w:rsidR="00023F6F" w:rsidRPr="00AE4D71" w:rsidRDefault="00023F6F" w:rsidP="00AE4D71">
      <w:pPr>
        <w:pStyle w:val="ListParagraph"/>
        <w:jc w:val="both"/>
        <w:rPr>
          <w:rFonts w:ascii="Times New Roman" w:hAnsi="Times New Roman" w:cs="Times New Roman"/>
          <w:sz w:val="24"/>
        </w:rPr>
      </w:pPr>
      <w:r w:rsidRPr="00AE4D71">
        <w:rPr>
          <w:rFonts w:ascii="Times New Roman" w:hAnsi="Times New Roman" w:cs="Times New Roman"/>
          <w:sz w:val="24"/>
        </w:rPr>
        <w:t>Reduce reliance on debt financing by diversifying revenue streams and exploring alternative sources of funding. This could involve expanding service offerings, entering new markets, or exploring partnerships and collaborations</w:t>
      </w:r>
      <w:r w:rsidR="00AE4D71">
        <w:rPr>
          <w:rFonts w:ascii="Times New Roman" w:hAnsi="Times New Roman" w:cs="Times New Roman"/>
          <w:sz w:val="24"/>
        </w:rPr>
        <w:t xml:space="preserve"> with other healthcare businesses</w:t>
      </w:r>
      <w:r w:rsidRPr="00AE4D71">
        <w:rPr>
          <w:rFonts w:ascii="Times New Roman" w:hAnsi="Times New Roman" w:cs="Times New Roman"/>
          <w:sz w:val="24"/>
        </w:rPr>
        <w:t xml:space="preserve"> to generate additional income streams.</w:t>
      </w:r>
    </w:p>
    <w:p w:rsidR="00023F6F" w:rsidRPr="00023F6F" w:rsidRDefault="00023F6F" w:rsidP="00023F6F">
      <w:pPr>
        <w:jc w:val="both"/>
        <w:rPr>
          <w:rFonts w:ascii="Times New Roman" w:hAnsi="Times New Roman" w:cs="Times New Roman"/>
          <w:sz w:val="24"/>
        </w:rPr>
      </w:pPr>
    </w:p>
    <w:p w:rsidR="001D69A4" w:rsidRDefault="00023F6F" w:rsidP="001D69A4">
      <w:pPr>
        <w:pStyle w:val="ListParagraph"/>
        <w:numPr>
          <w:ilvl w:val="0"/>
          <w:numId w:val="1"/>
        </w:numPr>
        <w:jc w:val="both"/>
        <w:rPr>
          <w:rFonts w:ascii="Times New Roman" w:hAnsi="Times New Roman" w:cs="Times New Roman"/>
          <w:sz w:val="24"/>
        </w:rPr>
      </w:pPr>
      <w:r w:rsidRPr="001D69A4">
        <w:rPr>
          <w:rFonts w:ascii="Times New Roman" w:hAnsi="Times New Roman" w:cs="Times New Roman"/>
          <w:b/>
          <w:sz w:val="24"/>
        </w:rPr>
        <w:t>Debt Management</w:t>
      </w:r>
      <w:r w:rsidRPr="001D69A4">
        <w:rPr>
          <w:rFonts w:ascii="Times New Roman" w:hAnsi="Times New Roman" w:cs="Times New Roman"/>
          <w:sz w:val="24"/>
        </w:rPr>
        <w:t xml:space="preserve">: </w:t>
      </w:r>
    </w:p>
    <w:p w:rsidR="00023F6F" w:rsidRPr="001D69A4" w:rsidRDefault="00023F6F" w:rsidP="001D69A4">
      <w:pPr>
        <w:pStyle w:val="ListParagraph"/>
        <w:jc w:val="both"/>
        <w:rPr>
          <w:rFonts w:ascii="Times New Roman" w:hAnsi="Times New Roman" w:cs="Times New Roman"/>
          <w:sz w:val="24"/>
        </w:rPr>
      </w:pPr>
      <w:r w:rsidRPr="001D69A4">
        <w:rPr>
          <w:rFonts w:ascii="Times New Roman" w:hAnsi="Times New Roman" w:cs="Times New Roman"/>
          <w:sz w:val="24"/>
        </w:rPr>
        <w:t>Develop a comprehensive debt management plan to reduce the company's reliance on debt financing and minimize associated risks. This may include refinancing existing debts at more favorable terms, restructuring debt obligations, and actively managing debt levels to ensure they are sustainable in the long term.</w:t>
      </w:r>
    </w:p>
    <w:p w:rsidR="00023F6F" w:rsidRPr="00023F6F" w:rsidRDefault="00023F6F" w:rsidP="00023F6F">
      <w:pPr>
        <w:jc w:val="both"/>
        <w:rPr>
          <w:rFonts w:ascii="Times New Roman" w:hAnsi="Times New Roman" w:cs="Times New Roman"/>
          <w:sz w:val="24"/>
        </w:rPr>
      </w:pPr>
    </w:p>
    <w:p w:rsidR="00A61F08" w:rsidRDefault="00A61F08" w:rsidP="00A61F08">
      <w:pPr>
        <w:pStyle w:val="ListParagraph"/>
        <w:numPr>
          <w:ilvl w:val="0"/>
          <w:numId w:val="1"/>
        </w:numPr>
        <w:jc w:val="both"/>
        <w:rPr>
          <w:rFonts w:ascii="Times New Roman" w:hAnsi="Times New Roman" w:cs="Times New Roman"/>
          <w:sz w:val="24"/>
        </w:rPr>
      </w:pPr>
      <w:r w:rsidRPr="00A61F08">
        <w:rPr>
          <w:rFonts w:ascii="Times New Roman" w:hAnsi="Times New Roman" w:cs="Times New Roman"/>
          <w:sz w:val="24"/>
        </w:rPr>
        <w:t xml:space="preserve"> </w:t>
      </w:r>
      <w:r w:rsidR="00023F6F" w:rsidRPr="00A61F08">
        <w:rPr>
          <w:rFonts w:ascii="Times New Roman" w:hAnsi="Times New Roman" w:cs="Times New Roman"/>
          <w:b/>
          <w:sz w:val="24"/>
        </w:rPr>
        <w:t>Management and Governance</w:t>
      </w:r>
      <w:r w:rsidR="00023F6F" w:rsidRPr="00A61F08">
        <w:rPr>
          <w:rFonts w:ascii="Times New Roman" w:hAnsi="Times New Roman" w:cs="Times New Roman"/>
          <w:sz w:val="24"/>
        </w:rPr>
        <w:t xml:space="preserve">: </w:t>
      </w:r>
    </w:p>
    <w:p w:rsidR="00023F6F" w:rsidRDefault="00023F6F" w:rsidP="00A61F08">
      <w:pPr>
        <w:pStyle w:val="ListParagraph"/>
        <w:jc w:val="both"/>
        <w:rPr>
          <w:rFonts w:ascii="Times New Roman" w:hAnsi="Times New Roman" w:cs="Times New Roman"/>
          <w:sz w:val="24"/>
        </w:rPr>
      </w:pPr>
      <w:r w:rsidRPr="00A61F08">
        <w:rPr>
          <w:rFonts w:ascii="Times New Roman" w:hAnsi="Times New Roman" w:cs="Times New Roman"/>
          <w:sz w:val="24"/>
        </w:rPr>
        <w:t>Address underlying issues related to poor management practices and unsuccessful policies by enhancing corporate governance mechanisms and implementing measures to improve management effectiveness. This could involve restructuring management teams, enhancing accountability and transparency, and fostering a culture of continuous improvement and innovation.</w:t>
      </w:r>
    </w:p>
    <w:p w:rsidR="00B65B8C" w:rsidRDefault="00B65B8C" w:rsidP="00A61F08">
      <w:pPr>
        <w:pStyle w:val="ListParagraph"/>
        <w:jc w:val="both"/>
        <w:rPr>
          <w:rFonts w:ascii="Times New Roman" w:hAnsi="Times New Roman" w:cs="Times New Roman"/>
          <w:sz w:val="24"/>
        </w:rPr>
      </w:pPr>
    </w:p>
    <w:p w:rsidR="00B65B8C" w:rsidRPr="00A61F08" w:rsidRDefault="00B65B8C" w:rsidP="00A61F08">
      <w:pPr>
        <w:pStyle w:val="ListParagraph"/>
        <w:jc w:val="both"/>
        <w:rPr>
          <w:rFonts w:ascii="Times New Roman" w:hAnsi="Times New Roman" w:cs="Times New Roman"/>
          <w:sz w:val="24"/>
        </w:rPr>
      </w:pPr>
      <w:r>
        <w:rPr>
          <w:rFonts w:ascii="Times New Roman" w:hAnsi="Times New Roman" w:cs="Times New Roman"/>
          <w:sz w:val="24"/>
        </w:rPr>
        <w:t xml:space="preserve">According to my Opinion, by implementing </w:t>
      </w:r>
      <w:r w:rsidR="003B5A05">
        <w:rPr>
          <w:rFonts w:ascii="Times New Roman" w:hAnsi="Times New Roman" w:cs="Times New Roman"/>
          <w:sz w:val="24"/>
        </w:rPr>
        <w:t>at least above corrective measures Aveanna Healthcare can improve its profits and reduce losses.</w:t>
      </w:r>
      <w:bookmarkStart w:id="0" w:name="_GoBack"/>
      <w:bookmarkEnd w:id="0"/>
    </w:p>
    <w:p w:rsidR="00023F6F" w:rsidRPr="00023F6F" w:rsidRDefault="00023F6F" w:rsidP="00023F6F">
      <w:pPr>
        <w:jc w:val="both"/>
        <w:rPr>
          <w:rFonts w:ascii="Times New Roman" w:hAnsi="Times New Roman" w:cs="Times New Roman"/>
          <w:sz w:val="24"/>
        </w:rPr>
      </w:pPr>
    </w:p>
    <w:p w:rsidR="00023F6F" w:rsidRPr="00023F6F" w:rsidRDefault="00023F6F" w:rsidP="00023F6F">
      <w:pPr>
        <w:jc w:val="both"/>
        <w:rPr>
          <w:rFonts w:ascii="Times New Roman" w:hAnsi="Times New Roman" w:cs="Times New Roman"/>
          <w:sz w:val="24"/>
        </w:rPr>
      </w:pPr>
    </w:p>
    <w:p w:rsidR="00023F6F" w:rsidRPr="00023F6F" w:rsidRDefault="00023F6F" w:rsidP="00023F6F">
      <w:pPr>
        <w:jc w:val="both"/>
        <w:rPr>
          <w:rFonts w:ascii="Times New Roman" w:hAnsi="Times New Roman" w:cs="Times New Roman"/>
          <w:sz w:val="24"/>
        </w:rPr>
      </w:pPr>
    </w:p>
    <w:sectPr w:rsidR="00023F6F" w:rsidRPr="00023F6F" w:rsidSect="00B91DC7">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355A8"/>
    <w:multiLevelType w:val="hybridMultilevel"/>
    <w:tmpl w:val="553A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C"/>
    <w:rsid w:val="00023382"/>
    <w:rsid w:val="00023F6F"/>
    <w:rsid w:val="00056CA3"/>
    <w:rsid w:val="00137D0B"/>
    <w:rsid w:val="00152BE7"/>
    <w:rsid w:val="00193E81"/>
    <w:rsid w:val="001B5E6A"/>
    <w:rsid w:val="001C26D7"/>
    <w:rsid w:val="001D0F6B"/>
    <w:rsid w:val="001D69A4"/>
    <w:rsid w:val="001E4952"/>
    <w:rsid w:val="001E7AE5"/>
    <w:rsid w:val="00224489"/>
    <w:rsid w:val="00224997"/>
    <w:rsid w:val="00271074"/>
    <w:rsid w:val="0027247E"/>
    <w:rsid w:val="002A1154"/>
    <w:rsid w:val="002A1224"/>
    <w:rsid w:val="002A6EE6"/>
    <w:rsid w:val="002D3BDF"/>
    <w:rsid w:val="00334857"/>
    <w:rsid w:val="00334CEC"/>
    <w:rsid w:val="00355C9F"/>
    <w:rsid w:val="00371079"/>
    <w:rsid w:val="003B5A05"/>
    <w:rsid w:val="003C4709"/>
    <w:rsid w:val="003D5601"/>
    <w:rsid w:val="00457865"/>
    <w:rsid w:val="004727EE"/>
    <w:rsid w:val="00474762"/>
    <w:rsid w:val="004B3D53"/>
    <w:rsid w:val="004C4F93"/>
    <w:rsid w:val="004C7C7F"/>
    <w:rsid w:val="004D2F38"/>
    <w:rsid w:val="005421FA"/>
    <w:rsid w:val="00593341"/>
    <w:rsid w:val="005A660E"/>
    <w:rsid w:val="005C09B6"/>
    <w:rsid w:val="005C6E0C"/>
    <w:rsid w:val="005E05FA"/>
    <w:rsid w:val="00612A6F"/>
    <w:rsid w:val="00614327"/>
    <w:rsid w:val="00616D6E"/>
    <w:rsid w:val="00647123"/>
    <w:rsid w:val="00654140"/>
    <w:rsid w:val="00681EAC"/>
    <w:rsid w:val="0069530F"/>
    <w:rsid w:val="006A0F97"/>
    <w:rsid w:val="006C54D8"/>
    <w:rsid w:val="006F0511"/>
    <w:rsid w:val="007015AB"/>
    <w:rsid w:val="00720487"/>
    <w:rsid w:val="00723D50"/>
    <w:rsid w:val="0073644E"/>
    <w:rsid w:val="007461AC"/>
    <w:rsid w:val="00767C35"/>
    <w:rsid w:val="0078639C"/>
    <w:rsid w:val="007A7501"/>
    <w:rsid w:val="007D42B1"/>
    <w:rsid w:val="007E09A5"/>
    <w:rsid w:val="007F60EB"/>
    <w:rsid w:val="00814826"/>
    <w:rsid w:val="00821809"/>
    <w:rsid w:val="00821FAC"/>
    <w:rsid w:val="008540AC"/>
    <w:rsid w:val="00877055"/>
    <w:rsid w:val="00884609"/>
    <w:rsid w:val="009246D8"/>
    <w:rsid w:val="00924D2C"/>
    <w:rsid w:val="00927474"/>
    <w:rsid w:val="009432EA"/>
    <w:rsid w:val="0094709F"/>
    <w:rsid w:val="009E6CCE"/>
    <w:rsid w:val="00A12A37"/>
    <w:rsid w:val="00A34487"/>
    <w:rsid w:val="00A34852"/>
    <w:rsid w:val="00A350D6"/>
    <w:rsid w:val="00A55569"/>
    <w:rsid w:val="00A61F08"/>
    <w:rsid w:val="00A83AE6"/>
    <w:rsid w:val="00AA7D68"/>
    <w:rsid w:val="00AB6318"/>
    <w:rsid w:val="00AB685D"/>
    <w:rsid w:val="00AB6D80"/>
    <w:rsid w:val="00AE4D71"/>
    <w:rsid w:val="00AF02F8"/>
    <w:rsid w:val="00B25BC2"/>
    <w:rsid w:val="00B3660A"/>
    <w:rsid w:val="00B65B8C"/>
    <w:rsid w:val="00B91DC7"/>
    <w:rsid w:val="00BB1EEB"/>
    <w:rsid w:val="00BC2C8F"/>
    <w:rsid w:val="00BC415D"/>
    <w:rsid w:val="00BF237D"/>
    <w:rsid w:val="00C02C8C"/>
    <w:rsid w:val="00C57047"/>
    <w:rsid w:val="00CB6334"/>
    <w:rsid w:val="00CC1657"/>
    <w:rsid w:val="00CD21DD"/>
    <w:rsid w:val="00CF3EF0"/>
    <w:rsid w:val="00D33224"/>
    <w:rsid w:val="00D768EC"/>
    <w:rsid w:val="00DD0953"/>
    <w:rsid w:val="00DF0DC3"/>
    <w:rsid w:val="00E4455F"/>
    <w:rsid w:val="00E852A3"/>
    <w:rsid w:val="00E85650"/>
    <w:rsid w:val="00E85D3D"/>
    <w:rsid w:val="00E93E19"/>
    <w:rsid w:val="00E95BDF"/>
    <w:rsid w:val="00E96621"/>
    <w:rsid w:val="00EA1C7F"/>
    <w:rsid w:val="00ED3D5D"/>
    <w:rsid w:val="00F02D23"/>
    <w:rsid w:val="00F07C60"/>
    <w:rsid w:val="00F44FB3"/>
    <w:rsid w:val="00F50563"/>
    <w:rsid w:val="00F648BD"/>
    <w:rsid w:val="00F86654"/>
    <w:rsid w:val="00FB24DF"/>
    <w:rsid w:val="00FD379E"/>
    <w:rsid w:val="00FF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4EA76-092D-474E-9BF0-F1AF3287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MLS\Desktop\AVEANNA%20ANALYSIS2%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MLS\Desktop\AVEANNA%20ANALYSIS2%20(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MLS\Desktop\AVEANNA%20ANALYSIS2%20(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MLS\Desktop\AVEANNA%20ANALYSIS2%20(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MLS\Desktop\AVEANNA%20ANALYSIS2%20(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MLS\Desktop\AVEANNA%20ANALYSIS2%20(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MLS\AppData\Roaming\Microsoft\Excel\AVEANNA%20ANALYSIS2%20(Recovered)%20(version%201).xlsb"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ROI</a:t>
            </a:r>
          </a:p>
        </c:rich>
      </c:tx>
      <c:layout>
        <c:manualLayout>
          <c:xMode val="edge"/>
          <c:yMode val="edge"/>
          <c:x val="0.4287012262633631"/>
          <c:y val="2.658789392477091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GRAPHS!$E$6</c:f>
              <c:strCache>
                <c:ptCount val="1"/>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GRAPHS!$D$8:$D$10</c:f>
              <c:numCache>
                <c:formatCode>yyyy</c:formatCode>
                <c:ptCount val="3"/>
                <c:pt idx="0">
                  <c:v>45291</c:v>
                </c:pt>
                <c:pt idx="1">
                  <c:v>44926</c:v>
                </c:pt>
                <c:pt idx="2">
                  <c:v>44561</c:v>
                </c:pt>
              </c:numCache>
            </c:numRef>
          </c:cat>
          <c:val>
            <c:numRef>
              <c:f>GRAPHS!$E$8:$E$10</c:f>
              <c:numCache>
                <c:formatCode>0.0</c:formatCode>
                <c:ptCount val="3"/>
                <c:pt idx="0">
                  <c:v>-70.529951339922533</c:v>
                </c:pt>
                <c:pt idx="1">
                  <c:v>-350.54375041846657</c:v>
                </c:pt>
                <c:pt idx="2">
                  <c:v>-82.467059537660248</c:v>
                </c:pt>
              </c:numCache>
            </c:numRef>
          </c:val>
          <c:smooth val="0"/>
        </c:ser>
        <c:dLbls>
          <c:dLblPos val="b"/>
          <c:showLegendKey val="0"/>
          <c:showVal val="1"/>
          <c:showCatName val="0"/>
          <c:showSerName val="0"/>
          <c:showPercent val="0"/>
          <c:showBubbleSize val="0"/>
        </c:dLbls>
        <c:smooth val="0"/>
        <c:axId val="-1794089888"/>
        <c:axId val="-1794094240"/>
      </c:lineChart>
      <c:dateAx>
        <c:axId val="-1794089888"/>
        <c:scaling>
          <c:orientation val="minMax"/>
        </c:scaling>
        <c:delete val="0"/>
        <c:axPos val="b"/>
        <c:numFmt formatCode="yyyy"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94240"/>
        <c:crosses val="autoZero"/>
        <c:auto val="1"/>
        <c:lblOffset val="100"/>
        <c:baseTimeUnit val="years"/>
      </c:dateAx>
      <c:valAx>
        <c:axId val="-1794094240"/>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898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8100000" algn="tr"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NP Margin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GRAPHS!$E$19</c:f>
              <c:strCache>
                <c:ptCount val="1"/>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GRAPHS!$D$21:$D$23</c:f>
              <c:numCache>
                <c:formatCode>yyyy</c:formatCode>
                <c:ptCount val="3"/>
                <c:pt idx="0">
                  <c:v>45291</c:v>
                </c:pt>
                <c:pt idx="1">
                  <c:v>44926</c:v>
                </c:pt>
                <c:pt idx="2">
                  <c:v>44561</c:v>
                </c:pt>
              </c:numCache>
            </c:numRef>
          </c:cat>
          <c:val>
            <c:numRef>
              <c:f>GRAPHS!$E$21:$E$23</c:f>
              <c:numCache>
                <c:formatCode>0.00</c:formatCode>
                <c:ptCount val="3"/>
                <c:pt idx="0">
                  <c:v>-7.0981089684567775E-2</c:v>
                </c:pt>
                <c:pt idx="1">
                  <c:v>-0.3703386298733809</c:v>
                </c:pt>
                <c:pt idx="2">
                  <c:v>-6.9726405888653642E-2</c:v>
                </c:pt>
              </c:numCache>
            </c:numRef>
          </c:val>
          <c:smooth val="0"/>
        </c:ser>
        <c:dLbls>
          <c:dLblPos val="b"/>
          <c:showLegendKey val="0"/>
          <c:showVal val="1"/>
          <c:showCatName val="0"/>
          <c:showSerName val="0"/>
          <c:showPercent val="0"/>
          <c:showBubbleSize val="0"/>
        </c:dLbls>
        <c:smooth val="0"/>
        <c:axId val="-1794089344"/>
        <c:axId val="-1794095872"/>
      </c:lineChart>
      <c:dateAx>
        <c:axId val="-1794089344"/>
        <c:scaling>
          <c:orientation val="minMax"/>
        </c:scaling>
        <c:delete val="0"/>
        <c:axPos val="b"/>
        <c:numFmt formatCode="yyyy"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95872"/>
        <c:crosses val="autoZero"/>
        <c:auto val="1"/>
        <c:lblOffset val="100"/>
        <c:baseTimeUnit val="years"/>
      </c:dateAx>
      <c:valAx>
        <c:axId val="-179409587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893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8100000" algn="tr"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Current</a:t>
            </a:r>
            <a:r>
              <a:rPr lang="en-US" baseline="0"/>
              <a:t> Ratio</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GRAPHS!$E$33</c:f>
              <c:strCache>
                <c:ptCount val="1"/>
                <c:pt idx="0">
                  <c:v>C.R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GRAPHS!$D$34:$D$36</c:f>
              <c:numCache>
                <c:formatCode>yyyy</c:formatCode>
                <c:ptCount val="3"/>
                <c:pt idx="0">
                  <c:v>45291</c:v>
                </c:pt>
                <c:pt idx="1">
                  <c:v>44926</c:v>
                </c:pt>
                <c:pt idx="2">
                  <c:v>44561</c:v>
                </c:pt>
              </c:numCache>
            </c:numRef>
          </c:cat>
          <c:val>
            <c:numRef>
              <c:f>GRAPHS!$E$34:$E$36</c:f>
              <c:numCache>
                <c:formatCode>0.00</c:formatCode>
                <c:ptCount val="3"/>
                <c:pt idx="0">
                  <c:v>0.88760789044926403</c:v>
                </c:pt>
                <c:pt idx="1">
                  <c:v>0.82619748420353023</c:v>
                </c:pt>
                <c:pt idx="2">
                  <c:v>0.80971548381671021</c:v>
                </c:pt>
              </c:numCache>
            </c:numRef>
          </c:val>
          <c:smooth val="0"/>
        </c:ser>
        <c:dLbls>
          <c:dLblPos val="b"/>
          <c:showLegendKey val="0"/>
          <c:showVal val="1"/>
          <c:showCatName val="0"/>
          <c:showSerName val="0"/>
          <c:showPercent val="0"/>
          <c:showBubbleSize val="0"/>
        </c:dLbls>
        <c:smooth val="0"/>
        <c:axId val="-1794101856"/>
        <c:axId val="-1794101312"/>
      </c:lineChart>
      <c:dateAx>
        <c:axId val="-1794101856"/>
        <c:scaling>
          <c:orientation val="minMax"/>
        </c:scaling>
        <c:delete val="0"/>
        <c:axPos val="b"/>
        <c:numFmt formatCode="yyyy"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101312"/>
        <c:crosses val="autoZero"/>
        <c:auto val="1"/>
        <c:lblOffset val="100"/>
        <c:baseTimeUnit val="years"/>
      </c:dateAx>
      <c:valAx>
        <c:axId val="-179410131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1018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8100000" algn="tr" rotWithShape="0">
        <a:prstClr val="black">
          <a:alpha val="40000"/>
        </a:prstClr>
      </a:outerShd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Debt</a:t>
            </a:r>
            <a:r>
              <a:rPr lang="en-US" baseline="0"/>
              <a:t> to Equity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GRAPHS!$E$45</c:f>
              <c:strCache>
                <c:ptCount val="1"/>
                <c:pt idx="0">
                  <c:v>D to 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GRAPHS!$D$46:$D$48</c:f>
              <c:numCache>
                <c:formatCode>yyyy</c:formatCode>
                <c:ptCount val="3"/>
                <c:pt idx="0">
                  <c:v>45291</c:v>
                </c:pt>
                <c:pt idx="1">
                  <c:v>44926</c:v>
                </c:pt>
                <c:pt idx="2">
                  <c:v>44561</c:v>
                </c:pt>
              </c:numCache>
            </c:numRef>
          </c:cat>
          <c:val>
            <c:numRef>
              <c:f>GRAPHS!$E$46:$E$48</c:f>
              <c:numCache>
                <c:formatCode>0.00</c:formatCode>
                <c:ptCount val="3"/>
                <c:pt idx="0">
                  <c:v>770.57919762905613</c:v>
                </c:pt>
                <c:pt idx="1">
                  <c:v>775.15433259487293</c:v>
                </c:pt>
                <c:pt idx="2">
                  <c:v>663.94302050143187</c:v>
                </c:pt>
              </c:numCache>
            </c:numRef>
          </c:val>
          <c:smooth val="0"/>
        </c:ser>
        <c:dLbls>
          <c:dLblPos val="b"/>
          <c:showLegendKey val="0"/>
          <c:showVal val="1"/>
          <c:showCatName val="0"/>
          <c:showSerName val="0"/>
          <c:showPercent val="0"/>
          <c:showBubbleSize val="0"/>
        </c:dLbls>
        <c:smooth val="0"/>
        <c:axId val="-1794092064"/>
        <c:axId val="-1794098592"/>
      </c:lineChart>
      <c:dateAx>
        <c:axId val="-1794092064"/>
        <c:scaling>
          <c:orientation val="minMax"/>
        </c:scaling>
        <c:delete val="0"/>
        <c:axPos val="b"/>
        <c:numFmt formatCode="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98592"/>
        <c:crosses val="autoZero"/>
        <c:auto val="1"/>
        <c:lblOffset val="100"/>
        <c:baseTimeUnit val="years"/>
      </c:dateAx>
      <c:valAx>
        <c:axId val="-179409859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92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8100000" algn="tr" rotWithShape="0">
        <a:prstClr val="black">
          <a:alpha val="40000"/>
        </a:prstClr>
      </a:outerShdw>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GRAPHS!$O$7</c:f>
              <c:strCache>
                <c:ptCount val="1"/>
                <c:pt idx="0">
                  <c:v>GP Margin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GRAPHS!$N$8:$N$10</c:f>
              <c:numCache>
                <c:formatCode>yyyy</c:formatCode>
                <c:ptCount val="3"/>
                <c:pt idx="0">
                  <c:v>45291</c:v>
                </c:pt>
                <c:pt idx="1">
                  <c:v>44926</c:v>
                </c:pt>
                <c:pt idx="2">
                  <c:v>44561</c:v>
                </c:pt>
              </c:numCache>
            </c:numRef>
          </c:cat>
          <c:val>
            <c:numRef>
              <c:f>GRAPHS!$O$8:$O$10</c:f>
              <c:numCache>
                <c:formatCode>0.000</c:formatCode>
                <c:ptCount val="3"/>
                <c:pt idx="0">
                  <c:v>0.31417748649357408</c:v>
                </c:pt>
                <c:pt idx="1">
                  <c:v>0.30947251831319977</c:v>
                </c:pt>
                <c:pt idx="2">
                  <c:v>0.32312533286310524</c:v>
                </c:pt>
              </c:numCache>
            </c:numRef>
          </c:val>
          <c:smooth val="0"/>
        </c:ser>
        <c:dLbls>
          <c:dLblPos val="b"/>
          <c:showLegendKey val="0"/>
          <c:showVal val="1"/>
          <c:showCatName val="0"/>
          <c:showSerName val="0"/>
          <c:showPercent val="0"/>
          <c:showBubbleSize val="0"/>
        </c:dLbls>
        <c:smooth val="0"/>
        <c:axId val="-1794093696"/>
        <c:axId val="-1794104576"/>
      </c:lineChart>
      <c:dateAx>
        <c:axId val="-1794093696"/>
        <c:scaling>
          <c:orientation val="minMax"/>
        </c:scaling>
        <c:delete val="0"/>
        <c:axPos val="b"/>
        <c:numFmt formatCode="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104576"/>
        <c:crosses val="autoZero"/>
        <c:auto val="1"/>
        <c:lblOffset val="100"/>
        <c:baseTimeUnit val="years"/>
      </c:dateAx>
      <c:valAx>
        <c:axId val="-1794104576"/>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940936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8100000" algn="tr" rotWithShape="0">
        <a:prstClr val="black">
          <a:alpha val="40000"/>
        </a:prstClr>
      </a:outerShdw>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GRAPHS!$O$35</c:f>
              <c:strCache>
                <c:ptCount val="1"/>
                <c:pt idx="0">
                  <c:v>ROA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GRAPHS!$N$36:$N$38</c:f>
              <c:numCache>
                <c:formatCode>yyyy</c:formatCode>
                <c:ptCount val="3"/>
                <c:pt idx="0">
                  <c:v>45291</c:v>
                </c:pt>
                <c:pt idx="1">
                  <c:v>44926</c:v>
                </c:pt>
                <c:pt idx="2">
                  <c:v>44561</c:v>
                </c:pt>
              </c:numCache>
            </c:numRef>
          </c:cat>
          <c:val>
            <c:numRef>
              <c:f>GRAPHS!$O$36:$O$38</c:f>
              <c:numCache>
                <c:formatCode>0.000</c:formatCode>
                <c:ptCount val="3"/>
                <c:pt idx="0">
                  <c:v>-8.3400651586964539E-2</c:v>
                </c:pt>
                <c:pt idx="1">
                  <c:v>-0.38675632097957657</c:v>
                </c:pt>
                <c:pt idx="2">
                  <c:v>-5.0139416570887829E-2</c:v>
                </c:pt>
              </c:numCache>
            </c:numRef>
          </c:val>
          <c:smooth val="0"/>
        </c:ser>
        <c:dLbls>
          <c:dLblPos val="b"/>
          <c:showLegendKey val="0"/>
          <c:showVal val="1"/>
          <c:showCatName val="0"/>
          <c:showSerName val="0"/>
          <c:showPercent val="0"/>
          <c:showBubbleSize val="0"/>
        </c:dLbls>
        <c:smooth val="0"/>
        <c:axId val="-1479879872"/>
        <c:axId val="-1479868448"/>
      </c:lineChart>
      <c:dateAx>
        <c:axId val="-1479879872"/>
        <c:scaling>
          <c:orientation val="minMax"/>
        </c:scaling>
        <c:delete val="0"/>
        <c:axPos val="b"/>
        <c:numFmt formatCode="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9868448"/>
        <c:crosses val="autoZero"/>
        <c:auto val="1"/>
        <c:lblOffset val="100"/>
        <c:baseTimeUnit val="years"/>
      </c:dateAx>
      <c:valAx>
        <c:axId val="-1479868448"/>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98798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8100000" algn="tr" rotWithShape="0">
        <a:prstClr val="black">
          <a:alpha val="40000"/>
        </a:prstClr>
      </a:outerShdw>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Expense</a:t>
            </a:r>
            <a:r>
              <a:rPr lang="en-US" baseline="0"/>
              <a:t> Trend Chart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chemeClr val="accent1"/>
                </a:solidFill>
                <a:prstDash val="lgDash"/>
              </a:ln>
              <a:effectLst>
                <a:outerShdw blurRad="50800" dist="50800" dir="5400000" algn="ctr" rotWithShape="0">
                  <a:srgbClr val="000000">
                    <a:alpha val="98000"/>
                  </a:srgbClr>
                </a:outerShdw>
              </a:effectLst>
            </c:spPr>
            <c:trendlineType val="linear"/>
            <c:forward val="2"/>
            <c:dispRSqr val="0"/>
            <c:dispEq val="0"/>
          </c:trendline>
          <c:cat>
            <c:strRef>
              <c:f>'RATIOS ANALYSIS'!$V$6:$V$13</c:f>
              <c:strCache>
                <c:ptCount val="8"/>
                <c:pt idx="0">
                  <c:v>Expenses</c:v>
                </c:pt>
                <c:pt idx="1">
                  <c:v>Branch and regional administrative expenses</c:v>
                </c:pt>
                <c:pt idx="2">
                  <c:v>Corporate expenses</c:v>
                </c:pt>
                <c:pt idx="3">
                  <c:v>Goodwill impairment</c:v>
                </c:pt>
                <c:pt idx="4">
                  <c:v>Depreciation and amortization</c:v>
                </c:pt>
                <c:pt idx="5">
                  <c:v>Acquisition-related costs</c:v>
                </c:pt>
                <c:pt idx="6">
                  <c:v>Other operating (income) expense</c:v>
                </c:pt>
                <c:pt idx="7">
                  <c:v>Interest Expense</c:v>
                </c:pt>
              </c:strCache>
            </c:strRef>
          </c:cat>
          <c:val>
            <c:numRef>
              <c:f>'RATIOS ANALYSIS'!$W$6:$W$13</c:f>
              <c:numCache>
                <c:formatCode>#,##0</c:formatCode>
                <c:ptCount val="8"/>
                <c:pt idx="0" formatCode="General">
                  <c:v>2023</c:v>
                </c:pt>
                <c:pt idx="1">
                  <c:v>360978</c:v>
                </c:pt>
                <c:pt idx="2">
                  <c:v>113034</c:v>
                </c:pt>
                <c:pt idx="3">
                  <c:v>105136</c:v>
                </c:pt>
                <c:pt idx="4">
                  <c:v>13778</c:v>
                </c:pt>
                <c:pt idx="5" formatCode="General">
                  <c:v>466</c:v>
                </c:pt>
                <c:pt idx="6">
                  <c:v>-6032</c:v>
                </c:pt>
                <c:pt idx="7">
                  <c:v>153246</c:v>
                </c:pt>
              </c:numCache>
            </c:numRef>
          </c:val>
          <c:smooth val="0"/>
          <c:extLst xmlns:c16r2="http://schemas.microsoft.com/office/drawing/2015/06/chart">
            <c:ext xmlns:c16="http://schemas.microsoft.com/office/drawing/2014/chart" uri="{C3380CC4-5D6E-409C-BE32-E72D297353CC}">
              <c16:uniqueId val="{00000000-9F0D-406E-9DA8-F72517086398}"/>
            </c:ext>
          </c:extLst>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2"/>
                </a:solidFill>
                <a:prstDash val="lgDash"/>
              </a:ln>
              <a:effectLst/>
            </c:spPr>
            <c:trendlineType val="linear"/>
            <c:dispRSqr val="0"/>
            <c:dispEq val="0"/>
          </c:trendline>
          <c:cat>
            <c:strRef>
              <c:f>'RATIOS ANALYSIS'!$V$6:$V$13</c:f>
              <c:strCache>
                <c:ptCount val="8"/>
                <c:pt idx="0">
                  <c:v>Expenses</c:v>
                </c:pt>
                <c:pt idx="1">
                  <c:v>Branch and regional administrative expenses</c:v>
                </c:pt>
                <c:pt idx="2">
                  <c:v>Corporate expenses</c:v>
                </c:pt>
                <c:pt idx="3">
                  <c:v>Goodwill impairment</c:v>
                </c:pt>
                <c:pt idx="4">
                  <c:v>Depreciation and amortization</c:v>
                </c:pt>
                <c:pt idx="5">
                  <c:v>Acquisition-related costs</c:v>
                </c:pt>
                <c:pt idx="6">
                  <c:v>Other operating (income) expense</c:v>
                </c:pt>
                <c:pt idx="7">
                  <c:v>Interest Expense</c:v>
                </c:pt>
              </c:strCache>
            </c:strRef>
          </c:cat>
          <c:val>
            <c:numRef>
              <c:f>'RATIOS ANALYSIS'!$X$6:$X$13</c:f>
              <c:numCache>
                <c:formatCode>#,##0</c:formatCode>
                <c:ptCount val="8"/>
                <c:pt idx="0" formatCode="General">
                  <c:v>2022</c:v>
                </c:pt>
                <c:pt idx="1">
                  <c:v>357230</c:v>
                </c:pt>
                <c:pt idx="2">
                  <c:v>137864</c:v>
                </c:pt>
                <c:pt idx="3">
                  <c:v>675346</c:v>
                </c:pt>
                <c:pt idx="4">
                  <c:v>21313</c:v>
                </c:pt>
                <c:pt idx="5" formatCode="General">
                  <c:v>99</c:v>
                </c:pt>
                <c:pt idx="6">
                  <c:v>3651</c:v>
                </c:pt>
                <c:pt idx="7">
                  <c:v>107720</c:v>
                </c:pt>
              </c:numCache>
            </c:numRef>
          </c:val>
          <c:smooth val="0"/>
          <c:extLst xmlns:c16r2="http://schemas.microsoft.com/office/drawing/2015/06/chart">
            <c:ext xmlns:c16="http://schemas.microsoft.com/office/drawing/2014/chart" uri="{C3380CC4-5D6E-409C-BE32-E72D297353CC}">
              <c16:uniqueId val="{00000001-9F0D-406E-9DA8-F72517086398}"/>
            </c:ext>
          </c:extLst>
        </c:ser>
        <c:ser>
          <c:idx val="2"/>
          <c:order val="2"/>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1"/>
              <c:layout>
                <c:manualLayout>
                  <c:x val="3.4598937577042334E-2"/>
                  <c:y val="-5.4620231423676075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9F0D-406E-9DA8-F72517086398}"/>
                </c:ext>
                <c:ext xmlns:c15="http://schemas.microsoft.com/office/drawing/2012/chart" uri="{CE6537A1-D6FC-4f65-9D91-7224C49458BB}"/>
              </c:extLst>
            </c:dLbl>
            <c:dLbl>
              <c:idx val="2"/>
              <c:layout>
                <c:manualLayout>
                  <c:x val="0"/>
                  <c:y val="4.468979651011396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9F0D-406E-9DA8-F72517086398}"/>
                </c:ext>
                <c:ext xmlns:c15="http://schemas.microsoft.com/office/drawing/2012/chart" uri="{CE6537A1-D6FC-4f65-9D91-7224C49458BB}"/>
              </c:extLst>
            </c:dLbl>
            <c:dLbl>
              <c:idx val="6"/>
              <c:layout>
                <c:manualLayout>
                  <c:x val="-4.0704632443579209E-3"/>
                  <c:y val="5.362775581213676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9F0D-406E-9DA8-F7251708639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3"/>
                </a:solidFill>
                <a:prstDash val="dash"/>
              </a:ln>
              <a:effectLst/>
            </c:spPr>
            <c:trendlineType val="linear"/>
            <c:dispRSqr val="0"/>
            <c:dispEq val="0"/>
          </c:trendline>
          <c:cat>
            <c:strRef>
              <c:f>'RATIOS ANALYSIS'!$V$6:$V$13</c:f>
              <c:strCache>
                <c:ptCount val="8"/>
                <c:pt idx="0">
                  <c:v>Expenses</c:v>
                </c:pt>
                <c:pt idx="1">
                  <c:v>Branch and regional administrative expenses</c:v>
                </c:pt>
                <c:pt idx="2">
                  <c:v>Corporate expenses</c:v>
                </c:pt>
                <c:pt idx="3">
                  <c:v>Goodwill impairment</c:v>
                </c:pt>
                <c:pt idx="4">
                  <c:v>Depreciation and amortization</c:v>
                </c:pt>
                <c:pt idx="5">
                  <c:v>Acquisition-related costs</c:v>
                </c:pt>
                <c:pt idx="6">
                  <c:v>Other operating (income) expense</c:v>
                </c:pt>
                <c:pt idx="7">
                  <c:v>Interest Expense</c:v>
                </c:pt>
              </c:strCache>
            </c:strRef>
          </c:cat>
          <c:val>
            <c:numRef>
              <c:f>'RATIOS ANALYSIS'!$Y$6:$Y$13</c:f>
              <c:numCache>
                <c:formatCode>#,##0</c:formatCode>
                <c:ptCount val="8"/>
                <c:pt idx="0" formatCode="General">
                  <c:v>2021</c:v>
                </c:pt>
                <c:pt idx="1">
                  <c:v>297381</c:v>
                </c:pt>
                <c:pt idx="2">
                  <c:v>130387</c:v>
                </c:pt>
                <c:pt idx="3">
                  <c:v>117702</c:v>
                </c:pt>
                <c:pt idx="4">
                  <c:v>20550</c:v>
                </c:pt>
                <c:pt idx="5">
                  <c:v>12832</c:v>
                </c:pt>
                <c:pt idx="6" formatCode="General">
                  <c:v>-337</c:v>
                </c:pt>
                <c:pt idx="7">
                  <c:v>68930</c:v>
                </c:pt>
              </c:numCache>
            </c:numRef>
          </c:val>
          <c:smooth val="0"/>
          <c:extLst xmlns:c16r2="http://schemas.microsoft.com/office/drawing/2015/06/chart">
            <c:ext xmlns:c16="http://schemas.microsoft.com/office/drawing/2014/chart" uri="{C3380CC4-5D6E-409C-BE32-E72D297353CC}">
              <c16:uniqueId val="{00000002-9F0D-406E-9DA8-F72517086398}"/>
            </c:ext>
          </c:extLst>
        </c:ser>
        <c:dLbls>
          <c:showLegendKey val="0"/>
          <c:showVal val="0"/>
          <c:showCatName val="0"/>
          <c:showSerName val="0"/>
          <c:showPercent val="0"/>
          <c:showBubbleSize val="0"/>
        </c:dLbls>
        <c:smooth val="0"/>
        <c:axId val="-1479879328"/>
        <c:axId val="-1479878240"/>
      </c:lineChart>
      <c:catAx>
        <c:axId val="-1479879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9878240"/>
        <c:crosses val="autoZero"/>
        <c:auto val="1"/>
        <c:lblAlgn val="ctr"/>
        <c:lblOffset val="100"/>
        <c:noMultiLvlLbl val="0"/>
      </c:catAx>
      <c:valAx>
        <c:axId val="-14798782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9879328"/>
        <c:crosses val="autoZero"/>
        <c:crossBetween val="between"/>
        <c:dispUnits>
          <c:builtInUnit val="thousands"/>
          <c:dispUnitsLbl>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7</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Mohay ud Din</dc:creator>
  <cp:keywords/>
  <dc:description/>
  <cp:lastModifiedBy>Microsoft account</cp:lastModifiedBy>
  <cp:revision>127</cp:revision>
  <dcterms:created xsi:type="dcterms:W3CDTF">2024-05-24T11:14:00Z</dcterms:created>
  <dcterms:modified xsi:type="dcterms:W3CDTF">2024-05-26T16:37:00Z</dcterms:modified>
</cp:coreProperties>
</file>