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TEMPLATE DE ARTIGO - PROF. DANIEL BARRAL</w:t>
      </w:r>
    </w:p>
    <w:p>
      <w:pPr>
        <w:spacing w:before="200" w:after="200"/>
        <w:jc w:val="center"/>
      </w:pPr>
      <w:r>
        <w:t xml:space="preserve">METADADOS DO ARTIGO</w:t>
      </w:r>
    </w:p>
    <w:p>
      <w:pPr>
        <w:spacing w:after="100"/>
      </w:pPr>
      <w:r>
        <w:rPr>
          <w:rFonts w:ascii="Times New Roman" w:cs="Times New Roman" w:eastAsia="Times New Roman" w:hAnsi="Times New Roman"/>
          <w:b/>
          <w:bCs/>
          <w:sz w:val="24"/>
          <w:szCs w:val="24"/>
        </w:rPr>
        <w:t xml:space="preserve">Título: </w:t>
      </w:r>
      <w:r>
        <w:rPr>
          <w:rFonts w:ascii="Times New Roman" w:cs="Times New Roman" w:eastAsia="Times New Roman" w:hAnsi="Times New Roman"/>
          <w:i/>
          <w:iCs/>
          <w:color w:val="2563EB"/>
          <w:sz w:val="24"/>
          <w:szCs w:val="24"/>
        </w:rPr>
        <w:t xml:space="preserve">[Digite o título do seu artigo aqui]</w:t>
      </w:r>
    </w:p>
    <w:p>
      <w:pPr>
        <w:spacing w:after="100"/>
      </w:pPr>
      <w:r>
        <w:rPr>
          <w:rFonts w:ascii="Times New Roman" w:cs="Times New Roman" w:eastAsia="Times New Roman" w:hAnsi="Times New Roman"/>
          <w:b/>
          <w:bCs/>
          <w:sz w:val="24"/>
          <w:szCs w:val="24"/>
        </w:rPr>
        <w:t xml:space="preserve">Autor: </w:t>
      </w:r>
      <w:r>
        <w:rPr>
          <w:rFonts w:ascii="Times New Roman" w:cs="Times New Roman" w:eastAsia="Times New Roman" w:hAnsi="Times New Roman"/>
          <w:i/>
          <w:iCs/>
          <w:color w:val="000000"/>
          <w:sz w:val="24"/>
          <w:szCs w:val="24"/>
        </w:rPr>
        <w:t xml:space="preserve">Prof. Daniel Barral</w:t>
      </w:r>
    </w:p>
    <w:p>
      <w:pPr>
        <w:spacing w:after="100"/>
      </w:pPr>
      <w:r>
        <w:rPr>
          <w:rFonts w:ascii="Times New Roman" w:cs="Times New Roman" w:eastAsia="Times New Roman" w:hAnsi="Times New Roman"/>
          <w:b/>
          <w:bCs/>
          <w:sz w:val="24"/>
          <w:szCs w:val="24"/>
        </w:rPr>
        <w:t xml:space="preserve">Data: </w:t>
      </w:r>
      <w:r>
        <w:rPr>
          <w:rFonts w:ascii="Times New Roman" w:cs="Times New Roman" w:eastAsia="Times New Roman" w:hAnsi="Times New Roman"/>
          <w:i/>
          <w:iCs/>
          <w:color w:val="059669"/>
          <w:sz w:val="24"/>
          <w:szCs w:val="24"/>
        </w:rPr>
        <w:t xml:space="preserve">24/01/2025</w:t>
      </w:r>
    </w:p>
    <w:p>
      <w:pPr>
        <w:spacing w:after="100"/>
      </w:pPr>
      <w:r>
        <w:rPr>
          <w:rFonts w:ascii="Times New Roman" w:cs="Times New Roman" w:eastAsia="Times New Roman" w:hAnsi="Times New Roman"/>
          <w:b/>
          <w:bCs/>
          <w:sz w:val="24"/>
          <w:szCs w:val="24"/>
        </w:rPr>
        <w:t xml:space="preserve">Tags: </w:t>
      </w:r>
      <w:r>
        <w:rPr>
          <w:rFonts w:ascii="Times New Roman" w:cs="Times New Roman" w:eastAsia="Times New Roman" w:hAnsi="Times New Roman"/>
          <w:i/>
          <w:iCs/>
          <w:color w:val="DC2626"/>
          <w:sz w:val="24"/>
          <w:szCs w:val="24"/>
        </w:rPr>
        <w:t xml:space="preserve">[Selecione 3-7 tags relevantes da lista abaixo, separadas por vírgula]</w:t>
      </w:r>
    </w:p>
    <w:p>
      <w:pPr>
        <w:spacing w:before="100" w:after="50"/>
      </w:pPr>
      <w:r>
        <w:t xml:space="preserve">Tags Disponíveis:</w:t>
      </w:r>
    </w:p>
    <w:p>
      <w:pPr>
        <w:spacing w:after="200"/>
      </w:pPr>
      <w:r>
        <w:t xml:space="preserve">Direito Administrativo, Direito Público, Licitações, Lei 14.133/2021, Nova Lei de Licitações, Contratações Públicas, Contratos Administrativos, Planejamento de Contratações, Diálogo Competitivo, Contratação Direta, Matriz de Riscos, ETP, PNCP, Sanções Administrativas, Gestão Pública, Administração Pública, Processo Licitatório, Gestão de Contratos, Fiscalização Contratual, Inovação em Contratações, Terceirização Pública</w:t>
      </w:r>
    </w:p>
    <w:p>
      <w:pPr>
        <w:spacing w:after="100"/>
      </w:pPr>
      <w:r>
        <w:rPr>
          <w:rFonts w:ascii="Times New Roman" w:cs="Times New Roman" w:eastAsia="Times New Roman" w:hAnsi="Times New Roman"/>
          <w:b/>
          <w:bCs/>
          <w:sz w:val="24"/>
          <w:szCs w:val="24"/>
        </w:rPr>
        <w:t xml:space="preserve">Resumo: </w:t>
      </w:r>
      <w:r>
        <w:rPr>
          <w:rFonts w:ascii="Times New Roman" w:cs="Times New Roman" w:eastAsia="Times New Roman" w:hAnsi="Times New Roman"/>
          <w:i/>
          <w:iCs/>
          <w:color w:val="2563EB"/>
          <w:sz w:val="24"/>
          <w:szCs w:val="24"/>
        </w:rPr>
        <w:t xml:space="preserve">[Digite um breve resumo do artigo em 1-2 frases, explicando do que se trata e qual sua relevância]</w:t>
      </w:r>
    </w:p>
    <w:p>
      <w:pPr>
        <w:spacing w:before="200" w:after="200"/>
        <w:jc w:val="center"/>
      </w:pPr>
      <w:r>
        <w:t xml:space="preserve">INÍCIO DO CONTEÚDO</w:t>
      </w:r>
    </w:p>
    <w:p>
      <w:pPr>
        <w:spacing w:before="200" w:after="400"/>
        <w:jc w:val="center"/>
      </w:pPr>
      <w:r>
        <w:t xml:space="preserve">[Digite o conteúdo do seu artigo abaixo desta linha]</w:t>
      </w:r>
    </w:p>
    <w:p>
      <w:pPr>
        <w:pStyle w:val="Heading1"/>
        <w:spacing w:before="400" w:after="200"/>
      </w:pPr>
      <w:r>
        <w:t xml:space="preserve">Introdução</w:t>
      </w:r>
    </w:p>
    <w:p>
      <w:pPr>
        <w:spacing w:after="200"/>
        <w:jc w:val="both"/>
      </w:pPr>
      <w:r>
        <w:rPr>
          <w:rFonts w:ascii="Times New Roman" w:cs="Times New Roman" w:eastAsia="Times New Roman" w:hAnsi="Times New Roman"/>
          <w:sz w:val="24"/>
          <w:szCs w:val="24"/>
        </w:rPr>
        <w:t xml:space="preserve">A [tema do artigo] representa um dos aspectos mais relevantes do Direito Administrativo contemporâneo. Este artigo analisa os principais desdobramentos da matéria, com base na </w:t>
      </w:r>
      <w:r>
        <w:rPr>
          <w:rFonts w:ascii="Times New Roman" w:cs="Times New Roman" w:eastAsia="Times New Roman" w:hAnsi="Times New Roman"/>
          <w:b/>
          <w:bCs/>
          <w:sz w:val="24"/>
          <w:szCs w:val="24"/>
        </w:rPr>
        <w:t xml:space="preserve">Lei 14.133/2021</w:t>
      </w:r>
      <w:r>
        <w:rPr>
          <w:rFonts w:ascii="Times New Roman" w:cs="Times New Roman" w:eastAsia="Times New Roman" w:hAnsi="Times New Roman"/>
          <w:sz w:val="24"/>
          <w:szCs w:val="24"/>
          <w:vertAlign w:val="superscript"/>
        </w:rPr>
        <w:t xml:space="preserve">¹</w:t>
      </w:r>
      <w:r>
        <w:rPr>
          <w:rFonts w:ascii="Times New Roman" w:cs="Times New Roman" w:eastAsia="Times New Roman" w:hAnsi="Times New Roman"/>
          <w:sz w:val="24"/>
          <w:szCs w:val="24"/>
        </w:rPr>
        <w:t xml:space="preserve">, na doutrina especializada e na jurisprudência dos tribunais superiores.</w:t>
      </w:r>
    </w:p>
    <w:p>
      <w:pPr>
        <w:pStyle w:val="Heading1"/>
        <w:spacing w:before="400" w:after="200"/>
      </w:pPr>
      <w:r>
        <w:t xml:space="preserve">1. Primeiro Tópico Principal</w:t>
      </w:r>
    </w:p>
    <w:p>
      <w:pPr>
        <w:spacing w:after="200"/>
        <w:jc w:val="both"/>
      </w:pPr>
      <w:r>
        <w:rPr>
          <w:rFonts w:ascii="Times New Roman" w:cs="Times New Roman" w:eastAsia="Times New Roman" w:hAnsi="Times New Roman"/>
          <w:sz w:val="24"/>
          <w:szCs w:val="24"/>
        </w:rPr>
        <w:t xml:space="preserve">Lorem ipsum dolor sit amet, consectetur adipiscing elit. Conforme estabelecido pela Lei 14.133/2021¹, as </w:t>
      </w:r>
      <w:r>
        <w:rPr>
          <w:rFonts w:ascii="Times New Roman" w:cs="Times New Roman" w:eastAsia="Times New Roman" w:hAnsi="Times New Roman"/>
          <w:b/>
          <w:bCs/>
          <w:sz w:val="24"/>
          <w:szCs w:val="24"/>
        </w:rPr>
        <w:t xml:space="preserve">contratações públicas</w:t>
      </w:r>
      <w:r>
        <w:rPr>
          <w:rFonts w:ascii="Times New Roman" w:cs="Times New Roman" w:eastAsia="Times New Roman" w:hAnsi="Times New Roman"/>
          <w:sz w:val="24"/>
          <w:szCs w:val="24"/>
        </w:rPr>
        <w:t xml:space="preserve"> devem observar os princípios da legalidade, impessoalidade e eficiência. Segundo a doutrina²...</w:t>
      </w:r>
    </w:p>
    <w:p>
      <w:pPr>
        <w:spacing w:after="200"/>
      </w:pPr>
      <w:r>
        <w:t xml:space="preserve">Use números sobrescritos (¹, ², ³) para indicar notas de rodapé.</w:t>
      </w:r>
    </w:p>
    <w:p>
      <w:pPr>
        <w:pStyle w:val="Heading2"/>
        <w:spacing w:before="300" w:after="200"/>
      </w:pPr>
      <w:r>
        <w:t xml:space="preserve">1.1. Subtópico</w:t>
      </w:r>
    </w:p>
    <w:p>
      <w:pPr>
        <w:spacing w:after="200"/>
        <w:jc w:val="both"/>
      </w:pPr>
      <w:r>
        <w:rPr>
          <w:rFonts w:ascii="Times New Roman" w:cs="Times New Roman" w:eastAsia="Times New Roman" w:hAnsi="Times New Roman"/>
          <w:sz w:val="24"/>
          <w:szCs w:val="24"/>
        </w:rPr>
        <w:t xml:space="preserve">Detalhamento do primeiro tópico. Utilize </w:t>
      </w:r>
      <w:r>
        <w:rPr>
          <w:rFonts w:ascii="Times New Roman" w:cs="Times New Roman" w:eastAsia="Times New Roman" w:hAnsi="Times New Roman"/>
          <w:b/>
          <w:bCs/>
          <w:sz w:val="24"/>
          <w:szCs w:val="24"/>
        </w:rPr>
        <w:t xml:space="preserve">negrito</w:t>
      </w:r>
      <w:r>
        <w:rPr>
          <w:rFonts w:ascii="Times New Roman" w:cs="Times New Roman" w:eastAsia="Times New Roman" w:hAnsi="Times New Roman"/>
          <w:sz w:val="24"/>
          <w:szCs w:val="24"/>
        </w:rPr>
        <w:t xml:space="preserve"> para termos importantes e </w:t>
      </w:r>
      <w:r>
        <w:rPr>
          <w:rFonts w:ascii="Times New Roman" w:cs="Times New Roman" w:eastAsia="Times New Roman" w:hAnsi="Times New Roman"/>
          <w:i/>
          <w:iCs/>
          <w:sz w:val="24"/>
          <w:szCs w:val="24"/>
        </w:rPr>
        <w:t xml:space="preserve">itálico</w:t>
      </w:r>
      <w:r>
        <w:rPr>
          <w:rFonts w:ascii="Times New Roman" w:cs="Times New Roman" w:eastAsia="Times New Roman" w:hAnsi="Times New Roman"/>
          <w:sz w:val="24"/>
          <w:szCs w:val="24"/>
        </w:rPr>
        <w:t xml:space="preserve"> para citações ou ênfase.</w:t>
      </w:r>
    </w:p>
    <w:p>
      <w:pPr>
        <w:pStyle w:val="Heading1"/>
        <w:spacing w:before="400" w:after="200"/>
      </w:pPr>
      <w:r>
        <w:t xml:space="preserve">2. Segundo Tópico Principal</w:t>
      </w:r>
    </w:p>
    <w:p>
      <w:pPr>
        <w:spacing w:after="200"/>
        <w:jc w:val="both"/>
      </w:pPr>
      <w:r>
        <w:t xml:space="preserve">Desenvolvimento do segundo ponto principal do artigo. A jurisprudência do STJ³ tem se posicionado de forma reiterada sobre o tema...</w:t>
      </w:r>
    </w:p>
    <w:p>
      <w:pPr>
        <w:pStyle w:val="Heading1"/>
        <w:spacing w:before="400" w:after="200"/>
      </w:pPr>
      <w:r>
        <w:t xml:space="preserve">Conclusão</w:t>
      </w:r>
    </w:p>
    <w:p>
      <w:pPr>
        <w:spacing w:after="400"/>
        <w:jc w:val="both"/>
      </w:pPr>
      <w:r>
        <w:t xml:space="preserve">Em síntese, verificamos que... As principais contribuições deste estudo são...</w:t>
      </w:r>
    </w:p>
    <w:p>
      <w:pPr>
        <w:spacing w:before="200" w:after="200"/>
        <w:jc w:val="center"/>
      </w:pPr>
      <w:r>
        <w:t xml:space="preserve">FIM DO CONTEÚDO</w:t>
      </w:r>
    </w:p>
    <w:p>
      <w:pPr>
        <w:pStyle w:val="Heading1"/>
        <w:spacing w:before="400" w:after="300"/>
      </w:pPr>
      <w:r>
        <w:t xml:space="preserve">Notas de Rodapé</w:t>
      </w:r>
    </w:p>
    <w:p>
      <w:pPr>
        <w:spacing w:after="150"/>
        <w:jc w:val="both"/>
      </w:pPr>
      <w:r>
        <w:rPr>
          <w:rFonts w:ascii="Times New Roman" w:cs="Times New Roman" w:eastAsia="Times New Roman" w:hAnsi="Times New Roman"/>
          <w:b/>
          <w:bCs/>
          <w:sz w:val="22"/>
          <w:szCs w:val="22"/>
        </w:rPr>
        <w:t xml:space="preserve">¹ </w:t>
      </w:r>
      <w:r>
        <w:rPr>
          <w:rFonts w:ascii="Times New Roman" w:cs="Times New Roman" w:eastAsia="Times New Roman" w:hAnsi="Times New Roman"/>
          <w:sz w:val="22"/>
          <w:szCs w:val="22"/>
        </w:rPr>
        <w:t xml:space="preserve">BRASIL. Lei nº 14.133, de 1º de abril de 2021. Estabelece normas gerais de licitação e contratação para as Administrações Públicas diretas, autárquicas e fundacionais da União, dos Estados, do Distrito Federal e dos Municípios. Diário Oficial da União, Brasília, DF, 1 abr. 2021.</w:t>
      </w:r>
    </w:p>
    <w:p>
      <w:pPr>
        <w:spacing w:after="150"/>
        <w:jc w:val="both"/>
      </w:pPr>
      <w:r>
        <w:rPr>
          <w:rFonts w:ascii="Times New Roman" w:cs="Times New Roman" w:eastAsia="Times New Roman" w:hAnsi="Times New Roman"/>
          <w:b/>
          <w:bCs/>
          <w:sz w:val="22"/>
          <w:szCs w:val="22"/>
        </w:rPr>
        <w:t xml:space="preserve">² </w:t>
      </w:r>
      <w:r>
        <w:rPr>
          <w:rFonts w:ascii="Times New Roman" w:cs="Times New Roman" w:eastAsia="Times New Roman" w:hAnsi="Times New Roman"/>
          <w:sz w:val="22"/>
          <w:szCs w:val="22"/>
        </w:rPr>
        <w:t xml:space="preserve">DI PIETRO, Maria Sylvia Zanella. Direito Administrativo. 34. ed. São Paulo: Editora Atlas, 2021, p. 456-458.</w:t>
      </w:r>
    </w:p>
    <w:p>
      <w:pPr>
        <w:spacing w:after="400"/>
        <w:jc w:val="both"/>
      </w:pPr>
      <w:r>
        <w:rPr>
          <w:rFonts w:ascii="Times New Roman" w:cs="Times New Roman" w:eastAsia="Times New Roman" w:hAnsi="Times New Roman"/>
          <w:b/>
          <w:bCs/>
          <w:sz w:val="22"/>
          <w:szCs w:val="22"/>
        </w:rPr>
        <w:t xml:space="preserve">³ </w:t>
      </w:r>
      <w:r>
        <w:rPr>
          <w:rFonts w:ascii="Times New Roman" w:cs="Times New Roman" w:eastAsia="Times New Roman" w:hAnsi="Times New Roman"/>
          <w:sz w:val="22"/>
          <w:szCs w:val="22"/>
        </w:rPr>
        <w:t xml:space="preserve">SUPERIOR TRIBUNAL DE JUSTIÇA. REsp 1.234.567/DF, Relator: Ministro João Silva Santos, Segunda Turma, julgado em 15/03/2023, DJe 20/03/2023.</w:t>
      </w:r>
    </w:p>
    <w:p>
      <w:pPr>
        <w:spacing w:before="200" w:after="200"/>
        <w:jc w:val="center"/>
      </w:pPr>
      <w:r>
        <w:t xml:space="preserve">═══════════════════════════════════════════════════════════════</w:t>
      </w:r>
    </w:p>
    <w:p>
      <w:pPr>
        <w:pStyle w:val="Heading1"/>
        <w:spacing w:before="400" w:after="300"/>
      </w:pPr>
      <w:r>
        <w:t xml:space="preserve">Referências Bibliográficas</w:t>
      </w:r>
    </w:p>
    <w:p>
      <w:pPr>
        <w:spacing w:after="150"/>
        <w:ind w:left="720" w:hanging="720"/>
        <w:jc w:val="both"/>
      </w:pPr>
      <w:r>
        <w:t xml:space="preserve">BRASIL. Lei nº 14.133, de 1º de abril de 2021. Estabelece normas gerais de licitação e contratação para as Administrações Públicas diretas, autárquicas e fundacionais da União, dos Estados, do Distrito Federal e dos Municípios. Diário Oficial da União, Brasília, DF, 1 abr. 2021.</w:t>
      </w:r>
    </w:p>
    <w:p>
      <w:pPr>
        <w:spacing w:after="150"/>
        <w:ind w:left="720" w:hanging="720"/>
        <w:jc w:val="both"/>
      </w:pPr>
      <w:r>
        <w:t xml:space="preserve">DI PIETRO, Maria Sylvia Zanella. Direito Administrativo. 34. ed. São Paulo: Editora Atlas, 2021.</w:t>
      </w:r>
    </w:p>
    <w:p>
      <w:pPr>
        <w:spacing w:after="150"/>
        <w:ind w:left="720" w:hanging="720"/>
        <w:jc w:val="both"/>
      </w:pPr>
      <w:r>
        <w:t xml:space="preserve">JUSTEN FILHO, Marçal. Comentários à Lei de Licitações e Contratos Administrativos. 18. ed. São Paulo: Revista dos Tribunais, 2019.</w:t>
      </w:r>
    </w:p>
    <w:p>
      <w:pPr>
        <w:spacing w:after="150"/>
        <w:ind w:left="720" w:hanging="720"/>
        <w:jc w:val="both"/>
      </w:pPr>
      <w:r>
        <w:t xml:space="preserve">MEIRELLES, Hely Lopes. Direito Administrativo Brasileiro. 42. ed. São Paulo: Malheiros Editores, 2016.</w:t>
      </w:r>
    </w:p>
    <w:p>
      <w:pPr>
        <w:spacing w:after="400"/>
        <w:ind w:left="720" w:hanging="720"/>
        <w:jc w:val="both"/>
      </w:pPr>
      <w:r>
        <w:t xml:space="preserve">SUPERIOR TRIBUNAL DE JUSTIÇA. REsp 1.234.567/DF, Relator: Ministro João Silva Santos, Segunda Turma, julgado em 15/03/2023, DJe 20/03/2023.</w:t>
      </w:r>
    </w:p>
    <w:p>
      <w:pPr>
        <w:spacing w:before="200" w:after="200"/>
        <w:jc w:val="center"/>
      </w:pPr>
      <w:r>
        <w:t xml:space="preserve">INSTRUÇÕES IMPORTANTES</w:t>
      </w:r>
    </w:p>
    <w:p>
      <w:pPr>
        <w:spacing w:before="300" w:after="200"/>
      </w:pPr>
      <w:r>
        <w:t xml:space="preserve">COMO USAR ESTE TEMPLATE:</w:t>
      </w:r>
    </w:p>
    <w:p>
      <w:pPr>
        <w:spacing w:before="150" w:after="100"/>
      </w:pPr>
      <w:r>
        <w:t xml:space="preserve">1. CAMPOS OBRIGATÓRIOS:</w:t>
      </w:r>
    </w:p>
    <w:p>
      <w:pPr>
        <w:spacing w:after="100"/>
      </w:pPr>
      <w:r>
        <w:t xml:space="preserve">   • Título, Autor, Data, Tags (3-7 tags), Resumo (1-2 frases)</w:t>
      </w:r>
    </w:p>
    <w:p>
      <w:pPr>
        <w:spacing w:before="150" w:after="100"/>
      </w:pPr>
      <w:r>
        <w:t xml:space="preserve">2. FORMATAÇÃO:</w:t>
      </w:r>
    </w:p>
    <w:p>
      <w:pPr>
        <w:spacing w:after="50"/>
      </w:pPr>
      <w:r>
        <w:t xml:space="preserve">   • Use "Título 1" (Ctrl+Alt+1) para seções principais</w:t>
      </w:r>
    </w:p>
    <w:p>
      <w:pPr>
        <w:spacing w:after="50"/>
      </w:pPr>
      <w:r>
        <w:t xml:space="preserve">   • Use "Título 2" (Ctrl+Alt+2) para subseções</w:t>
      </w:r>
    </w:p>
    <w:p>
      <w:pPr>
        <w:spacing w:after="50"/>
      </w:pPr>
      <w:r>
        <w:t xml:space="preserve">   • Use "Título 3" (Ctrl+Alt+3) para sub-subseções</w:t>
      </w:r>
    </w:p>
    <w:p>
      <w:pPr>
        <w:spacing w:after="50"/>
      </w:pPr>
      <w:r>
        <w:t xml:space="preserve">   • Use Negrito (Ctrl+N) para termos importantes</w:t>
      </w:r>
    </w:p>
    <w:p>
      <w:pPr>
        <w:spacing w:after="100"/>
      </w:pPr>
      <w:r>
        <w:t xml:space="preserve">   • Use Itálico (Ctrl+I) para citações ou ênfase</w:t>
      </w:r>
    </w:p>
    <w:p>
      <w:pPr>
        <w:spacing w:before="150" w:after="100"/>
      </w:pPr>
      <w:r>
        <w:t xml:space="preserve">3. NOTAS DE RODAPÉ:</w:t>
      </w:r>
    </w:p>
    <w:p>
      <w:pPr>
        <w:spacing w:after="50"/>
      </w:pPr>
      <w:r>
        <w:t xml:space="preserve">   • No texto: use ¹ ² ³ ou [1] [2] [3]</w:t>
      </w:r>
    </w:p>
    <w:p>
      <w:pPr>
        <w:spacing w:after="100"/>
      </w:pPr>
      <w:r>
        <w:t xml:space="preserve">   • Na seção "Notas de Rodapé": liste todas em ordem</w:t>
      </w:r>
    </w:p>
    <w:p>
      <w:pPr>
        <w:spacing w:before="150" w:after="100"/>
      </w:pPr>
      <w:r>
        <w:t xml:space="preserve">4. REFERÊNCIAS (Formato ABNT):</w:t>
      </w:r>
    </w:p>
    <w:p>
      <w:pPr>
        <w:spacing w:after="50"/>
      </w:pPr>
      <w:r>
        <w:t xml:space="preserve">   • Liste em ordem alfabética por sobrenome do autor</w:t>
      </w:r>
    </w:p>
    <w:p>
      <w:pPr>
        <w:spacing w:after="50"/>
      </w:pPr>
      <w:r>
        <w:t xml:space="preserve">   • Use recuo francês (primeira linha sem recuo, demais com recuo)</w:t>
      </w:r>
    </w:p>
    <w:p>
      <w:pPr>
        <w:spacing w:after="100"/>
      </w:pPr>
      <w:r>
        <w:t xml:space="preserve">   • Inclua todas as fontes citadas no texto</w:t>
      </w:r>
    </w:p>
    <w:p>
      <w:pPr>
        <w:spacing w:before="150" w:after="100"/>
      </w:pPr>
      <w:r>
        <w:t xml:space="preserve">5. APÓS PREENCHER:</w:t>
      </w:r>
    </w:p>
    <w:p>
      <w:pPr>
        <w:spacing w:after="50"/>
      </w:pPr>
      <w:r>
        <w:t xml:space="preserve">   • Salve o arquivo em formato .docx</w:t>
      </w:r>
    </w:p>
    <w:p>
      <w:pPr>
        <w:spacing w:after="50"/>
      </w:pPr>
      <w:r>
        <w:t xml:space="preserve">   • Acesse /admin/blog/upload-word no sistema</w:t>
      </w:r>
    </w:p>
    <w:p>
      <w:pPr>
        <w:spacing w:after="50"/>
      </w:pPr>
      <w:r>
        <w:t xml:space="preserve">   • Faça upload do arquivo</w:t>
      </w:r>
    </w:p>
    <w:p>
      <w:pPr>
        <w:spacing w:after="50"/>
      </w:pPr>
      <w:r>
        <w:t xml:space="preserve">   • Revise o preview gerado automaticamente</w:t>
      </w:r>
    </w:p>
    <w:p>
      <w:pPr>
        <w:spacing w:after="300"/>
      </w:pPr>
      <w:r>
        <w:t xml:space="preserve">   • Salve como rascunho ou publique</w:t>
      </w:r>
    </w:p>
    <w:p>
      <w:pPr>
        <w:spacing w:before="200" w:after="200"/>
        <w:jc w:val="center"/>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jc w:val="left"/>
    </w:pPr>
    <w:rPr>
      <w:rFonts w:ascii="Times New Roman" w:cs="Times New Roman" w:eastAsia="Times New Roman" w:hAnsi="Times New Roman"/>
      <w:b/>
      <w:bCs/>
      <w:color w:val="1F2937"/>
      <w:sz w:val="28"/>
      <w:szCs w:val="28"/>
    </w:rPr>
  </w:style>
  <w:style w:type="paragraph" w:styleId="Heading2">
    <w:name w:val="Heading 2"/>
    <w:basedOn w:val="Normal"/>
    <w:next w:val="Normal"/>
    <w:qFormat/>
    <w:pPr>
      <w:spacing w:before="300" w:after="150"/>
      <w:jc w:val="left"/>
    </w:pPr>
    <w:rPr>
      <w:rFonts w:ascii="Times New Roman" w:cs="Times New Roman" w:eastAsia="Times New Roman" w:hAnsi="Times New Roman"/>
      <w:b/>
      <w:bCs/>
      <w:color w:val="374151"/>
      <w:sz w:val="26"/>
      <w:szCs w:val="26"/>
    </w:rPr>
  </w:style>
  <w:style w:type="paragraph" w:styleId="Heading3">
    <w:name w:val="Heading 3"/>
    <w:basedOn w:val="Normal"/>
    <w:next w:val="Normal"/>
    <w:qFormat/>
    <w:pPr>
      <w:spacing w:before="200" w:after="100"/>
      <w:jc w:val="left"/>
    </w:pPr>
    <w:rPr>
      <w:rFonts w:ascii="Times New Roman" w:cs="Times New Roman" w:eastAsia="Times New Roman" w:hAnsi="Times New Roman"/>
      <w:b/>
      <w:bCs/>
      <w:color w:val="4B5563"/>
      <w:sz w:val="24"/>
      <w:szCs w:val="24"/>
    </w:rPr>
  </w:style>
  <w:style w:type="paragraph" w:styleId="Normal">
    <w:name w:val="Normal"/>
    <w:pPr>
      <w:spacing w:line="360" w:lineRule="auto"/>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2025-10-24T12:39:22.184Z</dcterms:created>
  <dcterms:modified xsi:type="dcterms:W3CDTF">2025-10-24T12:39:22.184Z</dcterms:modified>
</cp:coreProperties>
</file>

<file path=docProps/custom.xml><?xml version="1.0" encoding="utf-8"?>
<Properties xmlns="http://schemas.openxmlformats.org/officeDocument/2006/custom-properties" xmlns:vt="http://schemas.openxmlformats.org/officeDocument/2006/docPropsVTypes"/>
</file>