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b/>
          <w:color w:val="262626"/>
          <w:sz w:val="43"/>
          <w:szCs w:val="43"/>
        </w:rPr>
      </w:pPr>
      <w:r>
        <w:rPr>
          <w:b/>
          <w:color w:val="262626"/>
          <w:sz w:val="43"/>
          <w:szCs w:val="43"/>
          <w:bdr w:val="none" w:color="auto" w:sz="0" w:space="0"/>
        </w:rPr>
        <w:t>Global Context-Aware Progressive Aggregation Network for Salient Object Detection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6240145" cy="1969135"/>
            <wp:effectExtent l="0" t="0" r="8255" b="12065"/>
            <wp:docPr id="3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AAAI 2020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b/>
          <w:sz w:val="28"/>
          <w:szCs w:val="28"/>
        </w:rPr>
      </w:pPr>
      <w:r>
        <w:rPr>
          <w:b/>
          <w:sz w:val="28"/>
          <w:szCs w:val="28"/>
          <w:bdr w:val="none" w:color="auto" w:sz="0" w:space="0"/>
        </w:rPr>
        <w:t>主要工作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这篇文章和F3Net在想法上有很大的相似之处，都认为：</w:t>
      </w:r>
      <w:r>
        <w:rPr>
          <w:rStyle w:val="9"/>
          <w:color w:val="404040"/>
          <w:spacing w:val="2"/>
          <w:sz w:val="18"/>
          <w:szCs w:val="18"/>
        </w:rPr>
        <w:t xml:space="preserve">the previous works mainly adopted multiple-level feature integration </w:t>
      </w:r>
      <w:r>
        <w:rPr>
          <w:rStyle w:val="8"/>
          <w:color w:val="404040"/>
          <w:spacing w:val="2"/>
          <w:sz w:val="18"/>
          <w:szCs w:val="18"/>
        </w:rPr>
        <w:t>yet ignored the gap between different features</w:t>
      </w:r>
      <w:r>
        <w:rPr>
          <w:color w:val="404040"/>
          <w:spacing w:val="2"/>
          <w:sz w:val="18"/>
          <w:szCs w:val="18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而另一条</w:t>
      </w:r>
      <w:r>
        <w:rPr>
          <w:rStyle w:val="9"/>
          <w:color w:val="404040"/>
          <w:spacing w:val="2"/>
          <w:sz w:val="18"/>
          <w:szCs w:val="18"/>
        </w:rPr>
        <w:t>there also exists a dilution process of high-level features as they passed on the top-down pathway</w:t>
      </w:r>
      <w:r>
        <w:rPr>
          <w:color w:val="404040"/>
          <w:spacing w:val="2"/>
          <w:sz w:val="18"/>
          <w:szCs w:val="18"/>
        </w:rPr>
        <w:t>实际上也是借用自之前的PoolNet。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因此，总体而言，本文认为现有的基于FCN的模型存在这样的两个问题：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 xml:space="preserve">Due to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the gap between different level features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, the simple combination of semantic information and appearance information is insufficient and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lacks consideration of the different contribution of different features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for salient object detection;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 xml:space="preserve">Most of the previous works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ignored the global context information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, which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benefits for deducing the relationship among multiple salient regions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and producing more complete saliency result.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为了处理这两个问题，这里提出了几个模块：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对于第一个问题：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Feature Interweaved Aggregation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(FIA) module fully integrates the high-level semantic features, low-level detail features, and global context features, which is expected to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suppress the noises but recover more structural and detail information</w:t>
      </w:r>
      <w:r>
        <w:rPr>
          <w:color w:val="404040"/>
          <w:spacing w:val="2"/>
          <w:sz w:val="18"/>
          <w:szCs w:val="18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通用提升：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0" w:hanging="360"/>
      </w:pP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Head Attention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(HA) module is used to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reduce information redundancy and enhance the top layers features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by leveraging the spatial and channel-wise attention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0" w:hanging="360"/>
      </w:pP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Self Refinement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(SR) module is utilized to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further refine and heighten the input features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对于第二个问题：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Global Context Flow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(GCF) module generates the global context information at different stages, which aims to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learn the relationship among different salient regions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and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alleviate the dilution effect of high-level features</w:t>
      </w:r>
      <w:r>
        <w:rPr>
          <w:color w:val="404040"/>
          <w:spacing w:val="2"/>
          <w:sz w:val="18"/>
          <w:szCs w:val="18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b/>
          <w:sz w:val="28"/>
          <w:szCs w:val="28"/>
        </w:rPr>
      </w:pPr>
      <w:r>
        <w:rPr>
          <w:b/>
          <w:sz w:val="28"/>
          <w:szCs w:val="28"/>
          <w:bdr w:val="none" w:color="auto" w:sz="0" w:space="0"/>
        </w:rPr>
        <w:t>主体结构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6233160" cy="2567940"/>
            <wp:effectExtent l="0" t="0" r="0" b="7620"/>
            <wp:docPr id="1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主要包含四个组件，这里分别简单介绍。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  <w:bdr w:val="none" w:color="auto" w:sz="0" w:space="0"/>
        </w:rPr>
        <w:t>FIA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5057775" cy="3962400"/>
            <wp:effectExtent l="0" t="0" r="1905" b="0"/>
            <wp:docPr id="2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这里多处使用乘法操作。The multiplication operation can strengthen the response of salient objects, meanwhile suppress the background noises. 从图中可以比较直观的了解整体的计算过程。注意，这里中间和右侧分支使用的输入时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19050" cy="28575"/>
            <wp:effectExtent l="0" t="0" r="11430" b="1905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而不是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9525" cy="19050"/>
            <wp:effectExtent l="0" t="0" r="5715" b="381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，也就是左侧分支的中间特征。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整个模块的输入包含三个部分：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the high-level features from the output of the previous layer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the low-level features from the corresponding bottom layer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the global context feature generated by the GCF module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  <w:bdr w:val="none" w:color="auto" w:sz="0" w:space="0"/>
        </w:rPr>
        <w:t>SR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例如，在预测的显著物体上有一些洞，这是由不同层的矛盾反应引起的。因此，我们开发了一个 SR 模块，在通过 HA 模块和 FIA 模块后，通过使用乘法和加法操作来进一步细化和增强特征图。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SR本身很简单，就是一个三层的卷积结构。没啥好说的。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  <w:bdr w:val="none" w:color="auto" w:sz="0" w:space="0"/>
        </w:rPr>
        <w:t>HA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由于编码器组件的顶层特征对于显著目标检测通常是冗余的,我们设计了一个接在顶层后的 HA 模块，通过利用空间和通道注意机制来学习更具有选择性和代表性的特征。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输入特征图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9525" cy="19050"/>
            <wp:effectExtent l="0" t="0" r="5715" b="381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，先将通道调整成256，得到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9525" cy="19050"/>
            <wp:effectExtent l="0" t="0" r="5715" b="381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然后使用简单的卷积结构得到第一阶段特征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19050" cy="19050"/>
            <wp:effectExtent l="0" t="0" r="11430" b="3810"/>
            <wp:docPr id="1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6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之后再通过全局平均池化来处理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9525" cy="19050"/>
            <wp:effectExtent l="0" t="0" r="5715" b="3810"/>
            <wp:docPr id="1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变成了通道级特征矢量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9525" cy="19050"/>
            <wp:effectExtent l="0" t="0" r="5715" b="3810"/>
            <wp:docPr id="1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6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，后接两个全连接层，分别使用ReLU和Sigmoid作为激活函数，从而得到权重矢量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9525" cy="19050"/>
            <wp:effectExtent l="0" t="0" r="5715" b="381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最终的输出使用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57150" cy="19050"/>
            <wp:effectExtent l="0" t="0" r="3810" b="3810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，即用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9525" cy="19050"/>
            <wp:effectExtent l="0" t="0" r="5715" b="381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对</w:t>
      </w: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19050" cy="19050"/>
            <wp:effectExtent l="0" t="0" r="11430" b="381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404040"/>
          <w:spacing w:val="2"/>
          <w:sz w:val="18"/>
          <w:szCs w:val="18"/>
        </w:rPr>
        <w:t>进行通道加权。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  <w:bdr w:val="none" w:color="auto" w:sz="0" w:space="0"/>
        </w:rPr>
        <w:t>GCF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与PoolNet不同，这里考虑了不同阶段的不同贡献。首先使用全局平均池化获取全局上下文信息，然后</w:t>
      </w:r>
      <w:r>
        <w:rPr>
          <w:rStyle w:val="8"/>
          <w:color w:val="404040"/>
          <w:spacing w:val="2"/>
          <w:sz w:val="18"/>
          <w:szCs w:val="18"/>
        </w:rPr>
        <w:t>为每个阶段的全局上下文特征图的不同通道重新分配不同的权重</w:t>
      </w:r>
      <w:r>
        <w:rPr>
          <w:color w:val="404040"/>
          <w:spacing w:val="2"/>
          <w:sz w:val="18"/>
          <w:szCs w:val="18"/>
        </w:rPr>
        <w:t>。要注意，这里的GCF按照图示，针对不同的阶段会设置不同的GCF。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2524125" cy="1057275"/>
            <wp:effectExtent l="0" t="0" r="5715" b="9525"/>
            <wp:docPr id="6" name="图片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image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这里的输出会被送到FIA的右侧分支作为输入。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  <w:bdr w:val="none" w:color="auto" w:sz="0" w:space="0"/>
        </w:rPr>
        <w:t>损失函数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使用的深监督形式下的交叉熵损失。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2333625" cy="704850"/>
            <wp:effectExtent l="0" t="0" r="13335" b="11430"/>
            <wp:docPr id="19" name="图片 1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age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 xml:space="preserve">To facilitate the optimization of the proposed network, we add auxiliary loss at three decoder stages. Specifically, a </w:t>
      </w:r>
      <w:r>
        <w:rPr>
          <w:rStyle w:val="8"/>
          <w:color w:val="404040"/>
          <w:spacing w:val="2"/>
          <w:sz w:val="18"/>
          <w:szCs w:val="18"/>
        </w:rPr>
        <w:t>3×3 convolution operation is applied for each stage to squeeze the channel of the output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rStyle w:val="8"/>
          <w:color w:val="404040"/>
          <w:spacing w:val="2"/>
          <w:sz w:val="18"/>
          <w:szCs w:val="18"/>
        </w:rPr>
        <w:t>feature maps to 1</w:t>
      </w:r>
      <w:r>
        <w:rPr>
          <w:color w:val="404040"/>
          <w:spacing w:val="2"/>
          <w:sz w:val="18"/>
          <w:szCs w:val="18"/>
        </w:rPr>
        <w:t xml:space="preserve">. Then these maps are </w:t>
      </w:r>
      <w:r>
        <w:rPr>
          <w:rStyle w:val="8"/>
          <w:color w:val="404040"/>
          <w:spacing w:val="2"/>
          <w:sz w:val="18"/>
          <w:szCs w:val="18"/>
        </w:rPr>
        <w:t>up-sampled to the same size as the ground truth via bilinear interpolation</w:t>
      </w:r>
      <w:r>
        <w:rPr>
          <w:color w:val="404040"/>
          <w:spacing w:val="2"/>
          <w:sz w:val="18"/>
          <w:szCs w:val="18"/>
        </w:rPr>
        <w:t xml:space="preserve"> and sigmoid function is used to normalize the predicted values into [0,1].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t>The auxiliary loss branches only exist during the training stage, whereas they are abandoned when inference.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b/>
          <w:sz w:val="28"/>
          <w:szCs w:val="28"/>
        </w:rPr>
      </w:pPr>
      <w:r>
        <w:rPr>
          <w:b/>
          <w:sz w:val="28"/>
          <w:szCs w:val="28"/>
          <w:bdr w:val="none" w:color="auto" w:sz="0" w:space="0"/>
        </w:rPr>
        <w:t>实验细节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We adopt ResNet-50 (He et al. 2016) pretrained on ImageNet (Deng et al. 2009) as our network backbone.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 xml:space="preserve">In the training stage, we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resize each image to 320×320 with random horizontal flipping, then randomly crop a patch with the size of 288 × 288 for training</w:t>
      </w:r>
      <w:r>
        <w:rPr>
          <w:color w:val="404040"/>
          <w:spacing w:val="2"/>
          <w:sz w:val="18"/>
          <w:szCs w:val="18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 xml:space="preserve">During the inference stage, images are simply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 xml:space="preserve">resized to 320 × 320 </w:t>
      </w:r>
      <w:r>
        <w:rPr>
          <w:color w:val="404040"/>
          <w:spacing w:val="2"/>
          <w:sz w:val="18"/>
          <w:szCs w:val="18"/>
          <w:bdr w:val="none" w:color="auto" w:sz="0" w:space="0"/>
        </w:rPr>
        <w:t>then fed into the network to obtain prediction without any other post-processing (e.g., CRF).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We use Pytorch (Paszke et al. 2017) to implement our model.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 xml:space="preserve">Mini-batch Stochastic gradient descent (SGD) is used to optimize the whole network with the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batch size of 32</w:t>
      </w:r>
      <w:r>
        <w:rPr>
          <w:color w:val="404040"/>
          <w:spacing w:val="2"/>
          <w:sz w:val="18"/>
          <w:szCs w:val="18"/>
          <w:bdr w:val="none" w:color="auto" w:sz="0" w:space="0"/>
        </w:rPr>
        <w:t>, the momentum of 0.9, and the weight decay of 5e-4.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 xml:space="preserve">We use the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 xml:space="preserve">warm-up and linear decay strategies 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with the maximum learning rate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5e-3 for the backbone and 0.05 for other parts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to train our model and stop training after 30 epochs.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 xml:space="preserve">The inference of a </w:t>
      </w:r>
      <w:r>
        <w:rPr>
          <w:rStyle w:val="8"/>
          <w:color w:val="404040"/>
          <w:spacing w:val="2"/>
          <w:sz w:val="18"/>
          <w:szCs w:val="18"/>
          <w:bdr w:val="none" w:color="auto" w:sz="0" w:space="0"/>
        </w:rPr>
        <w:t>320×320 image</w:t>
      </w:r>
      <w:r>
        <w:rPr>
          <w:color w:val="404040"/>
          <w:spacing w:val="2"/>
          <w:sz w:val="18"/>
          <w:szCs w:val="18"/>
          <w:bdr w:val="none" w:color="auto" w:sz="0" w:space="0"/>
        </w:rPr>
        <w:t xml:space="preserve"> takes about 0.02s (over 50 fps) with the acceleration of one NVIDIA Titan-Xp GPU card.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6061075" cy="2362200"/>
            <wp:effectExtent l="0" t="0" r="4445" b="0"/>
            <wp:docPr id="14" name="图片 1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age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6077585" cy="965835"/>
            <wp:effectExtent l="0" t="0" r="3175" b="9525"/>
            <wp:docPr id="5" name="图片 1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age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center"/>
        <w:rPr>
          <w:color w:val="404040"/>
          <w:spacing w:val="2"/>
          <w:sz w:val="18"/>
          <w:szCs w:val="18"/>
        </w:rPr>
      </w:pPr>
      <w:r>
        <w:rPr>
          <w:color w:val="404040"/>
          <w:spacing w:val="2"/>
          <w:sz w:val="18"/>
          <w:szCs w:val="18"/>
        </w:rPr>
        <w:drawing>
          <wp:inline distT="0" distB="0" distL="114300" distR="114300">
            <wp:extent cx="5010150" cy="2352675"/>
            <wp:effectExtent l="0" t="0" r="3810" b="9525"/>
            <wp:docPr id="13" name="图片 1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age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b/>
          <w:sz w:val="28"/>
          <w:szCs w:val="28"/>
        </w:rPr>
      </w:pPr>
      <w:r>
        <w:rPr>
          <w:b/>
          <w:sz w:val="28"/>
          <w:szCs w:val="28"/>
          <w:bdr w:val="none" w:color="auto" w:sz="0" w:space="0"/>
        </w:rPr>
        <w:t>相关链接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论文：</w:t>
      </w:r>
      <w:r>
        <w:rPr>
          <w:spacing w:val="2"/>
          <w:sz w:val="18"/>
          <w:szCs w:val="18"/>
          <w:bdr w:val="none" w:color="auto" w:sz="0" w:space="0"/>
        </w:rPr>
        <w:fldChar w:fldCharType="begin"/>
      </w:r>
      <w:r>
        <w:rPr>
          <w:spacing w:val="2"/>
          <w:sz w:val="18"/>
          <w:szCs w:val="18"/>
          <w:bdr w:val="none" w:color="auto" w:sz="0" w:space="0"/>
        </w:rPr>
        <w:instrText xml:space="preserve"> HYPERLINK "https://arxiv.org/pdf/2003.00651.pdf" \t "_blank" </w:instrText>
      </w:r>
      <w:r>
        <w:rPr>
          <w:spacing w:val="2"/>
          <w:sz w:val="18"/>
          <w:szCs w:val="18"/>
          <w:bdr w:val="none" w:color="auto" w:sz="0" w:space="0"/>
        </w:rPr>
        <w:fldChar w:fldCharType="separate"/>
      </w:r>
      <w:r>
        <w:rPr>
          <w:rStyle w:val="10"/>
          <w:spacing w:val="2"/>
          <w:sz w:val="18"/>
          <w:szCs w:val="18"/>
          <w:bdr w:val="none" w:color="auto" w:sz="0" w:space="0"/>
        </w:rPr>
        <w:t>https://arxiv.org/pdf/2003.00651.pdf</w:t>
      </w:r>
      <w:r>
        <w:rPr>
          <w:spacing w:val="2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0" w:hanging="360"/>
      </w:pPr>
      <w:r>
        <w:rPr>
          <w:color w:val="404040"/>
          <w:spacing w:val="2"/>
          <w:sz w:val="18"/>
          <w:szCs w:val="18"/>
          <w:bdr w:val="none" w:color="auto" w:sz="0" w:space="0"/>
        </w:rPr>
        <w:t>代码：</w:t>
      </w:r>
      <w:r>
        <w:rPr>
          <w:spacing w:val="2"/>
          <w:sz w:val="18"/>
          <w:szCs w:val="18"/>
          <w:bdr w:val="none" w:color="auto" w:sz="0" w:space="0"/>
        </w:rPr>
        <w:fldChar w:fldCharType="begin"/>
      </w:r>
      <w:r>
        <w:rPr>
          <w:spacing w:val="2"/>
          <w:sz w:val="18"/>
          <w:szCs w:val="18"/>
          <w:bdr w:val="none" w:color="auto" w:sz="0" w:space="0"/>
        </w:rPr>
        <w:instrText xml:space="preserve"> HYPERLINK "https://github.com/JosephChenHub/GCPANet.git" \t "_blank" </w:instrText>
      </w:r>
      <w:r>
        <w:rPr>
          <w:spacing w:val="2"/>
          <w:sz w:val="18"/>
          <w:szCs w:val="18"/>
          <w:bdr w:val="none" w:color="auto" w:sz="0" w:space="0"/>
        </w:rPr>
        <w:fldChar w:fldCharType="separate"/>
      </w:r>
      <w:r>
        <w:rPr>
          <w:rStyle w:val="10"/>
          <w:spacing w:val="2"/>
          <w:sz w:val="18"/>
          <w:szCs w:val="18"/>
          <w:bdr w:val="none" w:color="auto" w:sz="0" w:space="0"/>
        </w:rPr>
        <w:t>https://github.com/JosephChenHub/GCPANet</w:t>
      </w:r>
      <w:r>
        <w:rPr>
          <w:spacing w:val="2"/>
          <w:sz w:val="18"/>
          <w:szCs w:val="18"/>
          <w:bdr w:val="none" w:color="auto" w:sz="0" w:space="0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B6FD2"/>
    <w:multiLevelType w:val="multilevel"/>
    <w:tmpl w:val="81EB6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86CC71C"/>
    <w:multiLevelType w:val="multilevel"/>
    <w:tmpl w:val="E86CC7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C2400C8"/>
    <w:multiLevelType w:val="multilevel"/>
    <w:tmpl w:val="FC240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8EE441C"/>
    <w:multiLevelType w:val="multilevel"/>
    <w:tmpl w:val="08EE44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AADA134"/>
    <w:multiLevelType w:val="multilevel"/>
    <w:tmpl w:val="1AADA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90307EC"/>
    <w:multiLevelType w:val="multilevel"/>
    <w:tmpl w:val="490307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1.sv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8.svg"/><Relationship Id="rId21" Type="http://schemas.openxmlformats.org/officeDocument/2006/relationships/image" Target="media/image11.png"/><Relationship Id="rId20" Type="http://schemas.openxmlformats.org/officeDocument/2006/relationships/image" Target="media/image7.sv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6.svg"/><Relationship Id="rId17" Type="http://schemas.openxmlformats.org/officeDocument/2006/relationships/image" Target="media/image9.png"/><Relationship Id="rId16" Type="http://schemas.openxmlformats.org/officeDocument/2006/relationships/image" Target="media/image5.svg"/><Relationship Id="rId15" Type="http://schemas.openxmlformats.org/officeDocument/2006/relationships/image" Target="media/image8.png"/><Relationship Id="rId14" Type="http://schemas.openxmlformats.org/officeDocument/2006/relationships/image" Target="media/image4.svg"/><Relationship Id="rId13" Type="http://schemas.openxmlformats.org/officeDocument/2006/relationships/image" Target="media/image7.png"/><Relationship Id="rId12" Type="http://schemas.openxmlformats.org/officeDocument/2006/relationships/image" Target="media/image3.svg"/><Relationship Id="rId11" Type="http://schemas.openxmlformats.org/officeDocument/2006/relationships/image" Target="media/image6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2020-12-05T06:43:17Z</dcterms:created>
  <dc:creator>HP</dc:creator>
  <cp:lastModifiedBy>周文波</cp:lastModifiedBy>
  <dcterms:modified xsi:type="dcterms:W3CDTF">2020-12-05T06:44:45Z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