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0E41" w14:textId="77777777" w:rsidR="008C6806" w:rsidRDefault="00000000">
      <w:pPr>
        <w:pStyle w:val="Heading1"/>
      </w:pPr>
      <w:bookmarkStart w:id="0" w:name="X2c5dc7d622f0bad0a01f7dc980bb0de97f7b100"/>
      <w:r>
        <w:t>Citizen Submission on the Draft Private Security (General) Regulations, 2025</w:t>
      </w:r>
    </w:p>
    <w:p w14:paraId="4F1CC966" w14:textId="77777777" w:rsidR="008C6806" w:rsidRDefault="00000000">
      <w:pPr>
        <w:pStyle w:val="Heading1"/>
      </w:pPr>
      <w:bookmarkStart w:id="1" w:name="preamble"/>
      <w:bookmarkEnd w:id="0"/>
      <w:r>
        <w:t>Preamble</w:t>
      </w:r>
    </w:p>
    <w:p w14:paraId="1E673C94" w14:textId="77777777" w:rsidR="008C6806" w:rsidRDefault="00000000">
      <w:pPr>
        <w:pStyle w:val="FirstParagraph"/>
      </w:pPr>
      <w:r>
        <w:t>I submit these recommendations as a concerned citizen who believes that strong, fair, and clear regulations are essential for Kenya’s safety and future. My intention is to support the development of regulations that protect the public, strengthen national security, and ensure that opportunities within the private security sector are accessible to all Kenyans, especially young people who have invested in security-related education.</w:t>
      </w:r>
    </w:p>
    <w:p w14:paraId="798BAA2B" w14:textId="77777777" w:rsidR="008C6806" w:rsidRDefault="00000000">
      <w:pPr>
        <w:pStyle w:val="BodyText"/>
      </w:pPr>
      <w:r>
        <w:t>Across the country, many citizens have pursued studies in criminology, forensic science, security studies, psychology, sociology, and related fields. Thousands of young Kenyans graduate every year with knowledge and skills that could meaningfully contribute to community safety, crime prevention, and national security. Unfortunately, many remain unemployed or underutilised because the current regulatory framework does not offer clear or affordable pathways for them to participate or start small security-related enterprises.</w:t>
      </w:r>
    </w:p>
    <w:p w14:paraId="7E0C1A7F" w14:textId="77777777" w:rsidR="008C6806" w:rsidRDefault="00000000">
      <w:pPr>
        <w:pStyle w:val="BodyText"/>
      </w:pPr>
      <w:r>
        <w:t>Effective regulations should therefore achieve three things: 1. protect citizens from insecurity and misconduct, 2. close gaps that create room for corruption or unfair treatment, 3. create fair opportunities for skilled young people to participate in building a safer country.</w:t>
      </w:r>
    </w:p>
    <w:p w14:paraId="3161631D" w14:textId="77777777" w:rsidR="008C6806" w:rsidRDefault="00000000">
      <w:pPr>
        <w:pStyle w:val="BodyText"/>
      </w:pPr>
      <w:r>
        <w:t>I offer the following proposals with respect, and in the spirit of helping strengthen the regulations for the benefit of our country.</w:t>
      </w:r>
    </w:p>
    <w:p w14:paraId="00241573" w14:textId="77777777" w:rsidR="008C6806" w:rsidRDefault="00000000">
      <w:pPr>
        <w:pStyle w:val="Heading1"/>
      </w:pPr>
      <w:bookmarkStart w:id="2" w:name="Xe20aa6be49afc0e640ec46f202019cef3f6286b"/>
      <w:bookmarkEnd w:id="1"/>
      <w:r>
        <w:t>1. Proposed Addition to Support Youth Skills and Small Enterprises</w:t>
      </w:r>
    </w:p>
    <w:p w14:paraId="03577BF4" w14:textId="77777777" w:rsidR="008C6806" w:rsidRDefault="00000000">
      <w:pPr>
        <w:pStyle w:val="Heading2"/>
      </w:pPr>
      <w:bookmarkStart w:id="3" w:name="sme-youth-and-criminology-entry-pathways"/>
      <w:r>
        <w:t>SME, Youth, and Criminology Entry Pathways</w:t>
      </w:r>
    </w:p>
    <w:p w14:paraId="4E3AE255" w14:textId="77777777" w:rsidR="008C6806" w:rsidRDefault="00000000">
      <w:pPr>
        <w:pStyle w:val="FirstParagraph"/>
      </w:pPr>
      <w:r>
        <w:rPr>
          <w:b/>
          <w:bCs/>
        </w:rPr>
        <w:t>Proposed new Regulation 5A</w:t>
      </w:r>
    </w:p>
    <w:p w14:paraId="4409C2E9" w14:textId="77777777" w:rsidR="008C6806" w:rsidRDefault="00000000">
      <w:pPr>
        <w:pStyle w:val="BodyText"/>
      </w:pPr>
      <w:r>
        <w:rPr>
          <w:b/>
          <w:bCs/>
        </w:rPr>
        <w:t>5A (1)</w:t>
      </w:r>
      <w:r>
        <w:t xml:space="preserve"> To promote fairness and national development, the Authority should introduce a simplified licensing pathway for: - micro and small private security enterprises, - graduates of criminology, security studies, forensic science, or related fields, - trainee investigators under supervised practice.</w:t>
      </w:r>
    </w:p>
    <w:p w14:paraId="45874B25" w14:textId="77777777" w:rsidR="008C6806" w:rsidRDefault="00000000">
      <w:pPr>
        <w:pStyle w:val="Heading3"/>
      </w:pPr>
      <w:bookmarkStart w:id="4" w:name="micro-and-small-enterprise-requirements"/>
      <w:r>
        <w:lastRenderedPageBreak/>
        <w:t>Micro and Small Enterprise Requirements</w:t>
      </w:r>
    </w:p>
    <w:p w14:paraId="725AB6DC" w14:textId="77777777" w:rsidR="008C6806" w:rsidRDefault="00000000">
      <w:pPr>
        <w:pStyle w:val="FirstParagraph"/>
      </w:pPr>
      <w:r>
        <w:rPr>
          <w:b/>
          <w:bCs/>
        </w:rPr>
        <w:t>5A (2)</w:t>
      </w:r>
      <w:r>
        <w:t xml:space="preserve"> Small applicants should only be required to provide: - identification or incorporation documents, - tax compliance certificates, - evidence of a bank account, - a list of equipment and personnel, - proof of basic insurance.</w:t>
      </w:r>
    </w:p>
    <w:p w14:paraId="1D260FC2" w14:textId="77777777" w:rsidR="008C6806" w:rsidRDefault="00000000">
      <w:pPr>
        <w:pStyle w:val="BodyText"/>
      </w:pPr>
      <w:r>
        <w:rPr>
          <w:b/>
          <w:bCs/>
        </w:rPr>
        <w:t>5A (3)</w:t>
      </w:r>
      <w:r>
        <w:t xml:space="preserve"> Audited accounts should not be required for the first two years of operation.</w:t>
      </w:r>
    </w:p>
    <w:p w14:paraId="58374670" w14:textId="77777777" w:rsidR="008C6806" w:rsidRDefault="00000000">
      <w:pPr>
        <w:pStyle w:val="Heading3"/>
      </w:pPr>
      <w:bookmarkStart w:id="5" w:name="X0898223f716637b7a6398959881e7b3e6c05549"/>
      <w:bookmarkEnd w:id="4"/>
      <w:r>
        <w:t>Pathway for Youth with Security-Related Qualifications</w:t>
      </w:r>
    </w:p>
    <w:p w14:paraId="5B962308" w14:textId="77777777" w:rsidR="008C6806" w:rsidRDefault="00000000">
      <w:pPr>
        <w:pStyle w:val="FirstParagraph"/>
      </w:pPr>
      <w:r>
        <w:rPr>
          <w:b/>
          <w:bCs/>
        </w:rPr>
        <w:t>5A (4)</w:t>
      </w:r>
      <w:r>
        <w:t xml:space="preserve"> Young people with diplomas or degrees in criminology, security studies, forensics, psychology, sociology, conflict studies, or related fields should qualify for faster registration.</w:t>
      </w:r>
    </w:p>
    <w:p w14:paraId="29CADCC6" w14:textId="77777777" w:rsidR="008C6806" w:rsidRDefault="00000000">
      <w:pPr>
        <w:pStyle w:val="BodyText"/>
      </w:pPr>
      <w:r>
        <w:rPr>
          <w:b/>
          <w:bCs/>
        </w:rPr>
        <w:t>5A (5)</w:t>
      </w:r>
      <w:r>
        <w:t xml:space="preserve"> Such applications should be processed within fourteen days.</w:t>
      </w:r>
    </w:p>
    <w:p w14:paraId="66845CDD" w14:textId="77777777" w:rsidR="008C6806" w:rsidRDefault="00000000">
      <w:pPr>
        <w:pStyle w:val="Heading3"/>
      </w:pPr>
      <w:bookmarkStart w:id="6" w:name="trainee-investigator-recognition"/>
      <w:bookmarkEnd w:id="5"/>
      <w:r>
        <w:t>Trainee Investigator Recognition</w:t>
      </w:r>
    </w:p>
    <w:p w14:paraId="7EEB6851" w14:textId="77777777" w:rsidR="008C6806" w:rsidRDefault="00000000">
      <w:pPr>
        <w:pStyle w:val="FirstParagraph"/>
      </w:pPr>
      <w:r>
        <w:rPr>
          <w:b/>
          <w:bCs/>
        </w:rPr>
        <w:t>5A (6)</w:t>
      </w:r>
      <w:r>
        <w:t xml:space="preserve"> The Authority should register trainee investigators who work under supervision and hold relevant qualifications.</w:t>
      </w:r>
    </w:p>
    <w:p w14:paraId="280DEA0E" w14:textId="77777777" w:rsidR="008C6806" w:rsidRDefault="00000000">
      <w:pPr>
        <w:pStyle w:val="BodyText"/>
      </w:pPr>
      <w:r>
        <w:rPr>
          <w:b/>
          <w:bCs/>
        </w:rPr>
        <w:t>5A (7)</w:t>
      </w:r>
      <w:r>
        <w:t xml:space="preserve"> A trainee investigator certificate should allow supervised evidence collection, research, incident documentation, and participation in risk assessments.</w:t>
      </w:r>
    </w:p>
    <w:p w14:paraId="38D8F407" w14:textId="77777777" w:rsidR="008C6806" w:rsidRDefault="00000000">
      <w:pPr>
        <w:pStyle w:val="Heading3"/>
      </w:pPr>
      <w:bookmarkStart w:id="7" w:name="recognition-of-prior-experience"/>
      <w:bookmarkEnd w:id="6"/>
      <w:r>
        <w:t>Recognition of Prior Experience</w:t>
      </w:r>
    </w:p>
    <w:p w14:paraId="76167B52" w14:textId="77777777" w:rsidR="008C6806" w:rsidRDefault="00000000">
      <w:pPr>
        <w:pStyle w:val="FirstParagraph"/>
      </w:pPr>
      <w:r>
        <w:rPr>
          <w:b/>
          <w:bCs/>
        </w:rPr>
        <w:t>5A (8)</w:t>
      </w:r>
      <w:r>
        <w:t xml:space="preserve"> The Authority should recognise previous experience in policing, security, community safety, or related fields.</w:t>
      </w:r>
    </w:p>
    <w:p w14:paraId="5785DD44" w14:textId="77777777" w:rsidR="008C6806" w:rsidRDefault="00000000">
      <w:pPr>
        <w:pStyle w:val="Heading3"/>
      </w:pPr>
      <w:bookmarkStart w:id="8" w:name="nondiscrimination-clause"/>
      <w:bookmarkEnd w:id="7"/>
      <w:r>
        <w:t>Non‑Discrimination Clause</w:t>
      </w:r>
    </w:p>
    <w:p w14:paraId="458669DF" w14:textId="77777777" w:rsidR="008C6806" w:rsidRDefault="00000000">
      <w:pPr>
        <w:pStyle w:val="FirstParagraph"/>
      </w:pPr>
      <w:r>
        <w:rPr>
          <w:b/>
          <w:bCs/>
        </w:rPr>
        <w:t>5A (9)</w:t>
      </w:r>
      <w:r>
        <w:t xml:space="preserve"> No additional requirements should be imposed on applicants beyond what is specified in the Act or these Regulations.</w:t>
      </w:r>
    </w:p>
    <w:p w14:paraId="509866A1" w14:textId="77777777" w:rsidR="008C6806" w:rsidRDefault="00000000">
      <w:pPr>
        <w:pStyle w:val="Heading1"/>
      </w:pPr>
      <w:bookmarkStart w:id="9" w:name="X65995457ba74dbe9bcbdfa587b84b61eb39855d"/>
      <w:bookmarkEnd w:id="2"/>
      <w:bookmarkEnd w:id="3"/>
      <w:bookmarkEnd w:id="8"/>
      <w:r>
        <w:t>2. Corrections to Reduce Abuse of Power and Increase Fairness</w:t>
      </w:r>
    </w:p>
    <w:p w14:paraId="01A6076F" w14:textId="77777777" w:rsidR="008C6806" w:rsidRDefault="00000000">
      <w:pPr>
        <w:pStyle w:val="FirstParagraph"/>
      </w:pPr>
      <w:r>
        <w:t>Several clauses in the draft regulations may be misinterpreted or abused. Below are proposed replacements intended to increase fairness, clarity, and accountability.</w:t>
      </w:r>
    </w:p>
    <w:tbl>
      <w:tblPr>
        <w:tblStyle w:val="PlainTable1"/>
        <w:tblW w:w="5000" w:type="pct"/>
        <w:tblLayout w:type="fixed"/>
        <w:tblLook w:val="0020" w:firstRow="1" w:lastRow="0" w:firstColumn="0" w:lastColumn="0" w:noHBand="0" w:noVBand="0"/>
      </w:tblPr>
      <w:tblGrid>
        <w:gridCol w:w="2088"/>
        <w:gridCol w:w="3782"/>
        <w:gridCol w:w="3706"/>
      </w:tblGrid>
      <w:tr w:rsidR="008C6806" w14:paraId="0CE89B11" w14:textId="77777777" w:rsidTr="004E38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tcPr>
          <w:p w14:paraId="5977D1BD" w14:textId="77777777" w:rsidR="008C6806" w:rsidRDefault="00000000">
            <w:pPr>
              <w:pStyle w:val="Compact"/>
            </w:pPr>
            <w:r>
              <w:t>Old Clause</w:t>
            </w:r>
          </w:p>
        </w:tc>
        <w:tc>
          <w:tcPr>
            <w:tcW w:w="3782" w:type="dxa"/>
          </w:tcPr>
          <w:p w14:paraId="64B62423" w14:textId="77777777" w:rsidR="008C6806" w:rsidRDefault="00000000">
            <w:pPr>
              <w:pStyle w:val="Compact"/>
              <w:cnfStyle w:val="100000000000" w:firstRow="1" w:lastRow="0" w:firstColumn="0" w:lastColumn="0" w:oddVBand="0" w:evenVBand="0" w:oddHBand="0" w:evenHBand="0" w:firstRowFirstColumn="0" w:firstRowLastColumn="0" w:lastRowFirstColumn="0" w:lastRowLastColumn="0"/>
            </w:pPr>
            <w:r>
              <w:t>Why It Should Be Revised</w:t>
            </w:r>
          </w:p>
        </w:tc>
        <w:tc>
          <w:tcPr>
            <w:cnfStyle w:val="000010000000" w:firstRow="0" w:lastRow="0" w:firstColumn="0" w:lastColumn="0" w:oddVBand="1" w:evenVBand="0" w:oddHBand="0" w:evenHBand="0" w:firstRowFirstColumn="0" w:firstRowLastColumn="0" w:lastRowFirstColumn="0" w:lastRowLastColumn="0"/>
            <w:tcW w:w="3706" w:type="dxa"/>
          </w:tcPr>
          <w:p w14:paraId="3A954E46" w14:textId="77777777" w:rsidR="008C6806" w:rsidRDefault="00000000">
            <w:pPr>
              <w:pStyle w:val="Compact"/>
            </w:pPr>
            <w:r>
              <w:t>Suggested Replacement</w:t>
            </w:r>
          </w:p>
        </w:tc>
      </w:tr>
      <w:tr w:rsidR="008C6806" w14:paraId="4074185D"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tcPr>
          <w:p w14:paraId="5291812A" w14:textId="77777777" w:rsidR="008C6806" w:rsidRDefault="00000000">
            <w:pPr>
              <w:pStyle w:val="Compact"/>
            </w:pPr>
            <w:r>
              <w:t>Regulation 5(t): any other information that the Authority may specify</w:t>
            </w:r>
          </w:p>
        </w:tc>
        <w:tc>
          <w:tcPr>
            <w:tcW w:w="3782" w:type="dxa"/>
          </w:tcPr>
          <w:p w14:paraId="3315059F"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Allows unlimited demands for documents and creates room for harassment</w:t>
            </w:r>
          </w:p>
        </w:tc>
        <w:tc>
          <w:tcPr>
            <w:cnfStyle w:val="000010000000" w:firstRow="0" w:lastRow="0" w:firstColumn="0" w:lastColumn="0" w:oddVBand="1" w:evenVBand="0" w:oddHBand="0" w:evenHBand="0" w:firstRowFirstColumn="0" w:firstRowLastColumn="0" w:lastRowFirstColumn="0" w:lastRowLastColumn="0"/>
            <w:tcW w:w="3706" w:type="dxa"/>
          </w:tcPr>
          <w:p w14:paraId="488564AD" w14:textId="77777777" w:rsidR="008C6806" w:rsidRDefault="00000000">
            <w:pPr>
              <w:pStyle w:val="Compact"/>
            </w:pPr>
            <w:r>
              <w:t>No documents should be demanded beyond what is listed in the Act or these Regulations</w:t>
            </w:r>
          </w:p>
        </w:tc>
      </w:tr>
      <w:tr w:rsidR="008C6806" w14:paraId="5660D3F2" w14:textId="77777777" w:rsidTr="004E3893">
        <w:tc>
          <w:tcPr>
            <w:cnfStyle w:val="000010000000" w:firstRow="0" w:lastRow="0" w:firstColumn="0" w:lastColumn="0" w:oddVBand="1" w:evenVBand="0" w:oddHBand="0" w:evenHBand="0" w:firstRowFirstColumn="0" w:firstRowLastColumn="0" w:lastRowFirstColumn="0" w:lastRowLastColumn="0"/>
            <w:tcW w:w="2088" w:type="dxa"/>
          </w:tcPr>
          <w:p w14:paraId="40D7879E" w14:textId="77777777" w:rsidR="008C6806" w:rsidRDefault="00000000">
            <w:pPr>
              <w:pStyle w:val="Compact"/>
            </w:pPr>
            <w:r>
              <w:lastRenderedPageBreak/>
              <w:t>Regulation 13: broad inspection and calibration powers</w:t>
            </w:r>
          </w:p>
        </w:tc>
        <w:tc>
          <w:tcPr>
            <w:tcW w:w="3782" w:type="dxa"/>
          </w:tcPr>
          <w:p w14:paraId="277A9E74"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May enable unfair penalties or favour certain vendors</w:t>
            </w:r>
          </w:p>
        </w:tc>
        <w:tc>
          <w:tcPr>
            <w:cnfStyle w:val="000010000000" w:firstRow="0" w:lastRow="0" w:firstColumn="0" w:lastColumn="0" w:oddVBand="1" w:evenVBand="0" w:oddHBand="0" w:evenHBand="0" w:firstRowFirstColumn="0" w:firstRowLastColumn="0" w:lastRowFirstColumn="0" w:lastRowLastColumn="0"/>
            <w:tcW w:w="3706" w:type="dxa"/>
          </w:tcPr>
          <w:p w14:paraId="261D8AC1" w14:textId="77777777" w:rsidR="008C6806" w:rsidRDefault="00000000">
            <w:pPr>
              <w:pStyle w:val="Compact"/>
            </w:pPr>
            <w:r>
              <w:t>Inspections should follow a published checklist. Calibration may be done by any accredited technician</w:t>
            </w:r>
          </w:p>
        </w:tc>
      </w:tr>
      <w:tr w:rsidR="008C6806" w14:paraId="11843962"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tcPr>
          <w:p w14:paraId="5BAFCFD7" w14:textId="77777777" w:rsidR="008C6806" w:rsidRDefault="00000000">
            <w:pPr>
              <w:pStyle w:val="Compact"/>
            </w:pPr>
            <w:r>
              <w:t>Regulation 14: subjective restrictions on uniform colours</w:t>
            </w:r>
          </w:p>
        </w:tc>
        <w:tc>
          <w:tcPr>
            <w:tcW w:w="3782" w:type="dxa"/>
          </w:tcPr>
          <w:p w14:paraId="02C55EA6"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Can be interpreted differently by different officers</w:t>
            </w:r>
          </w:p>
        </w:tc>
        <w:tc>
          <w:tcPr>
            <w:cnfStyle w:val="000010000000" w:firstRow="0" w:lastRow="0" w:firstColumn="0" w:lastColumn="0" w:oddVBand="1" w:evenVBand="0" w:oddHBand="0" w:evenHBand="0" w:firstRowFirstColumn="0" w:firstRowLastColumn="0" w:lastRowFirstColumn="0" w:lastRowLastColumn="0"/>
            <w:tcW w:w="3706" w:type="dxa"/>
          </w:tcPr>
          <w:p w14:paraId="68CCBD3A" w14:textId="77777777" w:rsidR="008C6806" w:rsidRDefault="00000000">
            <w:pPr>
              <w:pStyle w:val="Compact"/>
            </w:pPr>
            <w:r>
              <w:t>Colour and design standards should be based on a published, objective chart</w:t>
            </w:r>
          </w:p>
        </w:tc>
      </w:tr>
      <w:tr w:rsidR="008C6806" w14:paraId="4027071B" w14:textId="77777777" w:rsidTr="004E3893">
        <w:tc>
          <w:tcPr>
            <w:cnfStyle w:val="000010000000" w:firstRow="0" w:lastRow="0" w:firstColumn="0" w:lastColumn="0" w:oddVBand="1" w:evenVBand="0" w:oddHBand="0" w:evenHBand="0" w:firstRowFirstColumn="0" w:firstRowLastColumn="0" w:lastRowFirstColumn="0" w:lastRowLastColumn="0"/>
            <w:tcW w:w="2088" w:type="dxa"/>
          </w:tcPr>
          <w:p w14:paraId="189A30E2" w14:textId="77777777" w:rsidR="008C6806" w:rsidRDefault="00000000">
            <w:pPr>
              <w:pStyle w:val="Compact"/>
            </w:pPr>
            <w:r>
              <w:t>Regulation 15: licensing internal communication software</w:t>
            </w:r>
          </w:p>
        </w:tc>
        <w:tc>
          <w:tcPr>
            <w:tcW w:w="3782" w:type="dxa"/>
          </w:tcPr>
          <w:p w14:paraId="6E51FE21"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Creates unnecessary delays and burdens</w:t>
            </w:r>
          </w:p>
        </w:tc>
        <w:tc>
          <w:tcPr>
            <w:cnfStyle w:val="000010000000" w:firstRow="0" w:lastRow="0" w:firstColumn="0" w:lastColumn="0" w:oddVBand="1" w:evenVBand="0" w:oddHBand="0" w:evenHBand="0" w:firstRowFirstColumn="0" w:firstRowLastColumn="0" w:lastRowFirstColumn="0" w:lastRowLastColumn="0"/>
            <w:tcW w:w="3706" w:type="dxa"/>
          </w:tcPr>
          <w:p w14:paraId="5A8F2263" w14:textId="77777777" w:rsidR="008C6806" w:rsidRDefault="00000000">
            <w:pPr>
              <w:pStyle w:val="Compact"/>
            </w:pPr>
            <w:r>
              <w:t>Internal systems that do not link to national security should not require a licence</w:t>
            </w:r>
          </w:p>
        </w:tc>
      </w:tr>
      <w:tr w:rsidR="008C6806" w14:paraId="3746E898"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tcPr>
          <w:p w14:paraId="34487A2A" w14:textId="77777777" w:rsidR="008C6806" w:rsidRDefault="00000000">
            <w:pPr>
              <w:pStyle w:val="Compact"/>
            </w:pPr>
            <w:r>
              <w:t>Regulation 20: retention of identification documents</w:t>
            </w:r>
          </w:p>
        </w:tc>
        <w:tc>
          <w:tcPr>
            <w:tcW w:w="3782" w:type="dxa"/>
          </w:tcPr>
          <w:p w14:paraId="5B83718D"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May lead to privacy risks or misuse of personal data</w:t>
            </w:r>
          </w:p>
        </w:tc>
        <w:tc>
          <w:tcPr>
            <w:cnfStyle w:val="000010000000" w:firstRow="0" w:lastRow="0" w:firstColumn="0" w:lastColumn="0" w:oddVBand="1" w:evenVBand="0" w:oddHBand="0" w:evenHBand="0" w:firstRowFirstColumn="0" w:firstRowLastColumn="0" w:lastRowFirstColumn="0" w:lastRowLastColumn="0"/>
            <w:tcW w:w="3706" w:type="dxa"/>
          </w:tcPr>
          <w:p w14:paraId="5CA81553" w14:textId="77777777" w:rsidR="008C6806" w:rsidRDefault="00000000">
            <w:pPr>
              <w:pStyle w:val="Compact"/>
            </w:pPr>
            <w:r>
              <w:t>The Authority should not retain or copy ID documents except for initial registration</w:t>
            </w:r>
          </w:p>
        </w:tc>
      </w:tr>
      <w:tr w:rsidR="008C6806" w14:paraId="246B6E42" w14:textId="77777777" w:rsidTr="004E3893">
        <w:tc>
          <w:tcPr>
            <w:cnfStyle w:val="000010000000" w:firstRow="0" w:lastRow="0" w:firstColumn="0" w:lastColumn="0" w:oddVBand="1" w:evenVBand="0" w:oddHBand="0" w:evenHBand="0" w:firstRowFirstColumn="0" w:firstRowLastColumn="0" w:lastRowFirstColumn="0" w:lastRowLastColumn="0"/>
            <w:tcW w:w="2088" w:type="dxa"/>
          </w:tcPr>
          <w:p w14:paraId="3655E816" w14:textId="77777777" w:rsidR="008C6806" w:rsidRDefault="00000000">
            <w:pPr>
              <w:pStyle w:val="Compact"/>
            </w:pPr>
            <w:r>
              <w:t>Act Section 32: vague reasons for cancelling licences</w:t>
            </w:r>
          </w:p>
        </w:tc>
        <w:tc>
          <w:tcPr>
            <w:tcW w:w="3782" w:type="dxa"/>
          </w:tcPr>
          <w:p w14:paraId="18B557CE"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Allows cancellations for unrelated or minor issues</w:t>
            </w:r>
          </w:p>
        </w:tc>
        <w:tc>
          <w:tcPr>
            <w:cnfStyle w:val="000010000000" w:firstRow="0" w:lastRow="0" w:firstColumn="0" w:lastColumn="0" w:oddVBand="1" w:evenVBand="0" w:oddHBand="0" w:evenHBand="0" w:firstRowFirstColumn="0" w:firstRowLastColumn="0" w:lastRowFirstColumn="0" w:lastRowLastColumn="0"/>
            <w:tcW w:w="3706" w:type="dxa"/>
          </w:tcPr>
          <w:p w14:paraId="7FF63C12" w14:textId="77777777" w:rsidR="008C6806" w:rsidRDefault="00000000">
            <w:pPr>
              <w:pStyle w:val="Compact"/>
            </w:pPr>
            <w:r>
              <w:t>Licences should be cancelled only for clearly defined violations connected to security duties</w:t>
            </w:r>
          </w:p>
        </w:tc>
      </w:tr>
      <w:tr w:rsidR="008C6806" w14:paraId="73E874D6"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tcPr>
          <w:p w14:paraId="4871AD39" w14:textId="77777777" w:rsidR="008C6806" w:rsidRDefault="00000000">
            <w:pPr>
              <w:pStyle w:val="Compact"/>
            </w:pPr>
            <w:r>
              <w:t>Regulations 16–17: broad cooperation powers</w:t>
            </w:r>
          </w:p>
        </w:tc>
        <w:tc>
          <w:tcPr>
            <w:tcW w:w="3782" w:type="dxa"/>
          </w:tcPr>
          <w:p w14:paraId="4C0F35FA"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May force companies to provide vehicles, fuel, or free labour</w:t>
            </w:r>
          </w:p>
        </w:tc>
        <w:tc>
          <w:tcPr>
            <w:cnfStyle w:val="000010000000" w:firstRow="0" w:lastRow="0" w:firstColumn="0" w:lastColumn="0" w:oddVBand="1" w:evenVBand="0" w:oddHBand="0" w:evenHBand="0" w:firstRowFirstColumn="0" w:firstRowLastColumn="0" w:lastRowFirstColumn="0" w:lastRowLastColumn="0"/>
            <w:tcW w:w="3706" w:type="dxa"/>
          </w:tcPr>
          <w:p w14:paraId="7E96A297" w14:textId="77777777" w:rsidR="008C6806" w:rsidRDefault="00000000">
            <w:pPr>
              <w:pStyle w:val="Compact"/>
            </w:pPr>
            <w:r>
              <w:t>Cooperation should not include financial or material support unless clearly defined in the Act</w:t>
            </w:r>
          </w:p>
        </w:tc>
      </w:tr>
      <w:tr w:rsidR="008C6806" w14:paraId="64246535" w14:textId="77777777" w:rsidTr="004E3893">
        <w:tc>
          <w:tcPr>
            <w:cnfStyle w:val="000010000000" w:firstRow="0" w:lastRow="0" w:firstColumn="0" w:lastColumn="0" w:oddVBand="1" w:evenVBand="0" w:oddHBand="0" w:evenHBand="0" w:firstRowFirstColumn="0" w:firstRowLastColumn="0" w:lastRowFirstColumn="0" w:lastRowLastColumn="0"/>
            <w:tcW w:w="2088" w:type="dxa"/>
          </w:tcPr>
          <w:p w14:paraId="37D72ADB" w14:textId="77777777" w:rsidR="008C6806" w:rsidRDefault="00000000">
            <w:pPr>
              <w:pStyle w:val="Compact"/>
            </w:pPr>
            <w:r>
              <w:t>Act Section 60–61: unlimited levy powers</w:t>
            </w:r>
          </w:p>
        </w:tc>
        <w:tc>
          <w:tcPr>
            <w:tcW w:w="3782" w:type="dxa"/>
          </w:tcPr>
          <w:p w14:paraId="5493E9CD"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Allows levies to be increased without limit</w:t>
            </w:r>
          </w:p>
        </w:tc>
        <w:tc>
          <w:tcPr>
            <w:cnfStyle w:val="000010000000" w:firstRow="0" w:lastRow="0" w:firstColumn="0" w:lastColumn="0" w:oddVBand="1" w:evenVBand="0" w:oddHBand="0" w:evenHBand="0" w:firstRowFirstColumn="0" w:firstRowLastColumn="0" w:lastRowFirstColumn="0" w:lastRowLastColumn="0"/>
            <w:tcW w:w="3706" w:type="dxa"/>
          </w:tcPr>
          <w:p w14:paraId="497D39EF" w14:textId="77777777" w:rsidR="008C6806" w:rsidRDefault="00000000">
            <w:pPr>
              <w:pStyle w:val="Compact"/>
            </w:pPr>
            <w:r>
              <w:t>The levy should be capped at one percent of annual revenue and undergo public participation</w:t>
            </w:r>
          </w:p>
        </w:tc>
      </w:tr>
      <w:tr w:rsidR="008C6806" w14:paraId="29420FCB"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tcPr>
          <w:p w14:paraId="634B84DC" w14:textId="77777777" w:rsidR="008C6806" w:rsidRDefault="00000000">
            <w:pPr>
              <w:pStyle w:val="Compact"/>
            </w:pPr>
            <w:r>
              <w:t>Regulation 5(n): requirement to submit uniform samples</w:t>
            </w:r>
          </w:p>
        </w:tc>
        <w:tc>
          <w:tcPr>
            <w:tcW w:w="3782" w:type="dxa"/>
          </w:tcPr>
          <w:p w14:paraId="6334C742"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May create unnecessary delays and repeated requests</w:t>
            </w:r>
          </w:p>
        </w:tc>
        <w:tc>
          <w:tcPr>
            <w:cnfStyle w:val="000010000000" w:firstRow="0" w:lastRow="0" w:firstColumn="0" w:lastColumn="0" w:oddVBand="1" w:evenVBand="0" w:oddHBand="0" w:evenHBand="0" w:firstRowFirstColumn="0" w:firstRowLastColumn="0" w:lastRowFirstColumn="0" w:lastRowLastColumn="0"/>
            <w:tcW w:w="3706" w:type="dxa"/>
          </w:tcPr>
          <w:p w14:paraId="7ACD18EC" w14:textId="77777777" w:rsidR="008C6806" w:rsidRDefault="00000000">
            <w:pPr>
              <w:pStyle w:val="Compact"/>
            </w:pPr>
            <w:r>
              <w:t>Photo</w:t>
            </w:r>
            <w:r>
              <w:rPr>
                <w:rFonts w:ascii="Cambria Math" w:hAnsi="Cambria Math" w:cs="Cambria Math"/>
              </w:rPr>
              <w:t>‑</w:t>
            </w:r>
            <w:r>
              <w:t>based assessment is adequate and more transparent</w:t>
            </w:r>
          </w:p>
        </w:tc>
      </w:tr>
    </w:tbl>
    <w:p w14:paraId="6664B489" w14:textId="77777777" w:rsidR="008C6806" w:rsidRDefault="00000000">
      <w:pPr>
        <w:pStyle w:val="Heading1"/>
      </w:pPr>
      <w:bookmarkStart w:id="10" w:name="X4ff4265baa7af645f2f39a0c76002ebdba0c191"/>
      <w:bookmarkEnd w:id="9"/>
      <w:r>
        <w:t>3. Improving National Security Through Better Public and Private Coordination</w:t>
      </w:r>
    </w:p>
    <w:p w14:paraId="406EEB26" w14:textId="77777777" w:rsidR="008C6806" w:rsidRDefault="00000000">
      <w:pPr>
        <w:pStyle w:val="FirstParagraph"/>
      </w:pPr>
      <w:r>
        <w:t>Kenya can greatly benefit from structured cooperation between public agencies and private security actors. The private security sector is one of the largest sources of trained personnel and can support national security if engaged properly.</w:t>
      </w:r>
    </w:p>
    <w:tbl>
      <w:tblPr>
        <w:tblStyle w:val="PlainTable1"/>
        <w:tblW w:w="5000" w:type="pct"/>
        <w:tblLayout w:type="fixed"/>
        <w:tblLook w:val="0020" w:firstRow="1" w:lastRow="0" w:firstColumn="0" w:lastColumn="0" w:noHBand="0" w:noVBand="0"/>
      </w:tblPr>
      <w:tblGrid>
        <w:gridCol w:w="2441"/>
        <w:gridCol w:w="3004"/>
        <w:gridCol w:w="4131"/>
      </w:tblGrid>
      <w:tr w:rsidR="008C6806" w14:paraId="6690A2BD" w14:textId="77777777" w:rsidTr="004E38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8" w:type="dxa"/>
          </w:tcPr>
          <w:p w14:paraId="7A3FE28C" w14:textId="77777777" w:rsidR="008C6806" w:rsidRDefault="00000000">
            <w:pPr>
              <w:pStyle w:val="Compact"/>
            </w:pPr>
            <w:r>
              <w:t>Current Gap</w:t>
            </w:r>
          </w:p>
        </w:tc>
        <w:tc>
          <w:tcPr>
            <w:tcW w:w="2484" w:type="dxa"/>
          </w:tcPr>
          <w:p w14:paraId="7FE31B94" w14:textId="77777777" w:rsidR="008C6806" w:rsidRDefault="00000000">
            <w:pPr>
              <w:pStyle w:val="Compact"/>
              <w:cnfStyle w:val="100000000000" w:firstRow="1" w:lastRow="0" w:firstColumn="0" w:lastColumn="0" w:oddVBand="0" w:evenVBand="0" w:oddHBand="0" w:evenHBand="0" w:firstRowFirstColumn="0" w:firstRowLastColumn="0" w:lastRowFirstColumn="0" w:lastRowLastColumn="0"/>
            </w:pPr>
            <w:r>
              <w:t>Why It Matters</w:t>
            </w:r>
          </w:p>
        </w:tc>
        <w:tc>
          <w:tcPr>
            <w:cnfStyle w:val="000010000000" w:firstRow="0" w:lastRow="0" w:firstColumn="0" w:lastColumn="0" w:oddVBand="1" w:evenVBand="0" w:oddHBand="0" w:evenHBand="0" w:firstRowFirstColumn="0" w:firstRowLastColumn="0" w:lastRowFirstColumn="0" w:lastRowLastColumn="0"/>
            <w:tcW w:w="3416" w:type="dxa"/>
          </w:tcPr>
          <w:p w14:paraId="46A5ED62" w14:textId="77777777" w:rsidR="008C6806" w:rsidRDefault="00000000">
            <w:pPr>
              <w:pStyle w:val="Compact"/>
            </w:pPr>
            <w:r>
              <w:t>Suggested Addition</w:t>
            </w:r>
          </w:p>
        </w:tc>
      </w:tr>
      <w:tr w:rsidR="008C6806" w14:paraId="46E7C16D"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8" w:type="dxa"/>
          </w:tcPr>
          <w:p w14:paraId="55C01A34" w14:textId="77777777" w:rsidR="008C6806" w:rsidRDefault="00000000">
            <w:pPr>
              <w:pStyle w:val="Compact"/>
            </w:pPr>
            <w:r>
              <w:lastRenderedPageBreak/>
              <w:t>No early warning framework using private security officers</w:t>
            </w:r>
          </w:p>
        </w:tc>
        <w:tc>
          <w:tcPr>
            <w:tcW w:w="2484" w:type="dxa"/>
          </w:tcPr>
          <w:p w14:paraId="45BA2C29"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Private officers are present everywhere and can report incidents quickly</w:t>
            </w:r>
          </w:p>
        </w:tc>
        <w:tc>
          <w:tcPr>
            <w:cnfStyle w:val="000010000000" w:firstRow="0" w:lastRow="0" w:firstColumn="0" w:lastColumn="0" w:oddVBand="1" w:evenVBand="0" w:oddHBand="0" w:evenHBand="0" w:firstRowFirstColumn="0" w:firstRowLastColumn="0" w:lastRowFirstColumn="0" w:lastRowLastColumn="0"/>
            <w:tcW w:w="3416" w:type="dxa"/>
          </w:tcPr>
          <w:p w14:paraId="123CF09F" w14:textId="77777777" w:rsidR="008C6806" w:rsidRDefault="00000000">
            <w:pPr>
              <w:pStyle w:val="Compact"/>
            </w:pPr>
            <w:r>
              <w:t>Create a digital incident</w:t>
            </w:r>
            <w:r>
              <w:rPr>
                <w:rFonts w:ascii="Cambria Math" w:hAnsi="Cambria Math" w:cs="Cambria Math"/>
              </w:rPr>
              <w:t>‑</w:t>
            </w:r>
            <w:r>
              <w:t>reporting framework for verified submissions</w:t>
            </w:r>
          </w:p>
        </w:tc>
      </w:tr>
      <w:tr w:rsidR="008C6806" w14:paraId="01CCDCB0" w14:textId="77777777" w:rsidTr="004E3893">
        <w:tc>
          <w:tcPr>
            <w:cnfStyle w:val="000010000000" w:firstRow="0" w:lastRow="0" w:firstColumn="0" w:lastColumn="0" w:oddVBand="1" w:evenVBand="0" w:oddHBand="0" w:evenHBand="0" w:firstRowFirstColumn="0" w:firstRowLastColumn="0" w:lastRowFirstColumn="0" w:lastRowLastColumn="0"/>
            <w:tcW w:w="2018" w:type="dxa"/>
          </w:tcPr>
          <w:p w14:paraId="43F45F3E" w14:textId="77777777" w:rsidR="008C6806" w:rsidRDefault="00000000">
            <w:pPr>
              <w:pStyle w:val="Compact"/>
            </w:pPr>
            <w:r>
              <w:t>Private security not integrated in disaster response</w:t>
            </w:r>
          </w:p>
        </w:tc>
        <w:tc>
          <w:tcPr>
            <w:tcW w:w="2484" w:type="dxa"/>
          </w:tcPr>
          <w:p w14:paraId="10F6B5E7"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They are often first on the scene</w:t>
            </w:r>
          </w:p>
        </w:tc>
        <w:tc>
          <w:tcPr>
            <w:cnfStyle w:val="000010000000" w:firstRow="0" w:lastRow="0" w:firstColumn="0" w:lastColumn="0" w:oddVBand="1" w:evenVBand="0" w:oddHBand="0" w:evenHBand="0" w:firstRowFirstColumn="0" w:firstRowLastColumn="0" w:lastRowFirstColumn="0" w:lastRowLastColumn="0"/>
            <w:tcW w:w="3416" w:type="dxa"/>
          </w:tcPr>
          <w:p w14:paraId="63AD135E" w14:textId="77777777" w:rsidR="008C6806" w:rsidRDefault="00000000">
            <w:pPr>
              <w:pStyle w:val="Compact"/>
            </w:pPr>
            <w:r>
              <w:t>Allow designation as auxiliary responders under clear guidelines</w:t>
            </w:r>
          </w:p>
        </w:tc>
      </w:tr>
      <w:tr w:rsidR="008C6806" w14:paraId="14620698"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8" w:type="dxa"/>
          </w:tcPr>
          <w:p w14:paraId="2B3AEFC1" w14:textId="77777777" w:rsidR="008C6806" w:rsidRDefault="00000000">
            <w:pPr>
              <w:pStyle w:val="Compact"/>
            </w:pPr>
            <w:r>
              <w:t>No structured pathway for specialised skills (cyber, forensic, investigative)</w:t>
            </w:r>
          </w:p>
        </w:tc>
        <w:tc>
          <w:tcPr>
            <w:tcW w:w="2484" w:type="dxa"/>
          </w:tcPr>
          <w:p w14:paraId="0F0C9237"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Kenya faces modern crime threats requiring specialised knowledge</w:t>
            </w:r>
          </w:p>
        </w:tc>
        <w:tc>
          <w:tcPr>
            <w:cnfStyle w:val="000010000000" w:firstRow="0" w:lastRow="0" w:firstColumn="0" w:lastColumn="0" w:oddVBand="1" w:evenVBand="0" w:oddHBand="0" w:evenHBand="0" w:firstRowFirstColumn="0" w:firstRowLastColumn="0" w:lastRowFirstColumn="0" w:lastRowLastColumn="0"/>
            <w:tcW w:w="3416" w:type="dxa"/>
          </w:tcPr>
          <w:p w14:paraId="7051FCF4" w14:textId="77777777" w:rsidR="008C6806" w:rsidRDefault="00000000">
            <w:pPr>
              <w:pStyle w:val="Compact"/>
            </w:pPr>
            <w:r>
              <w:t>Accredit specialised training modules in key areas</w:t>
            </w:r>
          </w:p>
        </w:tc>
      </w:tr>
      <w:tr w:rsidR="008C6806" w14:paraId="5B0786DB" w14:textId="77777777" w:rsidTr="004E3893">
        <w:tc>
          <w:tcPr>
            <w:cnfStyle w:val="000010000000" w:firstRow="0" w:lastRow="0" w:firstColumn="0" w:lastColumn="0" w:oddVBand="1" w:evenVBand="0" w:oddHBand="0" w:evenHBand="0" w:firstRowFirstColumn="0" w:firstRowLastColumn="0" w:lastRowFirstColumn="0" w:lastRowLastColumn="0"/>
            <w:tcW w:w="2018" w:type="dxa"/>
          </w:tcPr>
          <w:p w14:paraId="0FA3A2B4" w14:textId="77777777" w:rsidR="008C6806" w:rsidRDefault="00000000">
            <w:pPr>
              <w:pStyle w:val="Compact"/>
            </w:pPr>
            <w:r>
              <w:t>No public</w:t>
            </w:r>
            <w:r>
              <w:rPr>
                <w:rFonts w:ascii="Cambria Math" w:hAnsi="Cambria Math" w:cs="Cambria Math"/>
              </w:rPr>
              <w:t>‑</w:t>
            </w:r>
            <w:r>
              <w:t>private intelligence sharing mechanism</w:t>
            </w:r>
          </w:p>
        </w:tc>
        <w:tc>
          <w:tcPr>
            <w:tcW w:w="2484" w:type="dxa"/>
          </w:tcPr>
          <w:p w14:paraId="13A590AF"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Sharing is inconsistent, reducing effectiveness</w:t>
            </w:r>
          </w:p>
        </w:tc>
        <w:tc>
          <w:tcPr>
            <w:cnfStyle w:val="000010000000" w:firstRow="0" w:lastRow="0" w:firstColumn="0" w:lastColumn="0" w:oddVBand="1" w:evenVBand="0" w:oddHBand="0" w:evenHBand="0" w:firstRowFirstColumn="0" w:firstRowLastColumn="0" w:lastRowFirstColumn="0" w:lastRowLastColumn="0"/>
            <w:tcW w:w="3416" w:type="dxa"/>
          </w:tcPr>
          <w:p w14:paraId="51AC5361" w14:textId="77777777" w:rsidR="008C6806" w:rsidRDefault="00000000">
            <w:pPr>
              <w:pStyle w:val="Compact"/>
            </w:pPr>
            <w:r>
              <w:t>Establish a private</w:t>
            </w:r>
            <w:r>
              <w:rPr>
                <w:rFonts w:ascii="Cambria Math" w:hAnsi="Cambria Math" w:cs="Cambria Math"/>
              </w:rPr>
              <w:t>‑</w:t>
            </w:r>
            <w:r>
              <w:t>security fusion liaison framework</w:t>
            </w:r>
          </w:p>
        </w:tc>
      </w:tr>
      <w:tr w:rsidR="008C6806" w14:paraId="0985E82A" w14:textId="77777777" w:rsidTr="004E38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8" w:type="dxa"/>
          </w:tcPr>
          <w:p w14:paraId="4ACD5880" w14:textId="77777777" w:rsidR="008C6806" w:rsidRDefault="00000000">
            <w:pPr>
              <w:pStyle w:val="Compact"/>
            </w:pPr>
            <w:r>
              <w:t>Exclusion from national simulations</w:t>
            </w:r>
          </w:p>
        </w:tc>
        <w:tc>
          <w:tcPr>
            <w:tcW w:w="2484" w:type="dxa"/>
          </w:tcPr>
          <w:p w14:paraId="42C8F147" w14:textId="77777777" w:rsidR="008C6806" w:rsidRDefault="00000000">
            <w:pPr>
              <w:pStyle w:val="Compact"/>
              <w:cnfStyle w:val="000000100000" w:firstRow="0" w:lastRow="0" w:firstColumn="0" w:lastColumn="0" w:oddVBand="0" w:evenVBand="0" w:oddHBand="1" w:evenHBand="0" w:firstRowFirstColumn="0" w:firstRowLastColumn="0" w:lastRowFirstColumn="0" w:lastRowLastColumn="0"/>
            </w:pPr>
            <w:r>
              <w:t>Reduces preparedness and response efficiency</w:t>
            </w:r>
          </w:p>
        </w:tc>
        <w:tc>
          <w:tcPr>
            <w:cnfStyle w:val="000010000000" w:firstRow="0" w:lastRow="0" w:firstColumn="0" w:lastColumn="0" w:oddVBand="1" w:evenVBand="0" w:oddHBand="0" w:evenHBand="0" w:firstRowFirstColumn="0" w:firstRowLastColumn="0" w:lastRowFirstColumn="0" w:lastRowLastColumn="0"/>
            <w:tcW w:w="3416" w:type="dxa"/>
          </w:tcPr>
          <w:p w14:paraId="31DD1546" w14:textId="77777777" w:rsidR="008C6806" w:rsidRDefault="00000000">
            <w:pPr>
              <w:pStyle w:val="Compact"/>
            </w:pPr>
            <w:r>
              <w:t>Invite registered firms to multi</w:t>
            </w:r>
            <w:r>
              <w:rPr>
                <w:rFonts w:ascii="Cambria Math" w:hAnsi="Cambria Math" w:cs="Cambria Math"/>
              </w:rPr>
              <w:t>‑</w:t>
            </w:r>
            <w:r>
              <w:t>agency drills</w:t>
            </w:r>
          </w:p>
        </w:tc>
      </w:tr>
      <w:tr w:rsidR="008C6806" w14:paraId="5FA8A16F" w14:textId="77777777" w:rsidTr="004E3893">
        <w:tc>
          <w:tcPr>
            <w:cnfStyle w:val="000010000000" w:firstRow="0" w:lastRow="0" w:firstColumn="0" w:lastColumn="0" w:oddVBand="1" w:evenVBand="0" w:oddHBand="0" w:evenHBand="0" w:firstRowFirstColumn="0" w:firstRowLastColumn="0" w:lastRowFirstColumn="0" w:lastRowLastColumn="0"/>
            <w:tcW w:w="2018" w:type="dxa"/>
          </w:tcPr>
          <w:p w14:paraId="71283C8A" w14:textId="77777777" w:rsidR="008C6806" w:rsidRDefault="00000000">
            <w:pPr>
              <w:pStyle w:val="Compact"/>
            </w:pPr>
            <w:r>
              <w:t>No register of specialised private talent</w:t>
            </w:r>
          </w:p>
        </w:tc>
        <w:tc>
          <w:tcPr>
            <w:tcW w:w="2484" w:type="dxa"/>
          </w:tcPr>
          <w:p w14:paraId="2FA77D8F" w14:textId="77777777" w:rsidR="008C6806" w:rsidRDefault="00000000">
            <w:pPr>
              <w:pStyle w:val="Compact"/>
              <w:cnfStyle w:val="000000000000" w:firstRow="0" w:lastRow="0" w:firstColumn="0" w:lastColumn="0" w:oddVBand="0" w:evenVBand="0" w:oddHBand="0" w:evenHBand="0" w:firstRowFirstColumn="0" w:firstRowLastColumn="0" w:lastRowFirstColumn="0" w:lastRowLastColumn="0"/>
            </w:pPr>
            <w:r>
              <w:t>Kenya lacks a surge</w:t>
            </w:r>
            <w:r>
              <w:rPr>
                <w:rFonts w:ascii="Cambria Math" w:hAnsi="Cambria Math" w:cs="Cambria Math"/>
              </w:rPr>
              <w:t>‑</w:t>
            </w:r>
            <w:r>
              <w:t>ready reserve for emergencies</w:t>
            </w:r>
          </w:p>
        </w:tc>
        <w:tc>
          <w:tcPr>
            <w:cnfStyle w:val="000010000000" w:firstRow="0" w:lastRow="0" w:firstColumn="0" w:lastColumn="0" w:oddVBand="1" w:evenVBand="0" w:oddHBand="0" w:evenHBand="0" w:firstRowFirstColumn="0" w:firstRowLastColumn="0" w:lastRowFirstColumn="0" w:lastRowLastColumn="0"/>
            <w:tcW w:w="3416" w:type="dxa"/>
          </w:tcPr>
          <w:p w14:paraId="4788A181" w14:textId="77777777" w:rsidR="008C6806" w:rsidRDefault="00000000">
            <w:pPr>
              <w:pStyle w:val="Compact"/>
            </w:pPr>
            <w:r>
              <w:t>Create a national register of specialised private personnel</w:t>
            </w:r>
          </w:p>
        </w:tc>
      </w:tr>
    </w:tbl>
    <w:p w14:paraId="63461BC7" w14:textId="77777777" w:rsidR="008C6806" w:rsidRDefault="00000000">
      <w:pPr>
        <w:pStyle w:val="Heading1"/>
      </w:pPr>
      <w:bookmarkStart w:id="11" w:name="closing-statement"/>
      <w:bookmarkEnd w:id="10"/>
      <w:r>
        <w:t>Closing Statement</w:t>
      </w:r>
    </w:p>
    <w:p w14:paraId="13A4962F" w14:textId="77777777" w:rsidR="008C6806" w:rsidRDefault="00000000">
      <w:pPr>
        <w:pStyle w:val="FirstParagraph"/>
      </w:pPr>
      <w:r>
        <w:t>These recommendations are offered respectfully, with the hope that they help create a fairer, safer, and more forward‑looking regulatory framework. Strong regulations should protect the public, support national security, and give young Kenyans productive pathways to use their skills. I believe these proposals contribute toward that goal.</w:t>
      </w:r>
      <w:bookmarkEnd w:id="11"/>
    </w:p>
    <w:sectPr w:rsidR="008C68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CE70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444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C6806"/>
    <w:rsid w:val="004E3893"/>
    <w:rsid w:val="008C6806"/>
    <w:rsid w:val="00C04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37A9"/>
  <w15:docId w15:val="{7A017CD5-8DE0-4736-8739-DF0563CE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4E389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ITKenya Operations3</cp:lastModifiedBy>
  <cp:revision>2</cp:revision>
  <dcterms:created xsi:type="dcterms:W3CDTF">2025-11-27T12:47:00Z</dcterms:created>
  <dcterms:modified xsi:type="dcterms:W3CDTF">2025-11-27T12:48:00Z</dcterms:modified>
</cp:coreProperties>
</file>