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Савостин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Евгений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Александрович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Жуков Николай Николаевич, кандидат физ.-мат. наук, доцент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rFonts w:ascii="yandex-sans" w:cs="yandex-sans" w:eastAsia="yandex-sans" w:hAnsi="yandex-san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sz w:val="23"/>
                <w:szCs w:val="23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>
                <w:rFonts w:ascii="yandex-sans" w:cs="yandex-sans" w:eastAsia="yandex-sans" w:hAnsi="yandex-san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sz w:val="23"/>
                <w:szCs w:val="23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65"/>
              </w:tabs>
              <w:ind w:left="0" w:hanging="2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yandex-sans" w:cs="yandex-sans" w:eastAsia="yandex-sans" w:hAnsi="yandex-sans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27.12.2022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27.12.2022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27.12.2022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25.12.2022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  <w:vertAlign w:val="superscript"/>
        </w:rPr>
      </w:pP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принял к исполнению «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01</w:t>
      </w:r>
      <w:r w:rsidDel="00000000" w:rsidR="00000000" w:rsidRPr="00000000">
        <w:rPr>
          <w:sz w:val="20"/>
          <w:szCs w:val="20"/>
          <w:rtl w:val="0"/>
        </w:rPr>
        <w:t xml:space="preserve">» декабря 2022 г.  _____________________ ______________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ind w:left="-1" w:leftChars="-1" w:hanging="1" w:hangingChars="1"/>
      <w:textDirection w:val="btLr"/>
      <w:textAlignment w:val="top"/>
      <w:outlineLvl w:val="0"/>
    </w:pPr>
    <w:rPr>
      <w:color w:val="000000"/>
      <w:position w:val="-1"/>
      <w:lang w:bidi="hi-IN" w:eastAsia="hi-I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a4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0" w:customStyle="1">
    <w:name w:val="Обычный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a5" w:customStyle="1">
    <w:name w:val="Обычный (веб)"/>
    <w:basedOn w:val="a"/>
    <w:qFormat w:val="1"/>
    <w:pPr>
      <w:suppressAutoHyphens w:val="1"/>
      <w:spacing w:after="100" w:afterAutospacing="1" w:before="100" w:beforeAutospacing="1"/>
    </w:pPr>
    <w:rPr>
      <w:lang w:bidi="ar-SA" w:eastAsia="ru-RU"/>
    </w:rPr>
  </w:style>
  <w:style w:type="character" w:styleId="a6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vEiYb7I+u+kEfazcbnuAuJWdUw==">AMUW2mUAw0JMxqXeT2p+rTWv9jGA0+fgYgqQ0v3AcXUUlSb56a3PGN2LjxkZ0yGFWpJvgVO3X7pKh/Lzgv8lCEBDYJT6xP39vQ48Z9NbYHhC+ZnMak+IGT7nGi6ZttAWp0LZi6mqzuup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