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20321</wp:posOffset>
                </wp:positionV>
                <wp:extent cx="2370455" cy="2379937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Разработчик, исполнитель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Глебов М.Д.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01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_» 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сентября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 2022г.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20321</wp:posOffset>
                </wp:positionV>
                <wp:extent cx="2370455" cy="2379937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23799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7621</wp:posOffset>
                </wp:positionV>
                <wp:extent cx="2370455" cy="205755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Заказчик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Савостин Е.А..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01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_» 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декабря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 2022г.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7621</wp:posOffset>
                </wp:positionV>
                <wp:extent cx="2370455" cy="2057555"/>
                <wp:effectExtent b="0" l="0" r="0" t="0"/>
                <wp:wrapSquare wrapText="bothSides" distB="45720" distT="45720" distL="114300" distR="114300"/>
                <wp:docPr id="2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2057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350520</wp:posOffset>
                </wp:positionV>
                <wp:extent cx="5923280" cy="1414145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89123" y="3077690"/>
                          <a:ext cx="5913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ТЕХНИЧЕСКОЕ ЗАДАНИЕ НА НИР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Веб приложение «Классические шахматы»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350520</wp:posOffset>
                </wp:positionV>
                <wp:extent cx="5923280" cy="1414145"/>
                <wp:effectExtent b="0" l="0" r="0" t="0"/>
                <wp:wrapSquare wrapText="bothSides" distB="45720" distT="45720" distL="114300" distR="114300"/>
                <wp:docPr id="2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ВЫПОЛНЕНИЯ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СТАДИИ И ЭТАПЫ РАЗРАБОТКИ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ind w:firstLine="0"/>
        <w:rPr/>
      </w:pPr>
      <w:bookmarkStart w:colFirst="0" w:colLast="0" w:name="_heading=h.gjdgxs" w:id="0"/>
      <w:bookmarkEnd w:id="0"/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ЦЕЛЬ ВЫПОЛНЕНИЯ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Целью работы является создание веб-приложения для игры в классические шахматы. Веб-приложение должно быть размещено на сервере и иметь открытый доступ для пользователей. Приложение состоит из frontend части, без взаимодействия с сервером. Все вычисления выполняются на стороне клиента.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ходе работы предполагается изучение материалов по работе с React библиотекой для создания пользовательских интерфейсов.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Разработка ведется с языком программирования Typescript, который позволяет создавать крупные приложения со статической типизацией, что дает возможность развивать и добавлять новый функционал в приложение в дальнейшем. Typescript — язык программирования, представленный Microsoft в 2012 году и позиционируемый как средство разработки веб-приложений, расширяющее возможности JavaScript. Как называют его разработчики, typescript – это javascript, который масштабируется.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Приложение будет находится в открытом доступе, предоставляя возможность посетителям сайта поиграть в шахматы.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Приложение должно содержать в себе следующие элементы: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Игровая доска – Поле для игры в шахматы 8 на 8 клеток, на котором расположены игровые фигуры(рис.1).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0.99999999999994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77332" cy="3477332"/>
            <wp:effectExtent b="0" l="0" r="0" t="0"/>
            <wp:docPr id="2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332" cy="347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рис.1 Шахматная доска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Фигуры – должны перемещаться согласно правилам игры в шахматы. Пользователь видит все возможные варианты ходов при выборе фигуры.</w:t>
        <w:br w:type="textWrapping"/>
        <w:br w:type="textWrapping"/>
        <w:t xml:space="preserve">Список фигур: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Король (King)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Королева (Queen)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Слон (Bishop)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Конь (Knight)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Ладья (Rook)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Пешка (Pawn)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Игровые часы – указывают время каждого игрока, имеется кнопка для перезапуска игры.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с информацией о партии – содержит информацию о забранных фигурах для каждого игрока.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Приложение должно работать на стороне клиента. Для работы не должны отправляться запросы на сервер. Предполагается возможность локального запуска без доступа к сети интернет.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Скорость развертывания приложения должна составлять не более 3000мс.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Первый ход всегда осуществляется белой стороной.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Ограничение по времени составляет 5 минут для каждой стороны, без добавления.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Переносимость: способность программного обеспечения работать с несколькими аппаратными платформами или операционными системами. Обеспечивается благодаря использованию высокоуровневых языков программирования, сред разработки и выполнения, поддерживающих условную компиляцию, компоновку и выполнение кода для различных платформ.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Надёжность: свойство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условиях применения, технического обслуживания, хранения и транспортирования.</w:t>
        <w:br w:type="textWrapping"/>
        <w:t xml:space="preserve">Интуитивно надёжность объектов связывают с недопустимостью отказов в работе. Это есть понимание надёжности в «узком» смысле — свойство объекта сохранять работоспособное состояние в течение некоторого времени или некоторой наработки. Иначе говоря, надёжность объекта заключается в отсутствии непредвиденных недопустимых изменений его качества на стадии эксплуатации (при его использовании, обслуживании, хранении, транспортировании). Надёжность — комплексное свойство, которое в зависимости от назначения объекта и условий его эксплуатации может включать в себя свойства безотказности, долговечности, ремонтопригодности и сохраняемости, а также определённое сочетание этих свойств.</w:t>
        <w:br w:type="textWrapping"/>
        <w:t xml:space="preserve">Для количественной оценки надёжности используют так называемые единичные показатели надёжности (характеризуют только одно свойство надёжности) и комплексные показатели надёжности (характеризуют несколько свойств надёжности в определённом интервале времени).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Эффективность: способность выполнять работу и достигать необходимого или желаемого результата с наименьшей затратой времени и усилий.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Удобство использования: (от англ. usability — «удобство и простота использования, степень удобства использования»), также удобство использования, пригодность использования, эргономичность — способность продукта быть понимаемым, изучаемым, используемым и привлекательным для пользователя в заданных условиях (ISO/IEC 25010); свойство системы, продукта или услуги, при наличии которого конкретный пользователь может эксплуатировать систему в определённых условиях для достижения установленных целей с необходимой результативностью, эффективностью и удовлетворённостью (ISO 9241-210). Удобство (пригодность) использования системы не сводится только к тому, насколько её легко эксплуатировать. В соответствии со стандартами серии ISO 9241 эту характеристику следует понимать более широко, учитывая личные цели пользователя, его эмоции и ощущения, связанные с восприятием системы, а также удовлетворённость работой. Свойства, необходимые для обеспечения пригодности использования, зависят также от задачи и окружающей среды. Пригодность использования — не абсолютное понятие, оно может различным образом проявляться в определённых условиях эксплуатации.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Сопровождаемость: процесс улучшения, оптимизации и устранения дефектов программного обеспечения (ПО) после передачи в эксплуатацию. Сопровождение ПО — это одна из фаз жизненного цикла программного обеспечения, следующая за фазой передачи ПО в эксплуатацию. В ходе сопровождения в программу вносятся изменения с тем, чтобы исправить обнаруженные в процессе использования дефекты и недоработки, а также для добавления новой функциональности, с целью повысить удобство использования (юзабилити) и применимость ПО. Сопровождение программного обеспечения стандартизовано, имеются национальные стандарты Российской Федерации, идентичные международным (ISO/IEC 12207:2008 System and software engineering — Software life cycle processes, ГОСТ Р ИСО/МЭК 12207-2010 «Национальный стандарт Российской Федерации. Информационная технология. Системная и программная инженерия. Процессы жизненного цикла программных средств»; ISO/IEC 14764:99 Information technology — Software maintenance, ГОСТ Р ИСО/МЭК 14764-2002 «Государственный стандарт Российской Федерации. Информационная технология. Сопровождение программных средств»; IEEE 1219).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Тестируемость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Понятность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Модифицируемость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Функциональная пригодность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производительности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Первым этапом утверждается внешний вид сайта: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Фигуры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Доска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Иконка доступного хода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Иконка доступного взятия фигуры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После утверждения внешнего вида, разрабатывается игровое поле. Это клеточная доска для игры в шахматы размером 8 на 8 клеток. Предполагается, что поле можно будет в дальнейшем использовать и для других игр (например, для игры в шашки).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Когда игровая доска готова, необходимо разместить фигуры в начальное положение. Также для фигур действует концепт двойного связывания, когда каждая клетка знает о фигуре, которая на ней находится, но и каждая фигура располагает информацией о своей клетке.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После того, как были размещены все фигуры, реализуется логика их перемещения. Общая логика перемещения описывается в классе Figure, а конкретные условия для отдельных фигур (King, Queen…) будут расширять класс Figure собственным классом с логикой.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4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Итоговая работа должна соответствовать всем требованиям и покрыта тестами.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Фигуры корректно перемещаются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Часы функционируют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Игру можно перезапустить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Корректно отображаются потерянные фигуры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spacing w:line="259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439420</wp:posOffset>
                </wp:positionV>
                <wp:extent cx="5923280" cy="1416643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89123" y="3077690"/>
                          <a:ext cx="5913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ПОСЛЕДНИЙ ЛИСТ ТЗ НА НИР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 /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Глебов М.Д.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» декабря 2022 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439420</wp:posOffset>
                </wp:positionV>
                <wp:extent cx="5923280" cy="1416643"/>
                <wp:effectExtent b="0" l="0" r="0" t="0"/>
                <wp:wrapSquare wrapText="bothSides" distB="45720" distT="45720" distL="114300" distR="114300"/>
                <wp:docPr id="2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14166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4859020</wp:posOffset>
                </wp:positionV>
                <wp:extent cx="4251325" cy="174047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25100" y="3077690"/>
                          <a:ext cx="424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Разработчик, исполнитель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Глебов М.Д.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_» 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декабря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 2022г.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4859020</wp:posOffset>
                </wp:positionV>
                <wp:extent cx="4251325" cy="174047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325" cy="1740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7246620</wp:posOffset>
                </wp:positionV>
                <wp:extent cx="4251325" cy="174047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25100" y="3077690"/>
                          <a:ext cx="424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аказчик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Савостин Е.А.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_» _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декабря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 2022г.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7246620</wp:posOffset>
                </wp:positionV>
                <wp:extent cx="4251325" cy="1740475"/>
                <wp:effectExtent b="0" l="0" r="0" t="0"/>
                <wp:wrapSquare wrapText="bothSides" distB="45720" distT="45720" distL="114300" distR="114300"/>
                <wp:docPr id="2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325" cy="1740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865E6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5B2842"/>
    <w:pPr>
      <w:keepNext w:val="1"/>
      <w:keepLines w:val="1"/>
      <w:spacing w:after="0" w:before="240"/>
      <w:jc w:val="center"/>
      <w:outlineLvl w:val="0"/>
    </w:pPr>
    <w:rPr>
      <w:rFonts w:cstheme="majorBidi" w:eastAsiaTheme="majorEastAsia"/>
      <w:b w:val="1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5B2842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5B28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 w:val="1"/>
    <w:rsid w:val="005B2842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5B2842"/>
    <w:rPr>
      <w:rFonts w:ascii="Times New Roman" w:hAnsi="Times New Roman"/>
      <w:sz w:val="28"/>
    </w:rPr>
  </w:style>
  <w:style w:type="character" w:styleId="10" w:customStyle="1">
    <w:name w:val="Заголовок 1 Знак"/>
    <w:basedOn w:val="a0"/>
    <w:link w:val="1"/>
    <w:uiPriority w:val="9"/>
    <w:rsid w:val="005B2842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a7">
    <w:name w:val="TOC Heading"/>
    <w:basedOn w:val="1"/>
    <w:next w:val="a"/>
    <w:uiPriority w:val="39"/>
    <w:unhideWhenUsed w:val="1"/>
    <w:qFormat w:val="1"/>
    <w:rsid w:val="005B28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9567CD"/>
    <w:pPr>
      <w:spacing w:after="100"/>
    </w:pPr>
  </w:style>
  <w:style w:type="character" w:styleId="a8">
    <w:name w:val="Hyperlink"/>
    <w:basedOn w:val="a0"/>
    <w:uiPriority w:val="99"/>
    <w:unhideWhenUsed w:val="1"/>
    <w:rsid w:val="009567C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 w:val="1"/>
    <w:rsid w:val="009567C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mrA/LhRT6S9SXPMTcX30XOSqng==">AMUW2mXxWu0u95+vREzQOemN5Ho781XGUNqKHw2zwe03/ovNWq2EijTT5s5Er1bmPCgtI/8UhO6mEdS+mQR0utbMqlEilV9W5CP26GCBHSMIDtB7Wyhr04i2IC7wAuh5q41hhsjB1z9+OpF78uepc0mmgXWpCDweWA11CRAx2TbRQTAM7jjbeLK0OVfu3BjODA0lsVc25akI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2022-12-16T12:53:00Z</dcterms:created>
  <dc:creator>Mark Glebov</dc:creator>
</cp:coreProperties>
</file>