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УДК 004.932.2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1F1F1F"/>
          <w:sz w:val="24"/>
          <w:szCs w:val="24"/>
          <w:lang w:val="ru-RU"/>
        </w:rPr>
        <w:t>Исследование методов выделения/сопоставления локальных особенностей КТ-реконструкции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  <w:lang w:val="ru-RU"/>
        </w:rPr>
      </w:r>
    </w:p>
    <w:p>
      <w:pPr>
        <w:pStyle w:val="Normal"/>
        <w:bidi w:val="0"/>
        <w:spacing w:beforeAutospacing="0" w:before="110" w:afterAutospacing="0" w:after="90"/>
        <w:ind w:firstLine="426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4"/>
          <w:szCs w:val="24"/>
          <w:vertAlign w:val="superscript"/>
          <w:lang w:val="ru-RU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  <w:lang w:val="ru-RU"/>
        </w:rPr>
        <w:t>Д.А. Ишханян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vertAlign w:val="superscript"/>
          <w:lang w:val="ru-RU"/>
        </w:rPr>
        <w:t>1</w:t>
      </w:r>
    </w:p>
    <w:p>
      <w:pPr>
        <w:pStyle w:val="Normal"/>
        <w:bidi w:val="0"/>
        <w:spacing w:beforeAutospacing="0" w:before="150" w:afterAutospacing="0" w:after="180"/>
        <w:ind w:firstLine="426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vertAlign w:val="superscript"/>
          <w:lang w:val="ru-RU"/>
        </w:rPr>
        <w:t>1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ru-RU"/>
        </w:rPr>
        <w:t>Московский физико-технический институт (национальный исследовательский университет)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  <w:lang w:val="ru-RU"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  <w:lang w:val="ru-RU"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left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  <w:lang w:val="ru-RU"/>
        </w:rPr>
        <w:t xml:space="preserve">Особые точки изображения широко применяются в различных задачах компьютерного зрения. Их выделением на изображении и дальнейшим математическим описанием занимаются детекторы и дескрипторы.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Изучение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>этих алгоритмов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 позволяет разрабатывать инновационные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ru-RU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методы для решения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 xml:space="preserve">таких задач как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распознавание объектов,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их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трехмерная реконструкция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>по серии изображений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 и сшивка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>панорамных фотоснимков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ru-RU"/>
        </w:rPr>
        <w:t xml:space="preserve">Данные задачи требуют высокой точности и эффективности. </w:t>
      </w:r>
    </w:p>
    <w:p>
      <w:pPr>
        <w:pStyle w:val="Normal"/>
        <w:shd w:val="clear" w:color="auto" w:fill="FFFFFF" w:themeFill="background1"/>
        <w:bidi w:val="0"/>
        <w:spacing w:lineRule="auto" w:line="276" w:beforeAutospacing="0" w:before="240" w:afterAutospacing="0" w:after="240"/>
        <w:ind w:firstLine="708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Данная научная работа посвящена исследованию оценки качества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>дескриптор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 xml:space="preserve">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kern w:val="2"/>
          <w:sz w:val="24"/>
          <w:szCs w:val="24"/>
          <w:lang w:val="ru-RU" w:eastAsia="zh-CN" w:bidi="hi-IN"/>
        </w:rPr>
        <w:t xml:space="preserve">SIFT-3D,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распростран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енного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в виде открытого исходного кода и доступн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ого на платформе Github. Для тестирования алгоритма в случае различных сдвигов и поворотов был сначала подготовлен датасет, отвечающий различным аффинным преобразованиям исходных данных. На вход алгоритму подается исходный файл и сгенерированный, в результате запуска SIFT-3D выдает координаты сопоставленных на обоих изображениях точек (x1, y1, z1) и (х2, у2, z2). На этапе генерации данных мы знаем матрицу аффинного преобразования А, поэтому можем посчитать ошибку сопоставления точек. </w:t>
      </w:r>
    </w:p>
    <w:p>
      <w:pPr>
        <w:pStyle w:val="Normal"/>
        <w:shd w:val="clear" w:color="auto" w:fill="FFFFFF" w:themeFill="background1"/>
        <w:bidi w:val="0"/>
        <w:spacing w:lineRule="auto" w:line="276" w:beforeAutospacing="0" w:before="240" w:afterAutospacing="0" w:after="240"/>
        <w:ind w:firstLine="708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Для иллюстрации работы алгоритма и в случае сдвига, и в случае поворота вокруг оси были построены графики  распределения значения ошибки по различным диапозонам.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На графике [1] продемонстрирована оценка качества для случая, когда сгенерированный файл явля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ется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сдвинутым на (10 мм, 10 мм, 10 мм). Эксперименты были повторены для различных значений сдвигов.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По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данным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графикам был сделан вывод о том, что ошибка при сдвиге крайне мала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и не зависит от того, куда был сдвинут объект. </w:t>
      </w:r>
    </w:p>
    <w:p>
      <w:pPr>
        <w:pStyle w:val="Normal"/>
        <w:shd w:val="clear" w:color="auto" w:fill="FFFFFF" w:themeFill="background1"/>
        <w:bidi w:val="0"/>
        <w:spacing w:lineRule="auto" w:line="276" w:beforeAutospacing="0" w:before="240" w:afterAutospacing="0" w:after="240"/>
        <w:ind w:firstLine="708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На графиках [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], [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] продемонстрирована оценка качества для случая, когда сгенерированный файл явля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ется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повернутым вокруг оси х на 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5 градусов соответственно. Эксперименты были повторены для различных значений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углов.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При рассмотрении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данных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графиков можно сделать вывод о том, что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при увеличении угла поворота ошибка растёт, что означает, что качество сопоставления ухудшается. </w:t>
      </w:r>
    </w:p>
    <w:p>
      <w:pPr>
        <w:pStyle w:val="Normal"/>
        <w:shd w:val="clear" w:color="auto" w:fill="FFFFFF" w:themeFill="background1"/>
        <w:bidi w:val="0"/>
        <w:spacing w:lineRule="auto" w:line="276" w:beforeAutospacing="0" w:before="240" w:afterAutospacing="0" w:after="240"/>
        <w:ind w:firstLine="708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В результате рассмотрения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этих и других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графиков, которы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не были включены в данную работу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из-за своей избыточности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, был сделан вывод о том, что алгоритм может быть использован в случае сдвигов по осям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>при любых значениях сдвига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kern w:val="2"/>
          <w:sz w:val="24"/>
          <w:szCs w:val="24"/>
          <w:lang w:val="ru-RU" w:eastAsia="zh-CN" w:bidi="hi-IN"/>
        </w:rPr>
        <w:t xml:space="preserve"> и в случае поворота вокруг оси на углы до 10 градусов.</w:t>
      </w:r>
    </w:p>
    <w:p>
      <w:pPr>
        <w:pStyle w:val="Normal"/>
        <w:shd w:val="clear" w:color="auto" w:fill="FFFFFF" w:themeFill="background1"/>
        <w:bidi w:val="0"/>
        <w:spacing w:lineRule="auto" w:line="276" w:beforeAutospacing="0" w:before="240" w:afterAutospacing="0" w:after="240"/>
        <w:ind w:firstLine="708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1250315</wp:posOffset>
            </wp:positionH>
            <wp:positionV relativeFrom="paragraph">
              <wp:posOffset>-62230</wp:posOffset>
            </wp:positionV>
            <wp:extent cx="3999230" cy="2251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102870</wp:posOffset>
            </wp:positionV>
            <wp:extent cx="3345180" cy="1882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3377565</wp:posOffset>
            </wp:positionH>
            <wp:positionV relativeFrom="paragraph">
              <wp:posOffset>44450</wp:posOffset>
            </wp:positionV>
            <wp:extent cx="3499485" cy="19697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firstLine="708"/>
        <w:jc w:val="center"/>
        <w:rPr>
          <w:rFonts w:ascii="Times New Roman" w:hAnsi="Times New Roman" w:eastAsia="Times New Roman" w:cs="Times New Roman"/>
          <w:color w:val="1F1F1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1F1F1F"/>
          <w:sz w:val="24"/>
          <w:szCs w:val="24"/>
          <w:lang w:val="ru-RU"/>
        </w:rPr>
        <w:t>Литература</w:t>
      </w:r>
    </w:p>
    <w:p>
      <w:pPr>
        <w:pStyle w:val="ListParagraph"/>
        <w:numPr>
          <w:ilvl w:val="0"/>
          <w:numId w:val="1"/>
        </w:numPr>
        <w:bidi w:val="0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B. Rister, M. A. Horowitz and D. L. Rubin, "Volumetric Image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Registration From Invariant Keypoints," in IEEE Transactions on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Image Processing, vol. 26, no. 10, pp. 4900-4910, Oct. 2017. doi: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10.1109/TIP.2017.2722689</w:t>
      </w:r>
    </w:p>
    <w:p>
      <w:pPr>
        <w:pStyle w:val="ListParagraph"/>
        <w:numPr>
          <w:ilvl w:val="0"/>
          <w:numId w:val="1"/>
        </w:numPr>
        <w:bidi w:val="0"/>
        <w:spacing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G. Flitton, T. Breckon, and N. Megherbi Bouallagu. Object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recognition using 3D sift in complex CT volumes. In British Machine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 xml:space="preserve">Vision Conf., 2010. </w:t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9">
    <w:name w:val="Table of Figures"/>
    <w:basedOn w:val="Style17"/>
    <w:pPr/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1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2</Pages>
  <Words>379</Words>
  <Characters>2421</Characters>
  <CharactersWithSpaces>2793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2024-05-12T16:04:31Z</dcterms:created>
  <dc:creator/>
  <dc:description/>
  <dc:language>ru-RU</dc:language>
  <cp:lastModifiedBy/>
  <dcterms:modified xsi:type="dcterms:W3CDTF">2024-05-12T19:40:28Z</dcterms:modified>
  <cp:revision>12</cp:revision>
  <dc:subject/>
  <dc:title/>
</cp:coreProperties>
</file>