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4A3A"/>
          <w:sz w:val="18"/>
          <w:szCs w:val="18"/>
        </w:rPr>
        <w:t xml:space="preserve">SC Department of Environmental Services</w:t>
      </w:r>
    </w:p>
    <w:p>
      <w:pPr>
        <w:spacing w:after="60"/>
      </w:pPr>
      <w:r>
        <w:rPr>
          <w:b/>
          <w:bCs/>
          <w:color w:val="1F3A5F"/>
          <w:sz w:val="36"/>
          <w:szCs w:val="36"/>
        </w:rPr>
        <w:t xml:space="preserve">Permitting AI — Where to Point It First</w:t>
      </w:r>
    </w:p>
    <w:p>
      <w:pPr>
        <w:pBdr>
          <w:bottom w:val="single" w:color="B5862A" w:sz="6" w:space="1"/>
        </w:pBdr>
        <w:spacing w:after="160"/>
      </w:pPr>
      <w:r>
        <w:rPr>
          <w:i/>
          <w:iCs/>
          <w:color w:val="2E4A3A"/>
          <w:sz w:val="22"/>
          <w:szCs w:val="22"/>
        </w:rPr>
        <w:t xml:space="preserve">Findings, data-integrity review, and recommendation for the IDENTIFY phase</w:t>
      </w:r>
    </w:p>
    <w:p>
      <w:pPr>
        <w:spacing w:after="140"/>
      </w:pPr>
      <w:r>
        <w:rPr>
          <w:b/>
          <w:bCs/>
          <w:sz w:val="18"/>
          <w:szCs w:val="18"/>
        </w:rPr>
        <w:t xml:space="preserve">Prepared </w:t>
      </w:r>
      <w:r>
        <w:rPr>
          <w:sz w:val="18"/>
          <w:szCs w:val="18"/>
        </w:rPr>
        <w:t xml:space="preserve">June 18, 2026</w:t>
      </w:r>
      <w:r>
        <w:rPr>
          <w:sz w:val="18"/>
          <w:szCs w:val="18"/>
        </w:rPr>
        <w:t xml:space="preserve">    ·    Brett Butz, SC Dept. of Environmental Services</w:t>
      </w:r>
      <w:r>
        <w:rPr>
          <w:i/>
          <w:iCs/>
          <w:sz w:val="18"/>
          <w:szCs w:val="18"/>
        </w:rPr>
        <w:t xml:space="preserve">    ·    Internal proof-of-concept analysis</w:t>
      </w:r>
    </w:p>
    <w:p>
      <w:pPr>
        <w:pStyle w:val="Heading2"/>
      </w:pPr>
      <w:r>
        <w:t xml:space="preserve">Executive summary</w:t>
      </w:r>
    </w:p>
    <w:p>
      <w:pPr>
        <w:spacing w:after="140"/>
      </w:pPr>
      <w:r>
        <w:rPr>
          <w:sz w:val="22"/>
          <w:szCs w:val="22"/>
        </w:rPr>
        <w:t xml:space="preserve">This report addresses one decision: of everything permitting AI could do, where should SCDES point it first. The work began from a set of permitting data files and an analyst-built quadrant, extended into a first-principles audit of that data, incorporated a correction to a key term (EIP), and ended with a live review of the ePermitting Power BI environment.</w:t>
      </w:r>
    </w:p>
    <w:p>
      <w:pPr>
        <w:spacing w:after="140"/>
      </w:pPr>
      <w:r>
        <w:rPr>
          <w:b/>
          <w:bCs/>
          <w:sz w:val="22"/>
          <w:szCs w:val="22"/>
        </w:rPr>
        <w:t xml:space="preserve">Recommendation, in one line: </w:t>
      </w:r>
      <w:r>
        <w:rPr>
          <w:sz w:val="22"/>
          <w:szCs w:val="22"/>
        </w:rPr>
        <w:t xml:space="preserve">lead with the slow, deadline-pressured water and air project permits — coastal stormwater notices of intent, Title V air renewals, 401 water-quality certifications, and industrial wastewater — and run high-volume standardized renewals (asbestos, infectious-waste registrations) in parallel as a low-risk, fast-payback automation.</w:t>
      </w:r>
    </w:p>
    <w:p>
      <w:pPr>
        <w:spacing w:after="140"/>
      </w:pPr>
      <w:r>
        <w:rPr>
          <w:b/>
          <w:bCs/>
          <w:sz w:val="22"/>
          <w:szCs w:val="22"/>
        </w:rPr>
        <w:t xml:space="preserve">Important caveat carried throughout: </w:t>
      </w:r>
      <w:r>
        <w:rPr>
          <w:sz w:val="22"/>
          <w:szCs w:val="22"/>
        </w:rPr>
        <w:t xml:space="preserve">this recommendation is directionally sound, but the static data provided to support it has serious integrity problems that bias it. The final ranking should be rebuilt against a clean extract from the live ePermitting DataHub — which we confirmed already holds the fields the static files lacked, including staff hours and hold (wait) time.</w:t>
      </w:r>
    </w:p>
    <w:p>
      <w:pPr>
        <w:pStyle w:val="Heading2"/>
      </w:pPr>
      <w:r>
        <w:t xml:space="preserve">1. Objective and method</w:t>
      </w:r>
    </w:p>
    <w:p>
      <w:pPr>
        <w:spacing w:after="140"/>
      </w:pPr>
      <w:r>
        <w:rPr>
          <w:sz w:val="22"/>
          <w:szCs w:val="22"/>
        </w:rPr>
        <w:t xml:space="preserve">SCDES is working a seven-step governance-first lifecycle (Govern, Identify, Procure, Test, Deploy, Measure, Sunset). This is the IDENTIFY step. The targeting question resolves to choosing a cell in a grid of permit program by function: which permit type, and which kind of help — completeness checking, technical-evaluation assist, or end-to-end automation. The right cell is one that relieves real pain, is safe to automate, and is defensible as a model others could reuse.</w:t>
      </w:r>
    </w:p>
    <w:p>
      <w:pPr>
        <w:spacing w:after="140"/>
      </w:pPr>
      <w:r>
        <w:rPr>
          <w:sz w:val="22"/>
          <w:szCs w:val="22"/>
        </w:rPr>
        <w:t xml:space="preserve">Method: rebuild the metrics from the raw submission log rather than trusting the summary; weight them toward governance risk; audit the data itself from first principles; and verify what the live system of record actually contains.</w:t>
      </w:r>
    </w:p>
    <w:p>
      <w:pPr>
        <w:pStyle w:val="Heading2"/>
      </w:pPr>
      <w:r>
        <w:t xml:space="preserve">2. What the data supports</w:t>
      </w:r>
    </w:p>
    <w:p>
      <w:pPr>
        <w:spacing w:after="140"/>
      </w:pPr>
      <w:r>
        <w:rPr>
          <w:sz w:val="22"/>
          <w:szCs w:val="22"/>
        </w:rPr>
        <w:t xml:space="preserve">Volumes are trustworthy. The analyst quadrant's submission counts match the raw log within roughly one to two percent, and an independent annual-volume file corroborates them. As an inventory of what SCDES processes and how much, that work is sound.</w:t>
      </w:r>
    </w:p>
    <w:p>
      <w:pPr>
        <w:spacing w:after="140"/>
      </w:pPr>
      <w:r>
        <w:rPr>
          <w:sz w:val="22"/>
          <w:szCs w:val="22"/>
        </w:rPr>
        <w:t xml:space="preserve">Processing-time figures are not. The quadrant's stated turnaround days are understated by two to nearly five times, and the error is worst exactly where it matters most — the slowest, most-backlogged permits. Measured from the raw log, the picture changes sharply: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sz w:val="18"/>
                <w:szCs w:val="18"/>
              </w:rPr>
              <w:t xml:space="preserve">Permit action</w:t>
            </w:r>
          </w:p>
        </w:tc>
        <w:tc>
          <w:tcPr>
            <w:tcW w:type="dxa" w:w="19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sz w:val="18"/>
                <w:szCs w:val="18"/>
              </w:rPr>
              <w:t xml:space="preserve">Quadrant “days”</w:t>
            </w:r>
          </w:p>
        </w:tc>
        <w:tc>
          <w:tcPr>
            <w:tcW w:type="dxa" w:w="19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sz w:val="18"/>
                <w:szCs w:val="18"/>
              </w:rPr>
              <w:t xml:space="preserve">Raw median (24–25)</w:t>
            </w:r>
          </w:p>
        </w:tc>
        <w:tc>
          <w:tcPr>
            <w:tcW w:type="dxa" w:w="19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sz w:val="18"/>
                <w:szCs w:val="18"/>
              </w:rPr>
              <w:t xml:space="preserve">Raw mean (24–25)</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Infectious-waste renewal</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1</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0.1</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1.4</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Onsite wastewater — Option #1</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21</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33</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44</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Stormwater MS4 NOI (non-coastal)</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6</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12</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18</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Stormwater construction NOI (coastal)</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58</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242</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269</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Title V air renewal</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152</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320</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341</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Title V minor modification</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87</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130</w:t>
            </w:r>
          </w:p>
        </w:tc>
        <w:tc>
          <w:tcPr>
            <w:tcW w:type="dxa" w:w="1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200</w:t>
            </w:r>
          </w:p>
        </w:tc>
      </w:tr>
    </w:tbl>
    <w:p>
      <w:pPr>
        <w:spacing w:after="140" w:before="120"/>
      </w:pPr>
      <w:r>
        <w:rPr>
          <w:sz w:val="22"/>
          <w:szCs w:val="22"/>
        </w:rPr>
        <w:t xml:space="preserve">Read with the corrected numbers, the genuinely painful work concentrates in coastal stormwater and the major air and water project permits — and those are also the permits under the tightest statutory clocks.</w:t>
      </w:r>
    </w:p>
    <w:p>
      <w:pPr>
        <w:pStyle w:val="Heading2"/>
      </w:pPr>
      <w:r>
        <w:t xml:space="preserve">3. Data-integrity findings (first-principles audit)</w:t>
      </w:r>
    </w:p>
    <w:p>
      <w:pPr>
        <w:spacing w:after="140"/>
      </w:pPr>
      <w:r>
        <w:rPr>
          <w:sz w:val="22"/>
          <w:szCs w:val="22"/>
        </w:rPr>
        <w:t xml:space="preserve">Five structural problems undermine any ranking built directly on the files provided.</w:t>
      </w:r>
    </w:p>
    <w:p>
      <w:pPr>
        <w:spacing w:after="140"/>
      </w:pPr>
      <w:r>
        <w:rPr>
          <w:b/>
          <w:bCs/>
          <w:sz w:val="22"/>
          <w:szCs w:val="22"/>
        </w:rPr>
        <w:t xml:space="preserve">Right-censoring. </w:t>
      </w:r>
      <w:r>
        <w:rPr>
          <w:sz w:val="22"/>
          <w:szCs w:val="22"/>
        </w:rPr>
        <w:t xml:space="preserve">The processing-time data contains completed submissions only. Slow cases still in progress are absent, so averages by received-year look artificially fast and create a false impression of year-over-year improvement (received-year mean falls from 74.7 days to 8.0; the unbiased completion-year view shows no such drop). The slow cases that should drive targeting are the ones missing.</w:t>
      </w:r>
    </w:p>
    <w:p>
      <w:pPr>
        <w:spacing w:after="140"/>
      </w:pPr>
      <w:r>
        <w:rPr>
          <w:b/>
          <w:bCs/>
          <w:sz w:val="22"/>
          <w:szCs w:val="22"/>
        </w:rPr>
        <w:t xml:space="preserve">The backlog is invisible to the speed data and under-counted. </w:t>
      </w:r>
      <w:r>
        <w:rPr>
          <w:sz w:val="22"/>
          <w:szCs w:val="22"/>
        </w:rPr>
        <w:t xml:space="preserve">Every row is marked completed, so roughly 27,000 pending items are excluded by construction. The quadrant captured about 2,100 of them — under ten percent — and omitted the largest drivers, including two high-traffic programs (Pools and Private Wells) that do not appear at all.</w:t>
      </w:r>
    </w:p>
    <w:p>
      <w:pPr>
        <w:spacing w:after="140"/>
      </w:pPr>
      <w:r>
        <w:rPr>
          <w:b/>
          <w:bCs/>
          <w:sz w:val="22"/>
          <w:szCs w:val="22"/>
        </w:rPr>
        <w:t xml:space="preserve">Duplication and record contamination. </w:t>
      </w:r>
      <w:r>
        <w:rPr>
          <w:sz w:val="22"/>
          <w:szCs w:val="22"/>
        </w:rPr>
        <w:t xml:space="preserve">About 8.5 percent of the log is exact-duplicate rows (14.5 percent within onsite wastewater, the top-ranked program on volume), and the extract mixes permit-lifecycle versions (superseded, expired) into what should be a clean submission log.</w:t>
      </w:r>
    </w:p>
    <w:p>
      <w:pPr>
        <w:spacing w:after="140"/>
      </w:pPr>
      <w:r>
        <w:rPr>
          <w:b/>
          <w:bCs/>
          <w:sz w:val="22"/>
          <w:szCs w:val="22"/>
        </w:rPr>
        <w:t xml:space="preserve">Measurement and join weaknesses. </w:t>
      </w:r>
      <w:r>
        <w:rPr>
          <w:sz w:val="22"/>
          <w:szCs w:val="22"/>
        </w:rPr>
        <w:t xml:space="preserve">The field labeled “working days” is actually calendar days; the distribution is so right-skewed (median 4.5 days, mean 30, 99th percentile 604) that any single average misleads; and roughly a third of records lack the action-type field used to join to the summary.</w:t>
      </w:r>
    </w:p>
    <w:p>
      <w:pPr>
        <w:spacing w:after="140"/>
      </w:pPr>
      <w:r>
        <w:rPr>
          <w:b/>
          <w:bCs/>
          <w:sz w:val="22"/>
          <w:szCs w:val="22"/>
        </w:rPr>
        <w:t xml:space="preserve">An unverifiable backlog file. </w:t>
      </w:r>
      <w:r>
        <w:rPr>
          <w:sz w:val="22"/>
          <w:szCs w:val="22"/>
        </w:rPr>
        <w:t xml:space="preserve">Sixty-three percent of the backlog total sits in rows with no action or category, and the single largest “backlog” item (Pools change orders) counts a different unit than submissions, so it cannot be ranked against the rest.</w:t>
      </w:r>
    </w:p>
    <w:p>
      <w:pPr>
        <w:pStyle w:val="Heading2"/>
      </w:pPr>
      <w:r>
        <w:t xml:space="preserve">4. The statutory-deadline reframe (EIP)</w:t>
      </w:r>
    </w:p>
    <w:p>
      <w:pPr>
        <w:spacing w:after="140"/>
      </w:pPr>
      <w:r>
        <w:rPr>
          <w:sz w:val="22"/>
          <w:szCs w:val="22"/>
        </w:rPr>
        <w:t xml:space="preserve">An early reading treated the recurring delay flag “EIP” as an application-completeness problem. That was wrong. EIP means Energy Infrastructure Projects — utility-company projects that carry a hard 180-day issuance clock: the permit must issue within 180 days whether or not review is complete. The binding risk is therefore the agency defaulting into an unreviewed issuance, not an applicant being slow. These projects also require a pre-application meeting and typically span several permits across programs, so the bottleneck is internal cross-program coordination under elevated public and federal attention.</w:t>
      </w:r>
    </w:p>
    <w:p>
      <w:pPr>
        <w:spacing w:after="140"/>
      </w:pPr>
      <w:r>
        <w:rPr>
          <w:sz w:val="22"/>
          <w:szCs w:val="22"/>
        </w:rPr>
        <w:t xml:space="preserve">This reframes the best use of AI from completeness-screening to technical-evaluation assist on deadline-bound, multi-program work — a governance use case that fits the lifecycle's governance-first premise. The supporting flags already exist in the data: the Energy Security Bill 3309 (180-day) regime, the Target-90 ninety-day proviso (applied to 231 permit types, with backlog concentrated in onsite wastewater, stormwater, coastal-zone consistency, and critical-area work), public-notice requirements, and pre-application-meeting flags. The energy-eligible backlog concentrates in stormwater and coastal-zone consistency — the same water-and-coastal chain the corrected processing times point to.</w:t>
      </w:r>
    </w:p>
    <w:p>
      <w:pPr>
        <w:pStyle w:val="Heading2"/>
      </w:pPr>
      <w:r>
        <w:t xml:space="preserve">5. The live source already holds what we need</w:t>
      </w:r>
    </w:p>
    <w:p>
      <w:pPr>
        <w:spacing w:after="140"/>
      </w:pPr>
      <w:r>
        <w:rPr>
          <w:sz w:val="22"/>
          <w:szCs w:val="22"/>
        </w:rPr>
        <w:t xml:space="preserve">A live review of the SCDES ePermitting Power BI environment found that the operational reporting workspace is mostly system-build (JIRA) trackers, but two things matter. First, an Unassigned Submissions report exposes pending submissions with received date, status, and assigned workgroup — the censored population the static export omitted. Second, and decisively, the DataHub model behind the Target-90 dataset (refreshed daily) contains the fields we had concluded were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3760"/>
      </w:tblGrid>
      <w:tr>
        <w:trPr>
          <w:tblHeader/>
        </w:trPr>
        <w:tc>
          <w:tcPr>
            <w:tcW w:type="dxa" w:w="37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sz w:val="18"/>
                <w:szCs w:val="18"/>
              </w:rPr>
              <w:t xml:space="preserve">Data point we needed</w:t>
            </w:r>
          </w:p>
        </w:tc>
        <w:tc>
          <w:tcPr>
            <w:tcW w:type="dxa" w:w="19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sz w:val="18"/>
                <w:szCs w:val="18"/>
              </w:rPr>
              <w:t xml:space="preserve">Status in live source</w:t>
            </w:r>
          </w:p>
        </w:tc>
        <w:tc>
          <w:tcPr>
            <w:tcW w:type="dxa" w:w="37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sz w:val="18"/>
                <w:szCs w:val="18"/>
              </w:rPr>
              <w:t xml:space="preserve">Where it lives</w:t>
            </w:r>
          </w:p>
        </w:tc>
      </w:tr>
      <w:tr>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Pending records + queue age</w:t>
            </w:r>
          </w:p>
        </w:tc>
        <w:tc>
          <w:tcPr>
            <w:tcW w:type="dxa" w:w="1900"/>
            <w:tcBorders>
              <w:top w:val="single" w:color="CCCCCC" w:sz="1"/>
              <w:left w:val="single" w:color="CCCCCC" w:sz="1"/>
              <w:bottom w:val="single" w:color="CCCCCC" w:sz="1"/>
              <w:right w:val="single" w:color="CCCCCC" w:sz="1"/>
            </w:tcBorders>
            <w:shd w:fill="DCEAD9" w:val="clear"/>
            <w:tcMar>
              <w:top w:type="dxa" w:w="60"/>
              <w:left w:type="dxa" w:w="110"/>
              <w:bottom w:type="dxa" w:w="60"/>
              <w:right w:type="dxa" w:w="110"/>
            </w:tcMar>
          </w:tcPr>
          <w:p>
            <w:r>
              <w:rPr>
                <w:b/>
                <w:bCs/>
                <w:color w:val="000000"/>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Core_SUBM; Unassigned Submissions (STATUS, RCVD_DATE)</w:t>
            </w:r>
          </w:p>
        </w:tc>
      </w:tr>
      <w:tr>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Work-time vs wait-time split</w:t>
            </w:r>
          </w:p>
        </w:tc>
        <w:tc>
          <w:tcPr>
            <w:tcW w:type="dxa" w:w="1900"/>
            <w:tcBorders>
              <w:top w:val="single" w:color="CCCCCC" w:sz="1"/>
              <w:left w:val="single" w:color="CCCCCC" w:sz="1"/>
              <w:bottom w:val="single" w:color="CCCCCC" w:sz="1"/>
              <w:right w:val="single" w:color="CCCCCC" w:sz="1"/>
            </w:tcBorders>
            <w:shd w:fill="DCEAD9" w:val="clear"/>
            <w:tcMar>
              <w:top w:type="dxa" w:w="60"/>
              <w:left w:type="dxa" w:w="110"/>
              <w:bottom w:type="dxa" w:w="60"/>
              <w:right w:type="dxa" w:w="110"/>
            </w:tcMar>
          </w:tcPr>
          <w:p>
            <w:r>
              <w:rPr>
                <w:b/>
                <w:bCs/>
                <w:color w:val="000000"/>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Core_SUBM_HOLD (start/end/Reason); TTL_HOLD_DAYS, PCT_HOLD_DAYS; Core_EVT event log</w:t>
            </w:r>
          </w:p>
        </w:tc>
      </w:tr>
      <w:tr>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Staff effort (labor hours)</w:t>
            </w:r>
          </w:p>
        </w:tc>
        <w:tc>
          <w:tcPr>
            <w:tcW w:type="dxa" w:w="1900"/>
            <w:tcBorders>
              <w:top w:val="single" w:color="CCCCCC" w:sz="1"/>
              <w:left w:val="single" w:color="CCCCCC" w:sz="1"/>
              <w:bottom w:val="single" w:color="CCCCCC" w:sz="1"/>
              <w:right w:val="single" w:color="CCCCCC" w:sz="1"/>
            </w:tcBorders>
            <w:shd w:fill="DCEAD9" w:val="clear"/>
            <w:tcMar>
              <w:top w:type="dxa" w:w="60"/>
              <w:left w:type="dxa" w:w="110"/>
              <w:bottom w:type="dxa" w:w="60"/>
              <w:right w:type="dxa" w:w="110"/>
            </w:tcMar>
          </w:tcPr>
          <w:p>
            <w:r>
              <w:rPr>
                <w:b/>
                <w:bCs/>
                <w:color w:val="000000"/>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Core_SUBM.PRCSS_HRS_SPENT</w:t>
            </w:r>
          </w:p>
        </w:tc>
      </w:tr>
      <w:tr>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Statutory deadlines / Target-90</w:t>
            </w:r>
          </w:p>
        </w:tc>
        <w:tc>
          <w:tcPr>
            <w:tcW w:type="dxa" w:w="1900"/>
            <w:tcBorders>
              <w:top w:val="single" w:color="CCCCCC" w:sz="1"/>
              <w:left w:val="single" w:color="CCCCCC" w:sz="1"/>
              <w:bottom w:val="single" w:color="CCCCCC" w:sz="1"/>
              <w:right w:val="single" w:color="CCCCCC" w:sz="1"/>
            </w:tcBorders>
            <w:shd w:fill="DCEAD9" w:val="clear"/>
            <w:tcMar>
              <w:top w:type="dxa" w:w="60"/>
              <w:left w:type="dxa" w:w="110"/>
              <w:bottom w:type="dxa" w:w="60"/>
              <w:right w:type="dxa" w:w="110"/>
            </w:tcMar>
          </w:tcPr>
          <w:p>
            <w:r>
              <w:rPr>
                <w:b/>
                <w:bCs/>
                <w:color w:val="000000"/>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APP_PRCSS_DUE_DATE; Report_HET_Target90_Hold; CZC timeline</w:t>
            </w:r>
          </w:p>
        </w:tc>
      </w:tr>
      <w:tr>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Energy / EIP project tag</w:t>
            </w:r>
          </w:p>
        </w:tc>
        <w:tc>
          <w:tcPr>
            <w:tcW w:type="dxa" w:w="1900"/>
            <w:tcBorders>
              <w:top w:val="single" w:color="CCCCCC" w:sz="1"/>
              <w:left w:val="single" w:color="CCCCCC" w:sz="1"/>
              <w:bottom w:val="single" w:color="CCCCCC" w:sz="1"/>
              <w:right w:val="single" w:color="CCCCCC" w:sz="1"/>
            </w:tcBorders>
            <w:shd w:fill="FFF6D9" w:val="clear"/>
            <w:tcMar>
              <w:top w:type="dxa" w:w="60"/>
              <w:left w:type="dxa" w:w="110"/>
              <w:bottom w:type="dxa" w:w="60"/>
              <w:right w:type="dxa" w:w="110"/>
            </w:tcMar>
          </w:tcPr>
          <w:p>
            <w:r>
              <w:rPr>
                <w:b/>
                <w:bCs/>
                <w:color w:val="000000"/>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RESRC_PROJ_NAME may identify projects; no explicit flag confirmed</w:t>
            </w:r>
          </w:p>
        </w:tc>
      </w:tr>
      <w:tr>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Site-visit / inspection flag</w:t>
            </w:r>
          </w:p>
        </w:tc>
        <w:tc>
          <w:tcPr>
            <w:tcW w:type="dxa" w:w="1900"/>
            <w:tcBorders>
              <w:top w:val="single" w:color="CCCCCC" w:sz="1"/>
              <w:left w:val="single" w:color="CCCCCC" w:sz="1"/>
              <w:bottom w:val="single" w:color="CCCCCC" w:sz="1"/>
              <w:right w:val="single" w:color="CCCCCC" w:sz="1"/>
            </w:tcBorders>
            <w:shd w:fill="F8D7DA" w:val="clear"/>
            <w:tcMar>
              <w:top w:type="dxa" w:w="60"/>
              <w:left w:type="dxa" w:w="110"/>
              <w:bottom w:type="dxa" w:w="60"/>
              <w:right w:type="dxa" w:w="110"/>
            </w:tcMar>
          </w:tcPr>
          <w:p>
            <w:r>
              <w:rPr>
                <w:b/>
                <w:bCs/>
                <w:color w:val="000000"/>
                <w:sz w:val="18"/>
                <w:szCs w:val="18"/>
              </w:rPr>
              <w:t xml:space="preserve">NOT CONFIRMED</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Possibly in Core_EVT event types; not verified</w:t>
            </w:r>
          </w:p>
        </w:tc>
      </w:tr>
    </w:tbl>
    <w:p>
      <w:pPr>
        <w:spacing w:after="140" w:before="120"/>
      </w:pPr>
      <w:r>
        <w:rPr>
          <w:sz w:val="22"/>
          <w:szCs w:val="22"/>
        </w:rPr>
        <w:t xml:space="preserve">In other words, the static files were a thin, lossy export of a richer live warehouse. The two most decision-changing gaps — separating active work from waiting, and measuring actual staff hours — are already fields in the source. (One caveat: the model inspected was named for the Bureau of Water; enterprise-wide coverage needs confirmation.)</w:t>
      </w:r>
    </w:p>
    <w:p>
      <w:pPr>
        <w:pStyle w:val="Heading2"/>
      </w:pPr>
      <w:r>
        <w:t xml:space="preserve">6. Recommendation</w:t>
      </w:r>
    </w:p>
    <w:p>
      <w:pPr>
        <w:spacing w:after="140"/>
      </w:pPr>
      <w:r>
        <w:rPr>
          <w:sz w:val="22"/>
          <w:szCs w:val="22"/>
        </w:rPr>
        <w:t xml:space="preserve">Sequence the work rather than choosing a single target.</w:t>
      </w:r>
    </w:p>
    <w:p>
      <w:pPr>
        <w:spacing w:after="140"/>
      </w:pPr>
      <w:r>
        <w:rPr>
          <w:b/>
          <w:bCs/>
          <w:sz w:val="22"/>
          <w:szCs w:val="22"/>
        </w:rPr>
        <w:t xml:space="preserve">Flagship — coastal stormwater and the deadline-pressured project permits. </w:t>
      </w:r>
      <w:r>
        <w:rPr>
          <w:sz w:val="22"/>
          <w:szCs w:val="22"/>
        </w:rPr>
        <w:t xml:space="preserve">Coastal stormwater notices of intent (real medians of 200–270 days), Title V air renewals (320–340 days), 401 water-quality certifications, and industrial wastewater. These combine genuine delay, statutory-clock exposure (the 180-day energy default and the 90-day Target-90 proviso), and multi-program coordination. Point AI at assembling the cross-program record and drafting the technical evaluation so a real decision is reached before the clock forces one. This is the governance-first pilot and the most defensible national template.</w:t>
      </w:r>
    </w:p>
    <w:p>
      <w:pPr>
        <w:spacing w:after="140"/>
      </w:pPr>
      <w:r>
        <w:rPr>
          <w:b/>
          <w:bCs/>
          <w:sz w:val="22"/>
          <w:szCs w:val="22"/>
        </w:rPr>
        <w:t xml:space="preserve">Quick win — high-volume standardized renewals. </w:t>
      </w:r>
      <w:r>
        <w:rPr>
          <w:sz w:val="22"/>
          <w:szCs w:val="22"/>
        </w:rPr>
        <w:t xml:space="preserve">Asbestos renewals and infectious-waste registrations: very high volume, near-zero discretion, no site visit, minimal risk. Auto-processing here shows fast, visible relief while the flagship matures.</w:t>
      </w:r>
    </w:p>
    <w:p>
      <w:pPr>
        <w:spacing w:after="140"/>
      </w:pPr>
      <w:r>
        <w:rPr>
          <w:b/>
          <w:bCs/>
          <w:sz w:val="22"/>
          <w:szCs w:val="22"/>
        </w:rPr>
        <w:t xml:space="preserve">Hold for phase two — anything requiring a physical inspection </w:t>
      </w:r>
      <w:r>
        <w:rPr>
          <w:sz w:val="22"/>
          <w:szCs w:val="22"/>
        </w:rPr>
        <w:t xml:space="preserve">(for example, onsite wastewater), where the binding constraint is a site visit AI cannot perform, regardless of how much volume it carries.</w:t>
      </w:r>
    </w:p>
    <w:p>
      <w:pPr>
        <w:pStyle w:val="Heading2"/>
      </w:pPr>
      <w:r>
        <w:t xml:space="preserve">7. What it takes to finalize the decision</w:t>
      </w:r>
    </w:p>
    <w:p>
      <w:pPr>
        <w:spacing w:after="140"/>
      </w:pPr>
      <w:r>
        <w:rPr>
          <w:sz w:val="22"/>
          <w:szCs w:val="22"/>
        </w:rPr>
        <w:t xml:space="preserve">The recommendation above should not be locked until the analysis is rebuilt on clean data. The single highest-value input is a row-level DataHub extract — for every program area, across all statuses (including pending) — carrying received and completion dates, status-change timestamps, hold start/end/reason, processing hours spent, and the statutory due dates. That one pull removes the censoring bias, makes the backlog visible, and — uniquely — lets us separate time spent working from time spent waiting, which is what distinguishes a permit AI can speed up from one that is merely waiting on a statute. A formal extract request specifying these tables and fields has been drafted and is ready to send to the ePermitting/DataHub owner.</w:t>
      </w:r>
    </w:p>
    <w:p>
      <w:pPr>
        <w:spacing w:after="140"/>
      </w:pPr>
      <w:r>
        <w:rPr>
          <w:sz w:val="22"/>
          <w:szCs w:val="22"/>
        </w:rPr>
        <w:t xml:space="preserve">Three questions travel with that request, because they could not be confirmed and would shift the ranking: whether an explicit energy/180-day flag (or project linkage) exists, how staff-hours are captured, and whether any permit carries a site-visit-required indicator.</w:t>
      </w:r>
    </w:p>
    <w:p>
      <w:pPr>
        <w:pStyle w:val="Heading2"/>
      </w:pPr>
      <w:r>
        <w:t xml:space="preserve">8. Deliverables and sources</w:t>
      </w:r>
    </w:p>
    <w:p>
      <w:pPr>
        <w:spacing w:after="140"/>
      </w:pPr>
      <w:r>
        <w:rPr>
          <w:sz w:val="22"/>
          <w:szCs w:val="22"/>
        </w:rPr>
        <w:t xml:space="preserve">Two working files accompany this report, both in the SCDES Permitting folder:</w:t>
      </w:r>
    </w:p>
    <w:p>
      <w:pPr>
        <w:pStyle w:val="ListParagraph"/>
        <w:numPr>
          <w:ilvl w:val="0"/>
          <w:numId w:val="2"/>
        </w:numPr>
        <w:spacing w:after="80"/>
      </w:pPr>
      <w:r>
        <w:rPr>
          <w:b/>
          <w:bCs/>
          <w:sz w:val="22"/>
          <w:szCs w:val="22"/>
        </w:rPr>
        <w:t xml:space="preserve">Unified data workbook</w:t>
      </w:r>
      <w:r>
        <w:rPr>
          <w:sz w:val="22"/>
          <w:szCs w:val="22"/>
        </w:rPr>
        <w:t xml:space="preserve"> — six tabs: source inventory, a 12-item data-quality log, the analyst data “as presented,” a re-weighted governance-first scoring of 502 permit actions, a gaps register, and a full Power BI / DataHub source catalog. Every value traces to a named source.</w:t>
      </w:r>
    </w:p>
    <w:p>
      <w:pPr>
        <w:pStyle w:val="ListParagraph"/>
        <w:numPr>
          <w:ilvl w:val="0"/>
          <w:numId w:val="2"/>
        </w:numPr>
        <w:spacing w:after="80"/>
      </w:pPr>
      <w:r>
        <w:rPr>
          <w:b/>
          <w:bCs/>
          <w:sz w:val="22"/>
          <w:szCs w:val="22"/>
        </w:rPr>
        <w:t xml:space="preserve">DataHub extract request</w:t>
      </w:r>
      <w:r>
        <w:rPr>
          <w:sz w:val="22"/>
          <w:szCs w:val="22"/>
        </w:rPr>
        <w:t xml:space="preserve"> — the forwardable specification for the row-level pull across all programs.</w:t>
      </w:r>
    </w:p>
    <w:p>
      <w:pPr>
        <w:spacing w:after="140" w:before="60"/>
      </w:pPr>
      <w:r>
        <w:rPr>
          <w:sz w:val="22"/>
          <w:szCs w:val="22"/>
        </w:rPr>
        <w:t xml:space="preserve">Primary sources: the SCDES permitting export files (annual volume, backlog, processing-days log of 235,009 completed submissions Apr 2022–Apr 2026, permit-type catalog, analyst quadrant); and the live SCDES ePermitting Power BI environment reviewed June 18, 2026 — notably the </w:t>
      </w:r>
    </w:p>
    <w:p>
      <w:pPr>
        <w:spacing w:after="140"/>
      </w:pPr>
      <w:r>
        <w:rPr>
          <w:sz w:val="22"/>
          <w:szCs w:val="22"/>
        </w:rPr>
        <w:t xml:space="preserve">Unassigned Submissions report and the Target-90 DataHub model. Column names in the live model were verified on screen; row values were not extracted.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SCDES Permitting AI — IDENTIFY findings &amp; recommendation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F3A5F"/>
      <w:sz w:val="27"/>
      <w:szCs w:val="27"/>
    </w:rPr>
  </w:style>
  <w:style w:type="paragraph" w:styleId="Heading3">
    <w:name w:val="Heading 3"/>
    <w:basedOn w:val="Normal"/>
    <w:next w:val="Normal"/>
    <w:qFormat/>
    <w:pPr>
      <w:spacing w:after="70" w:before="140"/>
      <w:outlineLvl w:val="2"/>
    </w:pPr>
    <w:rPr>
      <w:rFonts w:ascii="Arial" w:cs="Arial" w:eastAsia="Arial" w:hAnsi="Arial"/>
      <w:b/>
      <w:bCs/>
      <w:color w:val="2E4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2026-06-19T00:29:19.536Z</dcterms:created>
  <dcterms:modified xsi:type="dcterms:W3CDTF">2026-06-19T00:29:19.539Z</dcterms:modified>
</cp:coreProperties>
</file>

<file path=docProps/custom.xml><?xml version="1.0" encoding="utf-8"?>
<Properties xmlns="http://schemas.openxmlformats.org/officeDocument/2006/custom-properties" xmlns:vt="http://schemas.openxmlformats.org/officeDocument/2006/docPropsVTypes"/>
</file>