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E3F5C"/>
          <w:sz w:val="26"/>
        </w:rPr>
        <w:t>INNOVATIVE INFRASTRUCTURE ADVISING, LLC</w:t>
      </w:r>
    </w:p>
    <w:p>
      <w:pPr>
        <w:spacing w:after="20"/>
        <w:jc w:val="center"/>
      </w:pPr>
      <w:r>
        <w:rPr>
          <w:rFonts w:ascii="Calibri" w:hAnsi="Calibri"/>
          <w:b/>
          <w:sz w:val="24"/>
        </w:rPr>
        <w:t>GOVERNINGAI.US — TERMS OF USE AND LICENSE AGREEMENT</w:t>
      </w:r>
    </w:p>
    <w:p>
      <w:pPr>
        <w:spacing w:after="220"/>
        <w:jc w:val="center"/>
      </w:pPr>
      <w:r>
        <w:rPr>
          <w:rFonts w:ascii="Calibri" w:hAnsi="Calibri"/>
          <w:i/>
          <w:color w:val="5E6D68"/>
          <w:sz w:val="21"/>
        </w:rPr>
        <w:t>Free Governmental Tier — Executed Form</w:t>
      </w:r>
    </w:p>
    <w:p>
      <w:pPr>
        <w:spacing w:after="220" w:before="60"/>
        <w:ind w:left="72" w:right="72"/>
        <w:shd w:val="clear" w:color="auto" w:fill="EDF2F7"/>
        <w:pBdr>
          <w:top w:val="single" w:sz="8" w:space="6" w:color="1E3F5C"/>
          <w:left w:val="single" w:sz="8" w:space="6" w:color="1E3F5C"/>
          <w:bottom w:val="single" w:sz="8" w:space="6" w:color="1E3F5C"/>
          <w:right w:val="single" w:sz="8" w:space="6" w:color="1E3F5C"/>
        </w:pBdr>
      </w:pPr>
      <w:r>
        <w:rPr>
          <w:rFonts w:ascii="Calibri" w:hAnsi="Calibri"/>
          <w:b/>
          <w:i w:val="0"/>
          <w:color w:val="1A2332"/>
          <w:sz w:val="21"/>
        </w:rPr>
        <w:t>EXECUTED FORM.</w:t>
      </w:r>
      <w:r>
        <w:rPr>
          <w:rFonts w:ascii="Calibri" w:hAnsi="Calibri"/>
          <w:b w:val="0"/>
          <w:i w:val="0"/>
          <w:color w:val="1A2332"/>
          <w:sz w:val="21"/>
        </w:rPr>
        <w:t xml:space="preserve">  This is the countersignable form of the GoverningAI.US Terms of Use and License Agreement, offered for any Governmental Unit whose governing law, procurement rules, or counsel require a signed instrument rather than acceptance by clicking. Where this form is executed by both Parties, </w:t>
      </w:r>
      <w:r>
        <w:rPr>
          <w:rFonts w:ascii="Calibri" w:hAnsi="Calibri"/>
          <w:b/>
          <w:i w:val="0"/>
          <w:color w:val="1A2332"/>
          <w:sz w:val="21"/>
        </w:rPr>
        <w:t>it controls</w:t>
      </w:r>
      <w:r>
        <w:rPr>
          <w:rFonts w:ascii="Calibri" w:hAnsi="Calibri"/>
          <w:b w:val="0"/>
          <w:i w:val="0"/>
          <w:color w:val="1A2332"/>
          <w:sz w:val="21"/>
        </w:rPr>
        <w:t xml:space="preserve"> over any click-through acceptance of the same terms.</w:t>
      </w:r>
    </w:p>
    <w:p>
      <w:pPr>
        <w:spacing w:after="200"/>
      </w:pPr>
      <w:r>
        <w:rPr>
          <w:rFonts w:ascii="Calibri" w:hAnsi="Calibri"/>
          <w:b/>
          <w:i w:val="0"/>
          <w:color w:val="1A2332"/>
          <w:sz w:val="21"/>
        </w:rPr>
        <w:t>Customer:</w:t>
      </w:r>
      <w:r>
        <w:rPr>
          <w:rFonts w:ascii="Calibri" w:hAnsi="Calibri"/>
          <w:b w:val="0"/>
          <w:i w:val="0"/>
          <w:color w:val="1A2332"/>
          <w:sz w:val="21"/>
        </w:rPr>
        <w:t xml:space="preserve">  ____________________________________________________________________     </w:t>
      </w:r>
      <w:r>
        <w:rPr>
          <w:rFonts w:ascii="Calibri" w:hAnsi="Calibri"/>
          <w:b/>
          <w:i w:val="0"/>
          <w:color w:val="1A2332"/>
          <w:sz w:val="21"/>
        </w:rPr>
        <w:t>Effective Date:</w:t>
      </w:r>
      <w:r>
        <w:rPr>
          <w:rFonts w:ascii="Calibri" w:hAnsi="Calibri"/>
          <w:b w:val="0"/>
          <w:i w:val="0"/>
          <w:color w:val="1A2332"/>
          <w:sz w:val="21"/>
        </w:rPr>
        <w:t xml:space="preserve">  ____________________</w:t>
      </w:r>
    </w:p>
    <w:p>
      <w:pPr>
        <w:spacing w:before="0" w:after="140"/>
        <w:ind w:left="0" w:firstLine="0"/>
        <w:jc w:val="both"/>
      </w:pPr>
      <w:r>
        <w:rPr>
          <w:rFonts w:ascii="Calibri" w:hAnsi="Calibri"/>
          <w:b w:val="0"/>
          <w:i w:val="0"/>
          <w:color w:val="1A2332"/>
          <w:sz w:val="21"/>
        </w:rPr>
        <w:t xml:space="preserve">This Agreement is made between </w:t>
      </w:r>
      <w:r>
        <w:rPr>
          <w:rFonts w:ascii="Calibri" w:hAnsi="Calibri"/>
          <w:b/>
          <w:i w:val="0"/>
          <w:color w:val="1A2332"/>
          <w:sz w:val="21"/>
        </w:rPr>
        <w:t>Innovative Infrastructure Advising, LLC</w:t>
      </w:r>
      <w:r>
        <w:rPr>
          <w:rFonts w:ascii="Calibri" w:hAnsi="Calibri"/>
          <w:b w:val="0"/>
          <w:i w:val="0"/>
          <w:color w:val="1A2332"/>
          <w:sz w:val="21"/>
        </w:rPr>
        <w:t>, a South Carolina limited liability company (“</w:t>
      </w:r>
      <w:r>
        <w:rPr>
          <w:rFonts w:ascii="Calibri" w:hAnsi="Calibri"/>
          <w:b/>
          <w:i w:val="0"/>
          <w:color w:val="1A2332"/>
          <w:sz w:val="21"/>
        </w:rPr>
        <w:t>IIA</w:t>
      </w:r>
      <w:r>
        <w:rPr>
          <w:rFonts w:ascii="Calibri" w:hAnsi="Calibri"/>
          <w:b w:val="0"/>
          <w:i w:val="0"/>
          <w:color w:val="1A2332"/>
          <w:sz w:val="21"/>
        </w:rPr>
        <w:t>”), and the governmental unit on whose behalf the Platform is accessed (“</w:t>
      </w:r>
      <w:r>
        <w:rPr>
          <w:rFonts w:ascii="Calibri" w:hAnsi="Calibri"/>
          <w:b/>
          <w:i w:val="0"/>
          <w:color w:val="1A2332"/>
          <w:sz w:val="21"/>
        </w:rPr>
        <w:t>Customer</w:t>
      </w:r>
      <w:r>
        <w:rPr>
          <w:rFonts w:ascii="Calibri" w:hAnsi="Calibri"/>
          <w:b w:val="0"/>
          <w:i w:val="0"/>
          <w:color w:val="1A2332"/>
          <w:sz w:val="21"/>
        </w:rPr>
        <w:t>”). IIA and Customer are each a “Party” and together the “Parties.”</w:t>
      </w:r>
    </w:p>
    <w:p>
      <w:pPr>
        <w:spacing w:after="120"/>
        <w:ind w:left="461" w:hanging="461"/>
        <w:jc w:val="both"/>
      </w:pPr>
      <w:r>
        <w:rPr>
          <w:rFonts w:ascii="Calibri" w:hAnsi="Calibri"/>
          <w:b/>
          <w:color w:val="1A2332"/>
          <w:sz w:val="21"/>
        </w:rPr>
        <w:t>(A)</w:t>
        <w:tab/>
      </w:r>
      <w:r>
        <w:rPr>
          <w:rFonts w:ascii="Calibri" w:hAnsi="Calibri"/>
          <w:b w:val="0"/>
          <w:i w:val="0"/>
          <w:color w:val="1A2332"/>
          <w:sz w:val="21"/>
        </w:rPr>
        <w:t xml:space="preserve">IIA is the developer and owner of </w:t>
      </w:r>
      <w:r>
        <w:rPr>
          <w:rFonts w:ascii="Calibri" w:hAnsi="Calibri"/>
          <w:b/>
          <w:i w:val="0"/>
          <w:color w:val="1A2332"/>
          <w:sz w:val="21"/>
        </w:rPr>
        <w:t>GoverningAI.US</w:t>
      </w:r>
      <w:r>
        <w:rPr>
          <w:rFonts w:ascii="Calibri" w:hAnsi="Calibri"/>
          <w:b w:val="0"/>
          <w:i w:val="0"/>
          <w:color w:val="1A2332"/>
          <w:sz w:val="21"/>
        </w:rPr>
        <w:t>, a software platform through which a governmental unit builds and operates its own artificial-intelligence governance programme (the “</w:t>
      </w:r>
      <w:r>
        <w:rPr>
          <w:rFonts w:ascii="Calibri" w:hAnsi="Calibri"/>
          <w:b/>
          <w:i w:val="0"/>
          <w:color w:val="1A2332"/>
          <w:sz w:val="21"/>
        </w:rPr>
        <w:t>Platform</w:t>
      </w:r>
      <w:r>
        <w:rPr>
          <w:rFonts w:ascii="Calibri" w:hAnsi="Calibri"/>
          <w:b w:val="0"/>
          <w:i w:val="0"/>
          <w:color w:val="1A2332"/>
          <w:sz w:val="21"/>
        </w:rPr>
        <w:t>”).</w:t>
      </w:r>
    </w:p>
    <w:p>
      <w:pPr>
        <w:spacing w:after="120"/>
        <w:ind w:left="461" w:hanging="461"/>
        <w:jc w:val="both"/>
      </w:pPr>
      <w:r>
        <w:rPr>
          <w:rFonts w:ascii="Calibri" w:hAnsi="Calibri"/>
          <w:b/>
          <w:color w:val="1A2332"/>
          <w:sz w:val="21"/>
        </w:rPr>
        <w:t>(B)</w:t>
        <w:tab/>
      </w:r>
      <w:r>
        <w:rPr>
          <w:rFonts w:ascii="Calibri" w:hAnsi="Calibri"/>
          <w:b w:val="0"/>
          <w:i w:val="0"/>
          <w:color w:val="1A2332"/>
          <w:sz w:val="21"/>
        </w:rPr>
        <w:t xml:space="preserve">IIA makes the Platform available to governmental units </w:t>
      </w:r>
      <w:r>
        <w:rPr>
          <w:rFonts w:ascii="Calibri" w:hAnsi="Calibri"/>
          <w:b/>
          <w:i w:val="0"/>
          <w:color w:val="1A2332"/>
          <w:sz w:val="21"/>
        </w:rPr>
        <w:t>at no charge</w:t>
      </w:r>
      <w:r>
        <w:rPr>
          <w:rFonts w:ascii="Calibri" w:hAnsi="Calibri"/>
          <w:b w:val="0"/>
          <w:i w:val="0"/>
          <w:color w:val="1A2332"/>
          <w:sz w:val="21"/>
        </w:rPr>
        <w:t>, for each unit’s own governmental functions, on the terms set out below. The free tier exists so that governmental units can govern their own use of artificial intelligence without a procurement, and it is offered on that basis and no other.</w:t>
      </w:r>
    </w:p>
    <w:p>
      <w:pPr>
        <w:spacing w:after="120"/>
        <w:ind w:left="461" w:hanging="461"/>
        <w:jc w:val="both"/>
      </w:pPr>
      <w:r>
        <w:rPr>
          <w:rFonts w:ascii="Calibri" w:hAnsi="Calibri"/>
          <w:b/>
          <w:color w:val="1A2332"/>
          <w:sz w:val="21"/>
        </w:rPr>
        <w:t>(C)</w:t>
        <w:tab/>
      </w:r>
      <w:r>
        <w:rPr>
          <w:rFonts w:ascii="Calibri" w:hAnsi="Calibri"/>
          <w:b w:val="0"/>
          <w:i w:val="0"/>
          <w:color w:val="1A2332"/>
          <w:sz w:val="21"/>
        </w:rPr>
        <w:t>As a condition of access, Customer agrees to the obligations set forth in this Agreement.</w:t>
      </w:r>
    </w:p>
    <w:p>
      <w:pPr>
        <w:spacing w:before="80" w:after="140"/>
        <w:ind w:left="0" w:firstLine="0"/>
        <w:jc w:val="both"/>
      </w:pPr>
      <w:r>
        <w:rPr>
          <w:rFonts w:ascii="Calibri" w:hAnsi="Calibri"/>
          <w:b/>
          <w:i w:val="0"/>
          <w:color w:val="1A2332"/>
          <w:sz w:val="21"/>
        </w:rPr>
        <w:t>NOW, THEREFORE</w:t>
      </w:r>
      <w:r>
        <w:rPr>
          <w:rFonts w:ascii="Calibri" w:hAnsi="Calibri"/>
          <w:b w:val="0"/>
          <w:i w:val="0"/>
          <w:color w:val="1A2332"/>
          <w:sz w:val="21"/>
        </w:rPr>
        <w:t>, in consideration of the license granted below and Customer’s access to the Platform, the adequacy of which is hereby acknowledged, the Parties agree as follows:</w:t>
      </w:r>
    </w:p>
    <w:p>
      <w:pPr>
        <w:keepNext/>
        <w:spacing w:before="240" w:after="100"/>
      </w:pPr>
      <w:r>
        <w:rPr>
          <w:rFonts w:ascii="Calibri" w:hAnsi="Calibri"/>
          <w:b/>
          <w:color w:val="1E3F5C"/>
          <w:sz w:val="21"/>
        </w:rPr>
        <w:t>1.  DEFINITIONS</w:t>
      </w:r>
    </w:p>
    <w:p>
      <w:pPr>
        <w:spacing w:after="120"/>
        <w:ind w:left="461" w:hanging="461"/>
        <w:jc w:val="both"/>
      </w:pPr>
      <w:r>
        <w:rPr>
          <w:rFonts w:ascii="Calibri" w:hAnsi="Calibri"/>
          <w:b/>
          <w:color w:val="1A2332"/>
          <w:sz w:val="21"/>
        </w:rPr>
        <w:t>(a)</w:t>
        <w:tab/>
      </w:r>
      <w:r>
        <w:rPr>
          <w:rFonts w:ascii="Calibri" w:hAnsi="Calibri"/>
          <w:b w:val="0"/>
          <w:i w:val="0"/>
          <w:color w:val="1A2332"/>
          <w:sz w:val="21"/>
        </w:rPr>
        <w:t>“</w:t>
      </w:r>
      <w:r>
        <w:rPr>
          <w:rFonts w:ascii="Calibri" w:hAnsi="Calibri"/>
          <w:b/>
          <w:i w:val="0"/>
          <w:color w:val="1A2332"/>
          <w:sz w:val="21"/>
        </w:rPr>
        <w:t>Platform</w:t>
      </w:r>
      <w:r>
        <w:rPr>
          <w:rFonts w:ascii="Calibri" w:hAnsi="Calibri"/>
          <w:b w:val="0"/>
          <w:i w:val="0"/>
          <w:color w:val="1A2332"/>
          <w:sz w:val="21"/>
        </w:rPr>
        <w:t>” means the GoverningAI.US software platform in any version and by any means of access, together with its user interfaces, screens, workflows, question sets, help and guidance text, decision logic, scoring and sequencing rules, templates, generated document formats, source code, data model, and documentation.</w:t>
      </w:r>
    </w:p>
    <w:p>
      <w:pPr>
        <w:spacing w:after="120"/>
        <w:ind w:left="461" w:hanging="461"/>
        <w:jc w:val="both"/>
      </w:pPr>
      <w:r>
        <w:rPr>
          <w:rFonts w:ascii="Calibri" w:hAnsi="Calibri"/>
          <w:b/>
          <w:color w:val="1A2332"/>
          <w:sz w:val="21"/>
        </w:rPr>
        <w:t>(b)</w:t>
        <w:tab/>
      </w:r>
      <w:r>
        <w:rPr>
          <w:rFonts w:ascii="Calibri" w:hAnsi="Calibri"/>
          <w:b w:val="0"/>
          <w:i w:val="0"/>
          <w:color w:val="1A2332"/>
          <w:sz w:val="21"/>
        </w:rPr>
        <w:t>“</w:t>
      </w:r>
      <w:r>
        <w:rPr>
          <w:rFonts w:ascii="Calibri" w:hAnsi="Calibri"/>
          <w:b/>
          <w:i w:val="0"/>
          <w:color w:val="1A2332"/>
          <w:sz w:val="21"/>
        </w:rPr>
        <w:t>Framework</w:t>
      </w:r>
      <w:r>
        <w:rPr>
          <w:rFonts w:ascii="Calibri" w:hAnsi="Calibri"/>
          <w:b w:val="0"/>
          <w:i w:val="0"/>
          <w:color w:val="1A2332"/>
          <w:sz w:val="21"/>
        </w:rPr>
        <w:t>” means the governance framework that the Platform generates for Customer from Customer’s own answers, including the resulting policy text, registers, and records as they apply to Customer.</w:t>
      </w:r>
    </w:p>
    <w:p>
      <w:pPr>
        <w:spacing w:after="120"/>
        <w:ind w:left="461" w:hanging="461"/>
        <w:jc w:val="both"/>
      </w:pPr>
      <w:r>
        <w:rPr>
          <w:rFonts w:ascii="Calibri" w:hAnsi="Calibri"/>
          <w:b/>
          <w:color w:val="1A2332"/>
          <w:sz w:val="21"/>
        </w:rPr>
        <w:t>(c)</w:t>
        <w:tab/>
      </w:r>
      <w:r>
        <w:rPr>
          <w:rFonts w:ascii="Calibri" w:hAnsi="Calibri"/>
          <w:b w:val="0"/>
          <w:i w:val="0"/>
          <w:color w:val="1A2332"/>
          <w:sz w:val="21"/>
        </w:rPr>
        <w:t>“</w:t>
      </w:r>
      <w:r>
        <w:rPr>
          <w:rFonts w:ascii="Calibri" w:hAnsi="Calibri"/>
          <w:b/>
          <w:i w:val="0"/>
          <w:color w:val="1A2332"/>
          <w:sz w:val="21"/>
        </w:rPr>
        <w:t>Customer Data</w:t>
      </w:r>
      <w:r>
        <w:rPr>
          <w:rFonts w:ascii="Calibri" w:hAnsi="Calibri"/>
          <w:b w:val="0"/>
          <w:i w:val="0"/>
          <w:color w:val="1A2332"/>
          <w:sz w:val="21"/>
        </w:rPr>
        <w:t>” means all information Customer or its Authorized Users enter into, upload to, or generate within the Platform, including framework answers, problem definitions, registers, records, holdings information, decisions, and documents.</w:t>
      </w:r>
    </w:p>
    <w:p>
      <w:pPr>
        <w:spacing w:after="120"/>
        <w:ind w:left="461" w:hanging="461"/>
        <w:jc w:val="both"/>
      </w:pPr>
      <w:r>
        <w:rPr>
          <w:rFonts w:ascii="Calibri" w:hAnsi="Calibri"/>
          <w:b/>
          <w:color w:val="1A2332"/>
          <w:sz w:val="21"/>
        </w:rPr>
        <w:t>(d)</w:t>
        <w:tab/>
      </w:r>
      <w:r>
        <w:rPr>
          <w:rFonts w:ascii="Calibri" w:hAnsi="Calibri"/>
          <w:b w:val="0"/>
          <w:i w:val="0"/>
          <w:color w:val="1A2332"/>
          <w:sz w:val="21"/>
        </w:rPr>
        <w:t>“</w:t>
      </w:r>
      <w:r>
        <w:rPr>
          <w:rFonts w:ascii="Calibri" w:hAnsi="Calibri"/>
          <w:b/>
          <w:i w:val="0"/>
          <w:color w:val="1A2332"/>
          <w:sz w:val="21"/>
        </w:rPr>
        <w:t>Governmental Unit</w:t>
      </w:r>
      <w:r>
        <w:rPr>
          <w:rFonts w:ascii="Calibri" w:hAnsi="Calibri"/>
          <w:b w:val="0"/>
          <w:i w:val="0"/>
          <w:color w:val="1A2332"/>
          <w:sz w:val="21"/>
        </w:rPr>
        <w:t xml:space="preserve">” means a federal, state, tribal, territorial, regional, county, municipal, or special-district body, authority, agency, department, commission, board, district, or instrumentality, including a public school district and a public utility or authority owned or controlled by such a body. </w:t>
      </w:r>
      <w:r>
        <w:rPr>
          <w:rFonts w:ascii="Calibri" w:hAnsi="Calibri"/>
          <w:b/>
          <w:i w:val="0"/>
          <w:color w:val="1A2332"/>
          <w:sz w:val="21"/>
        </w:rPr>
        <w:t>Governmental Unit also includes</w:t>
      </w:r>
      <w:r>
        <w:rPr>
          <w:rFonts w:ascii="Calibri" w:hAnsi="Calibri"/>
          <w:b w:val="0"/>
          <w:i w:val="0"/>
          <w:color w:val="1A2332"/>
          <w:sz w:val="21"/>
        </w:rPr>
        <w:t xml:space="preserve"> a council of governments, a regional planning commission or planning district, a regional council, an area agency, and any multi-jurisdiction compact, authority, or joint body formed by two or more of the foregoing, whether or not it is itself a unit of general government.</w:t>
      </w:r>
    </w:p>
    <w:p>
      <w:pPr>
        <w:spacing w:after="120"/>
        <w:ind w:left="461" w:hanging="461"/>
        <w:jc w:val="both"/>
      </w:pPr>
      <w:r>
        <w:rPr>
          <w:rFonts w:ascii="Calibri" w:hAnsi="Calibri"/>
          <w:b/>
          <w:color w:val="1A2332"/>
          <w:sz w:val="21"/>
        </w:rPr>
        <w:t>(e)</w:t>
        <w:tab/>
      </w:r>
      <w:r>
        <w:rPr>
          <w:rFonts w:ascii="Calibri" w:hAnsi="Calibri"/>
          <w:b w:val="0"/>
          <w:i w:val="0"/>
          <w:color w:val="1A2332"/>
          <w:sz w:val="21"/>
        </w:rPr>
        <w:t>“</w:t>
      </w:r>
      <w:r>
        <w:rPr>
          <w:rFonts w:ascii="Calibri" w:hAnsi="Calibri"/>
          <w:b/>
          <w:i w:val="0"/>
          <w:color w:val="1A2332"/>
          <w:sz w:val="21"/>
        </w:rPr>
        <w:t>Authorized User</w:t>
      </w:r>
      <w:r>
        <w:rPr>
          <w:rFonts w:ascii="Calibri" w:hAnsi="Calibri"/>
          <w:b w:val="0"/>
          <w:i w:val="0"/>
          <w:color w:val="1A2332"/>
          <w:sz w:val="21"/>
        </w:rPr>
        <w:t>” means an individual whom Customer permits to access the Platform on Customer’s behalf, including Customer’s employees and officers and any contractor, consultant, or shared-service provider acting for Customer in the performance of Customer’s own governmental functions.</w:t>
      </w:r>
    </w:p>
    <w:p>
      <w:pPr>
        <w:spacing w:after="120"/>
        <w:ind w:left="461" w:hanging="461"/>
        <w:jc w:val="both"/>
      </w:pPr>
      <w:r>
        <w:rPr>
          <w:rFonts w:ascii="Calibri" w:hAnsi="Calibri"/>
          <w:b/>
          <w:color w:val="1A2332"/>
          <w:sz w:val="21"/>
        </w:rPr>
        <w:t>(f)</w:t>
        <w:tab/>
      </w:r>
      <w:r>
        <w:rPr>
          <w:rFonts w:ascii="Calibri" w:hAnsi="Calibri"/>
          <w:b w:val="0"/>
          <w:i w:val="0"/>
          <w:color w:val="1A2332"/>
          <w:sz w:val="21"/>
        </w:rPr>
        <w:t>“</w:t>
      </w:r>
      <w:r>
        <w:rPr>
          <w:rFonts w:ascii="Calibri" w:hAnsi="Calibri"/>
          <w:b/>
          <w:i w:val="0"/>
          <w:color w:val="1A2332"/>
          <w:sz w:val="21"/>
        </w:rPr>
        <w:t>Feedback</w:t>
      </w:r>
      <w:r>
        <w:rPr>
          <w:rFonts w:ascii="Calibri" w:hAnsi="Calibri"/>
          <w:b w:val="0"/>
          <w:i w:val="0"/>
          <w:color w:val="1A2332"/>
          <w:sz w:val="21"/>
        </w:rPr>
        <w:t>” means any suggestion, enhancement request, recommendation, correction, or other input Customer or an Authorized User provides to IIA regarding the Platform.</w:t>
      </w:r>
    </w:p>
    <w:p>
      <w:pPr>
        <w:keepNext/>
        <w:spacing w:before="240" w:after="100"/>
      </w:pPr>
      <w:r>
        <w:rPr>
          <w:rFonts w:ascii="Calibri" w:hAnsi="Calibri"/>
          <w:b/>
          <w:color w:val="1E3F5C"/>
          <w:sz w:val="21"/>
        </w:rPr>
        <w:t>2.  ELIGIBILITY AND LICENSE GRANT</w:t>
      </w:r>
    </w:p>
    <w:p>
      <w:pPr>
        <w:spacing w:before="0" w:after="140"/>
        <w:ind w:left="0" w:firstLine="0"/>
        <w:jc w:val="both"/>
      </w:pPr>
      <w:r>
        <w:rPr>
          <w:rFonts w:ascii="Calibri" w:hAnsi="Calibri"/>
          <w:b w:val="0"/>
          <w:i w:val="0"/>
          <w:color w:val="1A2332"/>
          <w:sz w:val="21"/>
        </w:rPr>
        <w:t>The free tier of the Platform is available only to a Governmental Unit, and only for that unit’s own governmental functions. By accepting this Agreement, Customer represents that it is a Governmental Unit and that the individual accepting is authorized to accept on its behalf.</w:t>
      </w:r>
    </w:p>
    <w:p>
      <w:pPr>
        <w:spacing w:before="0" w:after="140"/>
        <w:ind w:left="0" w:firstLine="0"/>
        <w:jc w:val="both"/>
      </w:pPr>
      <w:r>
        <w:rPr>
          <w:rFonts w:ascii="Calibri" w:hAnsi="Calibri"/>
          <w:b w:val="0"/>
          <w:i w:val="0"/>
          <w:color w:val="1A2332"/>
          <w:sz w:val="21"/>
        </w:rPr>
        <w:t xml:space="preserve">Subject to Customer’s compliance with this Agreement, IIA grants Customer a </w:t>
      </w:r>
      <w:r>
        <w:rPr>
          <w:rFonts w:ascii="Calibri" w:hAnsi="Calibri"/>
          <w:b/>
          <w:i w:val="0"/>
          <w:color w:val="1A2332"/>
          <w:sz w:val="21"/>
        </w:rPr>
        <w:t>limited, non-exclusive, non-transferable, non-sublicensable, revocable license</w:t>
      </w:r>
      <w:r>
        <w:rPr>
          <w:rFonts w:ascii="Calibri" w:hAnsi="Calibri"/>
          <w:b w:val="0"/>
          <w:i w:val="0"/>
          <w:color w:val="1A2332"/>
          <w:sz w:val="21"/>
        </w:rPr>
        <w:t xml:space="preserve"> to access and use the Platform, through its Authorized Users, solely to build and operate Customer’s own artificial-intelligence governance programme. No other right or license is granted, whether by implication, estoppel, or otherwise.</w:t>
      </w:r>
    </w:p>
    <w:p>
      <w:pPr>
        <w:keepNext/>
        <w:spacing w:before="240" w:after="100"/>
      </w:pPr>
      <w:r>
        <w:rPr>
          <w:rFonts w:ascii="Calibri" w:hAnsi="Calibri"/>
          <w:b/>
          <w:color w:val="1E3F5C"/>
          <w:sz w:val="21"/>
        </w:rPr>
        <w:t>3.  RESTRICTIONS ON USE</w:t>
      </w:r>
    </w:p>
    <w:p>
      <w:pPr>
        <w:spacing w:before="0" w:after="140"/>
        <w:ind w:left="0" w:firstLine="0"/>
        <w:jc w:val="both"/>
      </w:pPr>
      <w:r>
        <w:rPr>
          <w:rFonts w:ascii="Calibri" w:hAnsi="Calibri"/>
          <w:b w:val="0"/>
          <w:i w:val="0"/>
          <w:color w:val="1A2332"/>
          <w:sz w:val="21"/>
        </w:rPr>
        <w:t>Customer shall not, and shall not permit any Authorized User or any third party to:</w:t>
      </w:r>
    </w:p>
    <w:p>
      <w:pPr>
        <w:spacing w:after="120"/>
        <w:ind w:left="461" w:hanging="461"/>
        <w:jc w:val="both"/>
      </w:pPr>
      <w:r>
        <w:rPr>
          <w:rFonts w:ascii="Calibri" w:hAnsi="Calibri"/>
          <w:b/>
          <w:color w:val="1A2332"/>
          <w:sz w:val="21"/>
        </w:rPr>
        <w:t>(a)</w:t>
        <w:tab/>
      </w:r>
      <w:r>
        <w:rPr>
          <w:rFonts w:ascii="Calibri" w:hAnsi="Calibri"/>
          <w:b/>
          <w:i w:val="0"/>
          <w:color w:val="1A2332"/>
          <w:sz w:val="21"/>
        </w:rPr>
        <w:t>reproduce, recreate, clone, or rebuild</w:t>
      </w:r>
      <w:r>
        <w:rPr>
          <w:rFonts w:ascii="Calibri" w:hAnsi="Calibri"/>
          <w:b w:val="0"/>
          <w:i w:val="0"/>
          <w:color w:val="1A2332"/>
          <w:sz w:val="21"/>
        </w:rPr>
        <w:t xml:space="preserve"> the Platform, or build or assist in building any product, service, platform, application, or tool that replicates, substantially derives from, or is substantially based on the Platform or any part of it, including its question sets, sequence, logic, templates, or data model;</w:t>
      </w:r>
    </w:p>
    <w:p>
      <w:pPr>
        <w:spacing w:after="120"/>
        <w:ind w:left="461" w:hanging="461"/>
        <w:jc w:val="both"/>
      </w:pPr>
      <w:r>
        <w:rPr>
          <w:rFonts w:ascii="Calibri" w:hAnsi="Calibri"/>
          <w:b/>
          <w:color w:val="1A2332"/>
          <w:sz w:val="21"/>
        </w:rPr>
        <w:t>(b)</w:t>
        <w:tab/>
      </w:r>
      <w:r>
        <w:rPr>
          <w:rFonts w:ascii="Calibri" w:hAnsi="Calibri"/>
          <w:b/>
          <w:i w:val="0"/>
          <w:color w:val="1A2332"/>
          <w:sz w:val="21"/>
        </w:rPr>
        <w:t>reverse engineer, decompile, disassemble</w:t>
      </w:r>
      <w:r>
        <w:rPr>
          <w:rFonts w:ascii="Calibri" w:hAnsi="Calibri"/>
          <w:b w:val="0"/>
          <w:i w:val="0"/>
          <w:color w:val="1A2332"/>
          <w:sz w:val="21"/>
        </w:rPr>
        <w:t>, or otherwise attempt to derive the source code, structure, architecture, logic, data model, or underlying ideas of the Platform, by any means and whether or not any technical measure is circumvented;</w:t>
      </w:r>
    </w:p>
    <w:p>
      <w:pPr>
        <w:spacing w:after="120"/>
        <w:ind w:left="461" w:hanging="461"/>
        <w:jc w:val="both"/>
      </w:pPr>
      <w:r>
        <w:rPr>
          <w:rFonts w:ascii="Calibri" w:hAnsi="Calibri"/>
          <w:b/>
          <w:color w:val="1A2332"/>
          <w:sz w:val="21"/>
        </w:rPr>
        <w:t>(c)</w:t>
        <w:tab/>
      </w:r>
      <w:r>
        <w:rPr>
          <w:rFonts w:ascii="Calibri" w:hAnsi="Calibri"/>
          <w:b w:val="0"/>
          <w:i w:val="0"/>
          <w:color w:val="1A2332"/>
          <w:sz w:val="21"/>
        </w:rPr>
        <w:t xml:space="preserve">use the Platform, or anything derived from or observed in it, </w:t>
      </w:r>
      <w:r>
        <w:rPr>
          <w:rFonts w:ascii="Calibri" w:hAnsi="Calibri"/>
          <w:b/>
          <w:i w:val="0"/>
          <w:color w:val="1A2332"/>
          <w:sz w:val="21"/>
        </w:rPr>
        <w:t>for any commercial purpose</w:t>
      </w:r>
      <w:r>
        <w:rPr>
          <w:rFonts w:ascii="Calibri" w:hAnsi="Calibri"/>
          <w:b w:val="0"/>
          <w:i w:val="0"/>
          <w:color w:val="1A2332"/>
          <w:sz w:val="21"/>
        </w:rPr>
        <w:t xml:space="preserve">, including to provide any product or service to any third party for a fee or other consideration, </w:t>
      </w:r>
      <w:r>
        <w:rPr>
          <w:rFonts w:ascii="Calibri" w:hAnsi="Calibri"/>
          <w:b/>
          <w:i w:val="0"/>
          <w:color w:val="1A2332"/>
          <w:sz w:val="21"/>
        </w:rPr>
        <w:t>without IIA’s prior written consent</w:t>
      </w:r>
      <w:r>
        <w:rPr>
          <w:rFonts w:ascii="Calibri" w:hAnsi="Calibri"/>
          <w:b w:val="0"/>
          <w:i w:val="0"/>
          <w:color w:val="1A2332"/>
          <w:sz w:val="21"/>
        </w:rPr>
        <w:t>;</w:t>
      </w:r>
    </w:p>
    <w:p>
      <w:pPr>
        <w:spacing w:after="120"/>
        <w:ind w:left="461" w:hanging="461"/>
        <w:jc w:val="both"/>
      </w:pPr>
      <w:r>
        <w:rPr>
          <w:rFonts w:ascii="Calibri" w:hAnsi="Calibri"/>
          <w:b/>
          <w:color w:val="1A2332"/>
          <w:sz w:val="21"/>
        </w:rPr>
        <w:t>(d)</w:t>
        <w:tab/>
      </w:r>
      <w:r>
        <w:rPr>
          <w:rFonts w:ascii="Calibri" w:hAnsi="Calibri"/>
          <w:b w:val="0"/>
          <w:i w:val="0"/>
          <w:color w:val="1A2332"/>
          <w:sz w:val="21"/>
        </w:rPr>
        <w:t>sell, resell, license, sublicense, rent, lease, lend, distribute, host, or otherwise make the Platform available to any person who is not an Authorized User;</w:t>
      </w:r>
    </w:p>
    <w:p>
      <w:pPr>
        <w:spacing w:after="120"/>
        <w:ind w:left="461" w:hanging="461"/>
        <w:jc w:val="both"/>
      </w:pPr>
      <w:r>
        <w:rPr>
          <w:rFonts w:ascii="Calibri" w:hAnsi="Calibri"/>
          <w:b/>
          <w:color w:val="1A2332"/>
          <w:sz w:val="21"/>
        </w:rPr>
        <w:t>(e)</w:t>
        <w:tab/>
      </w:r>
      <w:r>
        <w:rPr>
          <w:rFonts w:ascii="Calibri" w:hAnsi="Calibri"/>
          <w:b w:val="0"/>
          <w:i w:val="0"/>
          <w:color w:val="1A2332"/>
          <w:sz w:val="21"/>
        </w:rPr>
        <w:t>use the Platform other than for Customer’s own governmental functions, or permit any person to use it for that person’s own commercial benefit;</w:t>
      </w:r>
    </w:p>
    <w:p>
      <w:pPr>
        <w:spacing w:after="120"/>
        <w:ind w:left="461" w:hanging="461"/>
        <w:jc w:val="both"/>
      </w:pPr>
      <w:r>
        <w:rPr>
          <w:rFonts w:ascii="Calibri" w:hAnsi="Calibri"/>
          <w:b/>
          <w:color w:val="1A2332"/>
          <w:sz w:val="21"/>
        </w:rPr>
        <w:t>(f)</w:t>
        <w:tab/>
      </w:r>
      <w:r>
        <w:rPr>
          <w:rFonts w:ascii="Calibri" w:hAnsi="Calibri"/>
          <w:b w:val="0"/>
          <w:i w:val="0"/>
          <w:color w:val="1A2332"/>
          <w:sz w:val="21"/>
        </w:rPr>
        <w:t>access or use the Platform in order to build, inform, specify, or benchmark a competing product or service;</w:t>
      </w:r>
    </w:p>
    <w:p>
      <w:pPr>
        <w:spacing w:after="120"/>
        <w:ind w:left="461" w:hanging="461"/>
        <w:jc w:val="both"/>
      </w:pPr>
      <w:r>
        <w:rPr>
          <w:rFonts w:ascii="Calibri" w:hAnsi="Calibri"/>
          <w:b/>
          <w:color w:val="1A2332"/>
          <w:sz w:val="21"/>
        </w:rPr>
        <w:t>(g)</w:t>
        <w:tab/>
      </w:r>
      <w:r>
        <w:rPr>
          <w:rFonts w:ascii="Calibri" w:hAnsi="Calibri"/>
          <w:b w:val="0"/>
          <w:i w:val="0"/>
          <w:color w:val="1A2332"/>
          <w:sz w:val="21"/>
        </w:rPr>
        <w:t>use any robot, spider, scraper, or other automated means to extract, copy, index, or reproduce the Platform’s content, question sets, logic, structure, or templates; or</w:t>
      </w:r>
    </w:p>
    <w:p>
      <w:pPr>
        <w:spacing w:after="120"/>
        <w:ind w:left="461" w:hanging="461"/>
        <w:jc w:val="both"/>
      </w:pPr>
      <w:r>
        <w:rPr>
          <w:rFonts w:ascii="Calibri" w:hAnsi="Calibri"/>
          <w:b/>
          <w:color w:val="1A2332"/>
          <w:sz w:val="21"/>
        </w:rPr>
        <w:t>(h)</w:t>
        <w:tab/>
      </w:r>
      <w:r>
        <w:rPr>
          <w:rFonts w:ascii="Calibri" w:hAnsi="Calibri"/>
          <w:b w:val="0"/>
          <w:i w:val="0"/>
          <w:color w:val="1A2332"/>
          <w:sz w:val="21"/>
        </w:rPr>
        <w:t>remove, obscure, or alter any proprietary notice, attribution, mark, or identifier appearing in or on the Platform.</w:t>
      </w:r>
    </w:p>
    <w:p>
      <w:pPr>
        <w:spacing w:before="60" w:after="140"/>
        <w:ind w:left="0" w:firstLine="0"/>
        <w:jc w:val="both"/>
      </w:pPr>
      <w:r>
        <w:rPr>
          <w:rFonts w:ascii="Calibri" w:hAnsi="Calibri"/>
          <w:b/>
          <w:i w:val="0"/>
          <w:color w:val="1A2332"/>
          <w:sz w:val="21"/>
        </w:rPr>
        <w:t>Contractors acting for Customer.</w:t>
      </w:r>
      <w:r>
        <w:rPr>
          <w:rFonts w:ascii="Calibri" w:hAnsi="Calibri"/>
          <w:b w:val="0"/>
          <w:i w:val="0"/>
          <w:color w:val="1A2332"/>
          <w:sz w:val="21"/>
        </w:rPr>
        <w:t xml:space="preserve"> A contractor, consultant, or shared-service provider who accesses the Platform as an Authorized User, in the performance of Customer’s own governmental functions, does not violate subsection (c) or (e) by doing so, and is not thereby granted any right in the Platform in its own name. That person remains bound by every restriction in this Section, and Customer remains responsible for its compliance.</w:t>
      </w:r>
    </w:p>
    <w:p>
      <w:pPr>
        <w:spacing w:before="0" w:after="140"/>
        <w:ind w:left="0" w:firstLine="0"/>
        <w:jc w:val="both"/>
      </w:pPr>
      <w:r>
        <w:rPr>
          <w:rFonts w:ascii="Calibri" w:hAnsi="Calibri"/>
          <w:b/>
          <w:i w:val="0"/>
          <w:color w:val="1A2332"/>
          <w:sz w:val="21"/>
        </w:rPr>
        <w:t>Consent.</w:t>
      </w:r>
      <w:r>
        <w:rPr>
          <w:rFonts w:ascii="Calibri" w:hAnsi="Calibri"/>
          <w:b w:val="0"/>
          <w:i w:val="0"/>
          <w:color w:val="1A2332"/>
          <w:sz w:val="21"/>
        </w:rPr>
        <w:t xml:space="preserve"> Any consent required by this Section must be given by IIA in writing and signed by an authorized officer of IIA. IIA may grant, condition, or withhold that consent in its sole discretion. Nothing in this Agreement obligates IIA to grant it.</w:t>
      </w:r>
    </w:p>
    <w:p>
      <w:pPr>
        <w:keepNext/>
        <w:spacing w:before="240" w:after="100"/>
      </w:pPr>
      <w:r>
        <w:rPr>
          <w:rFonts w:ascii="Calibri" w:hAnsi="Calibri"/>
          <w:b/>
          <w:color w:val="1E3F5C"/>
          <w:sz w:val="21"/>
        </w:rPr>
        <w:t>4.  CUSTOMER DATA</w:t>
      </w:r>
    </w:p>
    <w:p>
      <w:pPr>
        <w:spacing w:before="0" w:after="140"/>
        <w:ind w:left="0" w:firstLine="0"/>
        <w:jc w:val="both"/>
      </w:pPr>
      <w:r>
        <w:rPr>
          <w:rFonts w:ascii="Calibri" w:hAnsi="Calibri"/>
          <w:b/>
          <w:i w:val="0"/>
          <w:color w:val="1A2332"/>
          <w:sz w:val="21"/>
        </w:rPr>
        <w:t>Customer Data belongs to Customer.</w:t>
      </w:r>
      <w:r>
        <w:rPr>
          <w:rFonts w:ascii="Calibri" w:hAnsi="Calibri"/>
          <w:b w:val="0"/>
          <w:i w:val="0"/>
          <w:color w:val="1A2332"/>
          <w:sz w:val="21"/>
        </w:rPr>
        <w:t xml:space="preserve"> As between the Parties, Customer owns all right, title, and interest in and to Customer Data. Customer Data resides in Customer’s own account on the Platform. IIA does not claim it, does not sell it, and does not pool it with the data of any other customer.</w:t>
      </w:r>
    </w:p>
    <w:p>
      <w:pPr>
        <w:spacing w:before="0" w:after="140"/>
        <w:ind w:left="0" w:firstLine="0"/>
        <w:jc w:val="both"/>
      </w:pPr>
      <w:r>
        <w:rPr>
          <w:rFonts w:ascii="Calibri" w:hAnsi="Calibri"/>
          <w:b/>
          <w:i w:val="0"/>
          <w:color w:val="1A2332"/>
          <w:sz w:val="21"/>
        </w:rPr>
        <w:t>IIA will not use Customer Data to train any model.</w:t>
      </w:r>
      <w:r>
        <w:rPr>
          <w:rFonts w:ascii="Calibri" w:hAnsi="Calibri"/>
          <w:b w:val="0"/>
          <w:i w:val="0"/>
          <w:color w:val="1A2332"/>
          <w:sz w:val="21"/>
        </w:rPr>
        <w:t xml:space="preserve"> IIA shall not use Customer Data to train, fine-tune, or otherwise develop any artificial-intelligence model, whether its own or a third party’s, and shall not permit any vendor or subprocessor engaged by IIA to do so.</w:t>
      </w:r>
    </w:p>
    <w:p>
      <w:pPr>
        <w:spacing w:before="0" w:after="140"/>
        <w:ind w:left="0" w:firstLine="0"/>
        <w:jc w:val="both"/>
      </w:pPr>
      <w:r>
        <w:rPr>
          <w:rFonts w:ascii="Calibri" w:hAnsi="Calibri"/>
          <w:b/>
          <w:i w:val="0"/>
          <w:color w:val="1A2332"/>
          <w:sz w:val="21"/>
        </w:rPr>
        <w:t>Sharing is Customer’s decision.</w:t>
      </w:r>
      <w:r>
        <w:rPr>
          <w:rFonts w:ascii="Calibri" w:hAnsi="Calibri"/>
          <w:b w:val="0"/>
          <w:i w:val="0"/>
          <w:color w:val="1A2332"/>
          <w:sz w:val="21"/>
        </w:rPr>
        <w:t xml:space="preserve"> If Customer elects to share any Customer Data with IIA or with another party, that election is Customer’s alone, is recorded as Customer’s decision, and may be withdrawn by Customer at any time as to future sharing.</w:t>
      </w:r>
    </w:p>
    <w:p>
      <w:pPr>
        <w:spacing w:before="0" w:after="140"/>
        <w:ind w:left="0" w:firstLine="0"/>
        <w:jc w:val="both"/>
      </w:pPr>
      <w:r>
        <w:rPr>
          <w:rFonts w:ascii="Calibri" w:hAnsi="Calibri"/>
          <w:b/>
          <w:i w:val="0"/>
          <w:color w:val="1A2332"/>
          <w:sz w:val="21"/>
        </w:rPr>
        <w:t>Access by IIA.</w:t>
      </w:r>
      <w:r>
        <w:rPr>
          <w:rFonts w:ascii="Calibri" w:hAnsi="Calibri"/>
          <w:b w:val="0"/>
          <w:i w:val="0"/>
          <w:color w:val="1A2332"/>
          <w:sz w:val="21"/>
        </w:rPr>
        <w:t xml:space="preserve"> IIA may access Customer Data only as necessary to operate, secure, support, or troubleshoot the Platform, or where Customer requests support, or where required by law.</w:t>
      </w:r>
    </w:p>
    <w:p>
      <w:pPr>
        <w:spacing w:before="0" w:after="140"/>
        <w:ind w:left="0" w:firstLine="0"/>
        <w:jc w:val="both"/>
      </w:pPr>
      <w:r>
        <w:rPr>
          <w:rFonts w:ascii="Calibri" w:hAnsi="Calibri"/>
          <w:b/>
          <w:i w:val="0"/>
          <w:color w:val="1A2332"/>
          <w:sz w:val="21"/>
        </w:rPr>
        <w:t>Public records.</w:t>
      </w:r>
      <w:r>
        <w:rPr>
          <w:rFonts w:ascii="Calibri" w:hAnsi="Calibri"/>
          <w:b w:val="0"/>
          <w:i w:val="0"/>
          <w:color w:val="1A2332"/>
          <w:sz w:val="21"/>
        </w:rPr>
        <w:t xml:space="preserve"> Customer is a Governmental Unit and may be subject to public-records, open-meetings, retention, and disclosure obligations. Nothing in this Agreement requires Customer to withhold, destroy, or decline to produce any record that Customer is required by law to retain or disclose.</w:t>
      </w:r>
    </w:p>
    <w:p>
      <w:pPr>
        <w:keepNext/>
        <w:spacing w:before="240" w:after="100"/>
      </w:pPr>
      <w:r>
        <w:rPr>
          <w:rFonts w:ascii="Calibri" w:hAnsi="Calibri"/>
          <w:b/>
          <w:color w:val="1E3F5C"/>
          <w:sz w:val="21"/>
        </w:rPr>
        <w:t>5.  CUSTOMER’S FRAMEWORK AND OUTPUTS</w:t>
      </w:r>
    </w:p>
    <w:p>
      <w:pPr>
        <w:spacing w:before="0" w:after="140"/>
        <w:ind w:left="0" w:firstLine="0"/>
        <w:jc w:val="both"/>
      </w:pPr>
      <w:r>
        <w:rPr>
          <w:rFonts w:ascii="Calibri" w:hAnsi="Calibri"/>
          <w:b w:val="0"/>
          <w:i w:val="0"/>
          <w:color w:val="1A2332"/>
          <w:sz w:val="21"/>
        </w:rPr>
        <w:t xml:space="preserve">The Framework the Platform generates for Customer describes Customer’s own governance of Customer’s own operations. Customer may </w:t>
      </w:r>
      <w:r>
        <w:rPr>
          <w:rFonts w:ascii="Calibri" w:hAnsi="Calibri"/>
          <w:b/>
          <w:i w:val="0"/>
          <w:color w:val="1A2332"/>
          <w:sz w:val="21"/>
        </w:rPr>
        <w:t>use, adopt, amend, publish, present, and share its Framework without restriction and without charge</w:t>
      </w:r>
      <w:r>
        <w:rPr>
          <w:rFonts w:ascii="Calibri" w:hAnsi="Calibri"/>
          <w:b w:val="0"/>
          <w:i w:val="0"/>
          <w:color w:val="1A2332"/>
          <w:sz w:val="21"/>
        </w:rPr>
        <w:t>, including with its governing body, its public, other governmental units, and the press.</w:t>
      </w:r>
    </w:p>
    <w:p>
      <w:pPr>
        <w:spacing w:before="0" w:after="140"/>
        <w:ind w:left="0" w:firstLine="0"/>
        <w:jc w:val="both"/>
      </w:pPr>
      <w:r>
        <w:rPr>
          <w:rFonts w:ascii="Calibri" w:hAnsi="Calibri"/>
          <w:b w:val="0"/>
          <w:i w:val="0"/>
          <w:color w:val="1A2332"/>
          <w:sz w:val="21"/>
        </w:rPr>
        <w:t>This Section grants Customer no right in the Platform itself, in the question sets or templates from which the Framework was generated, or in any blank or unpopulated form of them. The restrictions in Section 3 continue to apply to those materials.</w:t>
      </w:r>
    </w:p>
    <w:p>
      <w:pPr>
        <w:keepNext/>
        <w:spacing w:before="240" w:after="100"/>
      </w:pPr>
      <w:r>
        <w:rPr>
          <w:rFonts w:ascii="Calibri" w:hAnsi="Calibri"/>
          <w:b/>
          <w:color w:val="1E3F5C"/>
          <w:sz w:val="21"/>
        </w:rPr>
        <w:t>6.  FEEDBACK</w:t>
      </w:r>
    </w:p>
    <w:p>
      <w:pPr>
        <w:spacing w:before="0" w:after="140"/>
        <w:ind w:left="0" w:firstLine="0"/>
        <w:jc w:val="both"/>
      </w:pPr>
      <w:r>
        <w:rPr>
          <w:rFonts w:ascii="Calibri" w:hAnsi="Calibri"/>
          <w:b w:val="0"/>
          <w:i w:val="0"/>
          <w:color w:val="1A2332"/>
          <w:sz w:val="21"/>
        </w:rPr>
        <w:t>Customer grants IIA a perpetual, irrevocable, worldwide, royalty-free license to use, reproduce, and incorporate Feedback into the Platform and into IIA’s other products and services, without obligation or attribution to Customer. Feedback is given voluntarily and Customer is under no obligation to provide it.</w:t>
      </w:r>
    </w:p>
    <w:p>
      <w:pPr>
        <w:keepNext/>
        <w:spacing w:before="240" w:after="100"/>
      </w:pPr>
      <w:r>
        <w:rPr>
          <w:rFonts w:ascii="Calibri" w:hAnsi="Calibri"/>
          <w:b/>
          <w:color w:val="1E3F5C"/>
          <w:sz w:val="21"/>
        </w:rPr>
        <w:t>7.  INTELLECTUAL PROPERTY</w:t>
      </w:r>
    </w:p>
    <w:p>
      <w:pPr>
        <w:spacing w:before="0" w:after="140"/>
        <w:ind w:left="0" w:firstLine="0"/>
        <w:jc w:val="both"/>
      </w:pPr>
      <w:r>
        <w:rPr>
          <w:rFonts w:ascii="Calibri" w:hAnsi="Calibri"/>
          <w:b w:val="0"/>
          <w:i w:val="0"/>
          <w:color w:val="1A2332"/>
          <w:sz w:val="21"/>
        </w:rPr>
        <w:t>The Platform and all intellectual property in it are and remain the exclusive property of IIA and its licensors. This includes all copyright, trade secret, patent, trademark, and other rights in the Platform’s software, interfaces, question sets, decision logic, templates, generated document formats, documentation, and the GoverningAI.US and IIA names, marks, and logos. No right to use any IIA name, trademark, service mark, or logo is granted by this Agreement.</w:t>
      </w:r>
    </w:p>
    <w:p>
      <w:pPr>
        <w:keepNext/>
        <w:spacing w:before="240" w:after="100"/>
      </w:pPr>
      <w:r>
        <w:rPr>
          <w:rFonts w:ascii="Calibri" w:hAnsi="Calibri"/>
          <w:b/>
          <w:color w:val="1E3F5C"/>
          <w:sz w:val="21"/>
        </w:rPr>
        <w:t>8.  NON-PUBLIC PLATFORM MATERIALS</w:t>
      </w:r>
    </w:p>
    <w:p>
      <w:pPr>
        <w:spacing w:before="0" w:after="140"/>
        <w:ind w:left="0" w:firstLine="0"/>
        <w:jc w:val="both"/>
      </w:pPr>
      <w:r>
        <w:rPr>
          <w:rFonts w:ascii="Calibri" w:hAnsi="Calibri"/>
          <w:b w:val="0"/>
          <w:i w:val="0"/>
          <w:color w:val="1A2332"/>
          <w:sz w:val="21"/>
        </w:rPr>
        <w:t>Where IIA provides Customer with non-public materials concerning the Platform that are marked confidential or that a reasonable person would understand to be confidential — including unreleased features, source code, architecture, roadmaps, security documentation, and pricing not publicly posted — Customer shall not disclose those materials to any third party without IIA’s prior written consent, and shall use them only in connection with Customer’s permitted use of the Platform.</w:t>
      </w:r>
    </w:p>
    <w:p>
      <w:pPr>
        <w:spacing w:before="0" w:after="140"/>
        <w:ind w:left="0" w:firstLine="0"/>
        <w:jc w:val="both"/>
      </w:pPr>
      <w:r>
        <w:rPr>
          <w:rFonts w:ascii="Calibri" w:hAnsi="Calibri"/>
          <w:b w:val="0"/>
          <w:i w:val="0"/>
          <w:color w:val="1A2332"/>
          <w:sz w:val="21"/>
        </w:rPr>
        <w:t>This Section does not apply to information that is or becomes public through no act or omission of Customer, that Customer already lawfully held without restriction, that Customer rightfully receives from a third party without restriction, or that Customer independently develops without reference to IIA’s materials.</w:t>
      </w:r>
    </w:p>
    <w:p>
      <w:pPr>
        <w:spacing w:before="0" w:after="140"/>
        <w:ind w:left="0" w:firstLine="0"/>
        <w:jc w:val="both"/>
      </w:pPr>
      <w:r>
        <w:rPr>
          <w:rFonts w:ascii="Calibri" w:hAnsi="Calibri"/>
          <w:b/>
          <w:i w:val="0"/>
          <w:color w:val="1A2332"/>
          <w:sz w:val="21"/>
        </w:rPr>
        <w:t>Disclosure required by law.</w:t>
      </w:r>
      <w:r>
        <w:rPr>
          <w:rFonts w:ascii="Calibri" w:hAnsi="Calibri"/>
          <w:b w:val="0"/>
          <w:i w:val="0"/>
          <w:color w:val="1A2332"/>
          <w:sz w:val="21"/>
        </w:rPr>
        <w:t xml:space="preserve"> If Customer is required by applicable law, regulation, public-records request, or court order to disclose any such materials, Customer shall, to the extent legally permitted and operationally practicable, give IIA prompt written notice so that IIA may seek a protective order or other relief at IIA’s expense, and shall disclose only what is legally required. Customer is not required to withhold any record it is legally obliged to produce, and failure to give notice where notice is not legally permitted is not a breach of this Agreement.</w:t>
      </w:r>
    </w:p>
    <w:p>
      <w:pPr>
        <w:keepNext/>
        <w:spacing w:before="240" w:after="100"/>
      </w:pPr>
      <w:r>
        <w:rPr>
          <w:rFonts w:ascii="Calibri" w:hAnsi="Calibri"/>
          <w:b/>
          <w:color w:val="1E3F5C"/>
          <w:sz w:val="21"/>
        </w:rPr>
        <w:t>9.  NO WARRANTY</w:t>
      </w:r>
    </w:p>
    <w:p>
      <w:pPr>
        <w:spacing w:before="0" w:after="140"/>
        <w:ind w:left="0" w:firstLine="0"/>
        <w:jc w:val="both"/>
      </w:pPr>
      <w:r>
        <w:rPr>
          <w:rFonts w:ascii="Calibri" w:hAnsi="Calibri"/>
          <w:b w:val="0"/>
          <w:i w:val="0"/>
          <w:color w:val="1A2332"/>
          <w:sz w:val="21"/>
        </w:rPr>
        <w:t>THE PLATFORM IS PROVIDED “AS IS” AND “AS AVAILABLE,” WITHOUT WARRANTY OF ANY KIND. IIA DISCLAIMS ALL WARRANTIES, EXPRESS OR IMPLIED, INCLUDING THE IMPLIED WARRANTIES OF MERCHANTABILITY, FITNESS FOR A PARTICULAR PURPOSE, TITLE, AND NON-INFRINGEMENT. IIA DOES NOT WARRANT THAT THE PLATFORM WILL BE UNINTERRUPTED, ERROR-FREE, OR SECURE, OR THAT IT WILL MEET CUSTOMER’S REQUIREMENTS.</w:t>
      </w:r>
    </w:p>
    <w:p>
      <w:pPr>
        <w:spacing w:before="0" w:after="140"/>
        <w:ind w:left="0" w:firstLine="0"/>
        <w:jc w:val="both"/>
      </w:pPr>
      <w:r>
        <w:rPr>
          <w:rFonts w:ascii="Calibri" w:hAnsi="Calibri"/>
          <w:b/>
          <w:i w:val="0"/>
          <w:color w:val="1A2332"/>
          <w:sz w:val="21"/>
        </w:rPr>
        <w:t>The Platform is not legal advice.</w:t>
      </w:r>
      <w:r>
        <w:rPr>
          <w:rFonts w:ascii="Calibri" w:hAnsi="Calibri"/>
          <w:b w:val="0"/>
          <w:i w:val="0"/>
          <w:color w:val="1A2332"/>
          <w:sz w:val="21"/>
        </w:rPr>
        <w:t xml:space="preserve"> The Platform records and organises decisions Customer makes. It does not provide legal advice, does not determine Customer’s legal obligations, and is not a substitute for counsel. Customer remains solely responsible for its compliance with every law, regulation, grant condition, and delegation agreement that applies to it, and for every decision it records in the Platform.</w:t>
      </w:r>
    </w:p>
    <w:p>
      <w:pPr>
        <w:keepNext/>
        <w:spacing w:before="240" w:after="100"/>
      </w:pPr>
      <w:r>
        <w:rPr>
          <w:rFonts w:ascii="Calibri" w:hAnsi="Calibri"/>
          <w:b/>
          <w:color w:val="1E3F5C"/>
          <w:sz w:val="21"/>
        </w:rPr>
        <w:t>10.  LIMITATION OF LIABILITY</w:t>
      </w:r>
    </w:p>
    <w:p>
      <w:pPr>
        <w:spacing w:before="0" w:after="140"/>
        <w:ind w:left="0" w:firstLine="0"/>
        <w:jc w:val="both"/>
      </w:pPr>
      <w:r>
        <w:rPr>
          <w:rFonts w:ascii="Calibri" w:hAnsi="Calibri"/>
          <w:b w:val="0"/>
          <w:i w:val="0"/>
          <w:color w:val="1A2332"/>
          <w:sz w:val="21"/>
        </w:rPr>
        <w:t>TO THE MAXIMUM EXTENT PERMITTED BY APPLICABLE LAW, IIA SHALL NOT BE LIABLE FOR ANY INDIRECT, INCIDENTAL, SPECIAL, CONSEQUENTIAL, OR PUNITIVE DAMAGES, OR FOR ANY LOSS OF DATA, REVENUE, OR GOODWILL, ARISING OUT OF OR RELATING TO THE PLATFORM OR THIS AGREEMENT. IIA’S TOTAL AGGREGATE LIABILITY ARISING OUT OF OR RELATING TO THIS AGREEMENT SHALL NOT EXCEED THE TOTAL FEES PAID BY CUSTOMER TO IIA FOR THE PLATFORM IN THE TWELVE (12) MONTHS PRECEDING THE EVENT GIVING RISE TO THE CLAIM. ON THE FREE GOVERNMENTAL TIER, THAT AMOUNT IS ZERO.</w:t>
      </w:r>
    </w:p>
    <w:p>
      <w:pPr>
        <w:spacing w:before="0" w:after="140"/>
        <w:ind w:left="0" w:firstLine="0"/>
        <w:jc w:val="both"/>
      </w:pPr>
      <w:r>
        <w:rPr>
          <w:rFonts w:ascii="Calibri" w:hAnsi="Calibri"/>
          <w:b w:val="0"/>
          <w:i w:val="0"/>
          <w:color w:val="1A2332"/>
          <w:sz w:val="21"/>
        </w:rPr>
        <w:t>Customer acknowledges that the Platform is provided at no charge and that the allocation of risk in this Section is a material part of the basis on which IIA offers it.</w:t>
      </w:r>
    </w:p>
    <w:p>
      <w:pPr>
        <w:keepNext/>
        <w:spacing w:before="240" w:after="100"/>
      </w:pPr>
      <w:r>
        <w:rPr>
          <w:rFonts w:ascii="Calibri" w:hAnsi="Calibri"/>
          <w:b/>
          <w:color w:val="1E3F5C"/>
          <w:sz w:val="21"/>
        </w:rPr>
        <w:t>11.  TERM, TERMINATION, AND SUSPENSION</w:t>
      </w:r>
    </w:p>
    <w:p>
      <w:pPr>
        <w:spacing w:after="120"/>
        <w:ind w:left="461" w:hanging="461"/>
        <w:jc w:val="both"/>
      </w:pPr>
      <w:r>
        <w:rPr>
          <w:rFonts w:ascii="Calibri" w:hAnsi="Calibri"/>
          <w:b/>
          <w:color w:val="1A2332"/>
          <w:sz w:val="21"/>
        </w:rPr>
        <w:t>(a)</w:t>
        <w:tab/>
      </w:r>
      <w:r>
        <w:rPr>
          <w:rFonts w:ascii="Calibri" w:hAnsi="Calibri"/>
          <w:b/>
          <w:i w:val="0"/>
          <w:color w:val="1A2332"/>
          <w:sz w:val="21"/>
        </w:rPr>
        <w:t>Term.</w:t>
      </w:r>
      <w:r>
        <w:rPr>
          <w:rFonts w:ascii="Calibri" w:hAnsi="Calibri"/>
          <w:b w:val="0"/>
          <w:i w:val="0"/>
          <w:color w:val="1A2332"/>
          <w:sz w:val="21"/>
        </w:rPr>
        <w:t xml:space="preserve"> This Agreement takes effect on the earlier of Customer’s acceptance or Customer’s first access to the Platform, and continues until terminated.</w:t>
      </w:r>
    </w:p>
    <w:p>
      <w:pPr>
        <w:spacing w:after="120"/>
        <w:ind w:left="461" w:hanging="461"/>
        <w:jc w:val="both"/>
      </w:pPr>
      <w:r>
        <w:rPr>
          <w:rFonts w:ascii="Calibri" w:hAnsi="Calibri"/>
          <w:b/>
          <w:color w:val="1A2332"/>
          <w:sz w:val="21"/>
        </w:rPr>
        <w:t>(b)</w:t>
        <w:tab/>
      </w:r>
      <w:r>
        <w:rPr>
          <w:rFonts w:ascii="Calibri" w:hAnsi="Calibri"/>
          <w:b/>
          <w:i w:val="0"/>
          <w:color w:val="1A2332"/>
          <w:sz w:val="21"/>
        </w:rPr>
        <w:t>Termination by Customer.</w:t>
      </w:r>
      <w:r>
        <w:rPr>
          <w:rFonts w:ascii="Calibri" w:hAnsi="Calibri"/>
          <w:b w:val="0"/>
          <w:i w:val="0"/>
          <w:color w:val="1A2332"/>
          <w:sz w:val="21"/>
        </w:rPr>
        <w:t xml:space="preserve"> Customer may terminate at any time, for any reason, by ceasing use of the Platform and notifying IIA.</w:t>
      </w:r>
    </w:p>
    <w:p>
      <w:pPr>
        <w:spacing w:after="120"/>
        <w:ind w:left="461" w:hanging="461"/>
        <w:jc w:val="both"/>
      </w:pPr>
      <w:r>
        <w:rPr>
          <w:rFonts w:ascii="Calibri" w:hAnsi="Calibri"/>
          <w:b/>
          <w:color w:val="1A2332"/>
          <w:sz w:val="21"/>
        </w:rPr>
        <w:t>(c)</w:t>
        <w:tab/>
      </w:r>
      <w:r>
        <w:rPr>
          <w:rFonts w:ascii="Calibri" w:hAnsi="Calibri"/>
          <w:b/>
          <w:i w:val="0"/>
          <w:color w:val="1A2332"/>
          <w:sz w:val="21"/>
        </w:rPr>
        <w:t>Termination by IIA.</w:t>
      </w:r>
      <w:r>
        <w:rPr>
          <w:rFonts w:ascii="Calibri" w:hAnsi="Calibri"/>
          <w:b w:val="0"/>
          <w:i w:val="0"/>
          <w:color w:val="1A2332"/>
          <w:sz w:val="21"/>
        </w:rPr>
        <w:t xml:space="preserve"> IIA may terminate this Agreement or discontinue the free tier on thirty (30) days’ written notice, and may terminate immediately on Customer’s breach of Section 3.</w:t>
      </w:r>
    </w:p>
    <w:p>
      <w:pPr>
        <w:spacing w:after="120"/>
        <w:ind w:left="461" w:hanging="461"/>
        <w:jc w:val="both"/>
      </w:pPr>
      <w:r>
        <w:rPr>
          <w:rFonts w:ascii="Calibri" w:hAnsi="Calibri"/>
          <w:b/>
          <w:color w:val="1A2332"/>
          <w:sz w:val="21"/>
        </w:rPr>
        <w:t>(d)</w:t>
        <w:tab/>
      </w:r>
      <w:r>
        <w:rPr>
          <w:rFonts w:ascii="Calibri" w:hAnsi="Calibri"/>
          <w:b/>
          <w:i w:val="0"/>
          <w:color w:val="1A2332"/>
          <w:sz w:val="21"/>
        </w:rPr>
        <w:t>Suspension.</w:t>
      </w:r>
      <w:r>
        <w:rPr>
          <w:rFonts w:ascii="Calibri" w:hAnsi="Calibri"/>
          <w:b w:val="0"/>
          <w:i w:val="0"/>
          <w:color w:val="1A2332"/>
          <w:sz w:val="21"/>
        </w:rPr>
        <w:t xml:space="preserve"> IIA may suspend access immediately where it reasonably believes continued access presents a security risk or that Section 3 is being violated, and shall notify Customer promptly.</w:t>
      </w:r>
    </w:p>
    <w:p>
      <w:pPr>
        <w:spacing w:after="120"/>
        <w:ind w:left="461" w:hanging="461"/>
        <w:jc w:val="both"/>
      </w:pPr>
      <w:r>
        <w:rPr>
          <w:rFonts w:ascii="Calibri" w:hAnsi="Calibri"/>
          <w:b/>
          <w:color w:val="1A2332"/>
          <w:sz w:val="21"/>
        </w:rPr>
        <w:t>(e)</w:t>
        <w:tab/>
      </w:r>
      <w:r>
        <w:rPr>
          <w:rFonts w:ascii="Calibri" w:hAnsi="Calibri"/>
          <w:b/>
          <w:i w:val="0"/>
          <w:color w:val="1A2332"/>
          <w:sz w:val="21"/>
        </w:rPr>
        <w:t>Customer Data on termination.</w:t>
      </w:r>
      <w:r>
        <w:rPr>
          <w:rFonts w:ascii="Calibri" w:hAnsi="Calibri"/>
          <w:b w:val="0"/>
          <w:i w:val="0"/>
          <w:color w:val="1A2332"/>
          <w:sz w:val="21"/>
        </w:rPr>
        <w:t xml:space="preserve"> Customer may export its Customer Data at any time while this Agreement is in effect and for </w:t>
      </w:r>
      <w:r>
        <w:rPr>
          <w:rFonts w:ascii="Calibri" w:hAnsi="Calibri"/>
          <w:b/>
          <w:i w:val="0"/>
          <w:color w:val="1A2332"/>
          <w:sz w:val="21"/>
        </w:rPr>
        <w:t>ninety (90) days</w:t>
      </w:r>
      <w:r>
        <w:rPr>
          <w:rFonts w:ascii="Calibri" w:hAnsi="Calibri"/>
          <w:b w:val="0"/>
          <w:i w:val="0"/>
          <w:color w:val="1A2332"/>
          <w:sz w:val="21"/>
        </w:rPr>
        <w:t xml:space="preserve"> after termination. After that period IIA may delete it.</w:t>
      </w:r>
    </w:p>
    <w:p>
      <w:pPr>
        <w:spacing w:after="120"/>
        <w:ind w:left="461" w:hanging="461"/>
        <w:jc w:val="both"/>
      </w:pPr>
      <w:r>
        <w:rPr>
          <w:rFonts w:ascii="Calibri" w:hAnsi="Calibri"/>
          <w:b/>
          <w:color w:val="1A2332"/>
          <w:sz w:val="21"/>
        </w:rPr>
        <w:t>(f)</w:t>
        <w:tab/>
      </w:r>
      <w:r>
        <w:rPr>
          <w:rFonts w:ascii="Calibri" w:hAnsi="Calibri"/>
          <w:b/>
          <w:i w:val="0"/>
          <w:color w:val="1A2332"/>
          <w:sz w:val="21"/>
        </w:rPr>
        <w:t>Survival.</w:t>
      </w:r>
      <w:r>
        <w:rPr>
          <w:rFonts w:ascii="Calibri" w:hAnsi="Calibri"/>
          <w:b w:val="0"/>
          <w:i w:val="0"/>
          <w:color w:val="1A2332"/>
          <w:sz w:val="21"/>
        </w:rPr>
        <w:t xml:space="preserve"> Sections 3, 4, 6, 7, 8, 9, 10, and 13, and this Section, survive termination. The restrictions in </w:t>
      </w:r>
      <w:r>
        <w:rPr>
          <w:rFonts w:ascii="Calibri" w:hAnsi="Calibri"/>
          <w:b/>
          <w:i w:val="0"/>
          <w:color w:val="1A2332"/>
          <w:sz w:val="21"/>
        </w:rPr>
        <w:t>Section 3 survive indefinitely</w:t>
      </w:r>
      <w:r>
        <w:rPr>
          <w:rFonts w:ascii="Calibri" w:hAnsi="Calibri"/>
          <w:b w:val="0"/>
          <w:i w:val="0"/>
          <w:color w:val="1A2332"/>
          <w:sz w:val="21"/>
        </w:rPr>
        <w:t xml:space="preserve"> and are not limited to the term of this Agreement.</w:t>
      </w:r>
    </w:p>
    <w:p>
      <w:pPr>
        <w:keepNext/>
        <w:spacing w:before="240" w:after="100"/>
      </w:pPr>
      <w:r>
        <w:rPr>
          <w:rFonts w:ascii="Calibri" w:hAnsi="Calibri"/>
          <w:b/>
          <w:color w:val="1E3F5C"/>
          <w:sz w:val="21"/>
        </w:rPr>
        <w:t>12.  CHANGES TO THE PLATFORM AND TO THIS AGREEMENT</w:t>
      </w:r>
    </w:p>
    <w:p>
      <w:pPr>
        <w:spacing w:before="0" w:after="140"/>
        <w:ind w:left="0" w:firstLine="0"/>
        <w:jc w:val="both"/>
      </w:pPr>
      <w:r>
        <w:rPr>
          <w:rFonts w:ascii="Calibri" w:hAnsi="Calibri"/>
          <w:b w:val="0"/>
          <w:i w:val="0"/>
          <w:color w:val="1A2332"/>
          <w:sz w:val="21"/>
        </w:rPr>
        <w:t>IIA may modify, add to, or discontinue any part of the Platform. IIA may amend this Agreement by posting a revised version and presenting it for acceptance; continued use after an amendment takes effect constitutes acceptance of it. IIA shall give at least thirty (30) days’ notice of any amendment that materially reduces Customer’s rights, and Customer may terminate during that period rather than accept it.</w:t>
      </w:r>
    </w:p>
    <w:p>
      <w:pPr>
        <w:keepNext/>
        <w:spacing w:before="240" w:after="100"/>
      </w:pPr>
      <w:r>
        <w:rPr>
          <w:rFonts w:ascii="Calibri" w:hAnsi="Calibri"/>
          <w:b/>
          <w:color w:val="1E3F5C"/>
          <w:sz w:val="21"/>
        </w:rPr>
        <w:t>13.  GOVERNING LAW</w:t>
      </w:r>
    </w:p>
    <w:p>
      <w:pPr>
        <w:spacing w:before="0" w:after="140"/>
        <w:ind w:left="0" w:firstLine="0"/>
        <w:jc w:val="both"/>
      </w:pPr>
      <w:r>
        <w:rPr>
          <w:rFonts w:ascii="Calibri" w:hAnsi="Calibri"/>
          <w:b w:val="0"/>
          <w:i w:val="0"/>
          <w:color w:val="1A2332"/>
          <w:sz w:val="21"/>
        </w:rPr>
        <w:t xml:space="preserve">This Agreement is governed by the laws of the State of South Carolina, without regard to its conflict-of-laws principles, </w:t>
      </w:r>
      <w:r>
        <w:rPr>
          <w:rFonts w:ascii="Calibri" w:hAnsi="Calibri"/>
          <w:b/>
          <w:i w:val="0"/>
          <w:color w:val="1A2332"/>
          <w:sz w:val="21"/>
        </w:rPr>
        <w:t>except to the extent that applicable law governing Customer requires otherwise</w:t>
      </w:r>
      <w:r>
        <w:rPr>
          <w:rFonts w:ascii="Calibri" w:hAnsi="Calibri"/>
          <w:b w:val="0"/>
          <w:i w:val="0"/>
          <w:color w:val="1A2332"/>
          <w:sz w:val="21"/>
        </w:rPr>
        <w:t xml:space="preserve">. Where Customer is a Governmental Unit whose governing law prohibits it from agreeing to the law or venue of another jurisdiction, to indemnify another party, or to waive any immunity, </w:t>
      </w:r>
      <w:r>
        <w:rPr>
          <w:rFonts w:ascii="Calibri" w:hAnsi="Calibri"/>
          <w:b/>
          <w:i w:val="0"/>
          <w:color w:val="1A2332"/>
          <w:sz w:val="21"/>
        </w:rPr>
        <w:t>this Agreement is deemed modified to the minimum extent necessary to comply with that law</w:t>
      </w:r>
      <w:r>
        <w:rPr>
          <w:rFonts w:ascii="Calibri" w:hAnsi="Calibri"/>
          <w:b w:val="0"/>
          <w:i w:val="0"/>
          <w:color w:val="1A2332"/>
          <w:sz w:val="21"/>
        </w:rPr>
        <w:t>, and the remainder continues in effect.</w:t>
      </w:r>
    </w:p>
    <w:p>
      <w:pPr>
        <w:spacing w:before="0" w:after="140"/>
        <w:ind w:left="0" w:firstLine="0"/>
        <w:jc w:val="both"/>
      </w:pPr>
      <w:r>
        <w:rPr>
          <w:rFonts w:ascii="Calibri" w:hAnsi="Calibri"/>
          <w:b w:val="0"/>
          <w:i w:val="0"/>
          <w:color w:val="1A2332"/>
          <w:sz w:val="21"/>
        </w:rPr>
        <w:t>Nothing in this Agreement waives any sovereign or governmental immunity available to Customer, and nothing requires Customer to indemnify IIA.</w:t>
      </w:r>
    </w:p>
    <w:p>
      <w:pPr>
        <w:keepNext/>
        <w:spacing w:before="240" w:after="100"/>
      </w:pPr>
      <w:r>
        <w:rPr>
          <w:rFonts w:ascii="Calibri" w:hAnsi="Calibri"/>
          <w:b/>
          <w:color w:val="1E3F5C"/>
          <w:sz w:val="21"/>
        </w:rPr>
        <w:t>14.  GENERAL PROVISIONS</w:t>
      </w:r>
    </w:p>
    <w:p>
      <w:pPr>
        <w:spacing w:after="120"/>
        <w:ind w:left="461" w:hanging="461"/>
        <w:jc w:val="both"/>
      </w:pPr>
      <w:r>
        <w:rPr>
          <w:rFonts w:ascii="Calibri" w:hAnsi="Calibri"/>
          <w:b/>
          <w:color w:val="1A2332"/>
          <w:sz w:val="21"/>
        </w:rPr>
        <w:t>(a)</w:t>
        <w:tab/>
      </w:r>
      <w:r>
        <w:rPr>
          <w:rFonts w:ascii="Calibri" w:hAnsi="Calibri"/>
          <w:b/>
          <w:i w:val="0"/>
          <w:color w:val="1A2332"/>
          <w:sz w:val="21"/>
        </w:rPr>
        <w:t>Execution; counterparts.</w:t>
      </w:r>
      <w:r>
        <w:rPr>
          <w:rFonts w:ascii="Calibri" w:hAnsi="Calibri"/>
          <w:b w:val="0"/>
          <w:i w:val="0"/>
          <w:color w:val="1A2332"/>
          <w:sz w:val="21"/>
        </w:rPr>
        <w:t xml:space="preserve"> This Agreement may be executed in counterparts, each of which is an original and all of which together constitute one instrument. Signatures delivered electronically or by facsimile have the same effect as original signatures. Each person signing represents that they are authorized to bind the Party on whose behalf they sign.</w:t>
      </w:r>
    </w:p>
    <w:p>
      <w:pPr>
        <w:spacing w:after="120"/>
        <w:ind w:left="461" w:hanging="461"/>
        <w:jc w:val="both"/>
      </w:pPr>
      <w:r>
        <w:rPr>
          <w:rFonts w:ascii="Calibri" w:hAnsi="Calibri"/>
          <w:b/>
          <w:color w:val="1A2332"/>
          <w:sz w:val="21"/>
        </w:rPr>
        <w:t>(b)</w:t>
        <w:tab/>
      </w:r>
      <w:r>
        <w:rPr>
          <w:rFonts w:ascii="Calibri" w:hAnsi="Calibri"/>
          <w:b/>
          <w:i w:val="0"/>
          <w:color w:val="1A2332"/>
          <w:sz w:val="21"/>
        </w:rPr>
        <w:t>Equitable relief.</w:t>
      </w:r>
      <w:r>
        <w:rPr>
          <w:rFonts w:ascii="Calibri" w:hAnsi="Calibri"/>
          <w:b w:val="0"/>
          <w:i w:val="0"/>
          <w:color w:val="1A2332"/>
          <w:sz w:val="21"/>
        </w:rPr>
        <w:t xml:space="preserve"> Customer acknowledges that a breach of Section 3 would cause irreparable harm to IIA for which monetary damages would be an inadequate remedy, and that IIA is entitled to seek injunctive relief and specific performance in addition to any other remedy available at law or in equity.</w:t>
      </w:r>
    </w:p>
    <w:p>
      <w:pPr>
        <w:spacing w:after="120"/>
        <w:ind w:left="461" w:hanging="461"/>
        <w:jc w:val="both"/>
      </w:pPr>
      <w:r>
        <w:rPr>
          <w:rFonts w:ascii="Calibri" w:hAnsi="Calibri"/>
          <w:b/>
          <w:color w:val="1A2332"/>
          <w:sz w:val="21"/>
        </w:rPr>
        <w:t>(c)</w:t>
        <w:tab/>
      </w:r>
      <w:r>
        <w:rPr>
          <w:rFonts w:ascii="Calibri" w:hAnsi="Calibri"/>
          <w:b/>
          <w:i w:val="0"/>
          <w:color w:val="1A2332"/>
          <w:sz w:val="21"/>
        </w:rPr>
        <w:t>Entire agreement; signed form available.</w:t>
      </w:r>
      <w:r>
        <w:rPr>
          <w:rFonts w:ascii="Calibri" w:hAnsi="Calibri"/>
          <w:b w:val="0"/>
          <w:i w:val="0"/>
          <w:color w:val="1A2332"/>
          <w:sz w:val="21"/>
        </w:rPr>
        <w:t xml:space="preserve"> This Agreement is the entire agreement between the Parties regarding the Platform and supersedes all prior agreements, understandings, and representations relating to it. Where Customer and IIA have </w:t>
      </w:r>
      <w:r>
        <w:rPr>
          <w:rFonts w:ascii="Calibri" w:hAnsi="Calibri"/>
          <w:b/>
          <w:i w:val="0"/>
          <w:color w:val="1A2332"/>
          <w:sz w:val="21"/>
        </w:rPr>
        <w:t>A countersignable form of these same terms is available on request</w:t>
      </w:r>
      <w:r>
        <w:rPr>
          <w:rFonts w:ascii="Calibri" w:hAnsi="Calibri"/>
          <w:b w:val="0"/>
          <w:i w:val="0"/>
          <w:color w:val="1A2332"/>
          <w:sz w:val="21"/>
        </w:rPr>
        <w:t xml:space="preserve"> for any Customer whose governing law, procurement rules, or counsel require a signed instrument. Where Customer and IIA have executed that form or any other separate signed written agreement covering the Platform, </w:t>
      </w:r>
      <w:r>
        <w:rPr>
          <w:rFonts w:ascii="Calibri" w:hAnsi="Calibri"/>
          <w:b/>
          <w:i w:val="0"/>
          <w:color w:val="1A2332"/>
          <w:sz w:val="21"/>
        </w:rPr>
        <w:t>the signed agreement controls</w:t>
      </w:r>
      <w:r>
        <w:rPr>
          <w:rFonts w:ascii="Calibri" w:hAnsi="Calibri"/>
          <w:b w:val="0"/>
          <w:i w:val="0"/>
          <w:color w:val="1A2332"/>
          <w:sz w:val="21"/>
        </w:rPr>
        <w:t xml:space="preserve"> to the extent of any conflict with this Agreement.</w:t>
      </w:r>
    </w:p>
    <w:p>
      <w:pPr>
        <w:spacing w:after="120"/>
        <w:ind w:left="461" w:hanging="461"/>
        <w:jc w:val="both"/>
      </w:pPr>
      <w:r>
        <w:rPr>
          <w:rFonts w:ascii="Calibri" w:hAnsi="Calibri"/>
          <w:b/>
          <w:color w:val="1A2332"/>
          <w:sz w:val="21"/>
        </w:rPr>
        <w:t>(d)</w:t>
        <w:tab/>
      </w:r>
      <w:r>
        <w:rPr>
          <w:rFonts w:ascii="Calibri" w:hAnsi="Calibri"/>
          <w:b/>
          <w:i w:val="0"/>
          <w:color w:val="1A2332"/>
          <w:sz w:val="21"/>
        </w:rPr>
        <w:t>Waiver.</w:t>
      </w:r>
      <w:r>
        <w:rPr>
          <w:rFonts w:ascii="Calibri" w:hAnsi="Calibri"/>
          <w:b w:val="0"/>
          <w:i w:val="0"/>
          <w:color w:val="1A2332"/>
          <w:sz w:val="21"/>
        </w:rPr>
        <w:t xml:space="preserve"> No failure or delay by IIA in exercising any right constitutes a waiver of that right.</w:t>
      </w:r>
    </w:p>
    <w:p>
      <w:pPr>
        <w:spacing w:after="120"/>
        <w:ind w:left="461" w:hanging="461"/>
        <w:jc w:val="both"/>
      </w:pPr>
      <w:r>
        <w:rPr>
          <w:rFonts w:ascii="Calibri" w:hAnsi="Calibri"/>
          <w:b/>
          <w:color w:val="1A2332"/>
          <w:sz w:val="21"/>
        </w:rPr>
        <w:t>(e)</w:t>
        <w:tab/>
      </w:r>
      <w:r>
        <w:rPr>
          <w:rFonts w:ascii="Calibri" w:hAnsi="Calibri"/>
          <w:b/>
          <w:i w:val="0"/>
          <w:color w:val="1A2332"/>
          <w:sz w:val="21"/>
        </w:rPr>
        <w:t>Severability.</w:t>
      </w:r>
      <w:r>
        <w:rPr>
          <w:rFonts w:ascii="Calibri" w:hAnsi="Calibri"/>
          <w:b w:val="0"/>
          <w:i w:val="0"/>
          <w:color w:val="1A2332"/>
          <w:sz w:val="21"/>
        </w:rPr>
        <w:t xml:space="preserve"> If any provision is held invalid, illegal, or unenforceable, the remaining provisions continue in full force and effect.</w:t>
      </w:r>
    </w:p>
    <w:p>
      <w:pPr>
        <w:spacing w:after="120"/>
        <w:ind w:left="461" w:hanging="461"/>
        <w:jc w:val="both"/>
      </w:pPr>
      <w:r>
        <w:rPr>
          <w:rFonts w:ascii="Calibri" w:hAnsi="Calibri"/>
          <w:b/>
          <w:color w:val="1A2332"/>
          <w:sz w:val="21"/>
        </w:rPr>
        <w:t>(f)</w:t>
        <w:tab/>
      </w:r>
      <w:r>
        <w:rPr>
          <w:rFonts w:ascii="Calibri" w:hAnsi="Calibri"/>
          <w:b/>
          <w:i w:val="0"/>
          <w:color w:val="1A2332"/>
          <w:sz w:val="21"/>
        </w:rPr>
        <w:t>Assignment.</w:t>
      </w:r>
      <w:r>
        <w:rPr>
          <w:rFonts w:ascii="Calibri" w:hAnsi="Calibri"/>
          <w:b w:val="0"/>
          <w:i w:val="0"/>
          <w:color w:val="1A2332"/>
          <w:sz w:val="21"/>
        </w:rPr>
        <w:t xml:space="preserve"> Customer may not assign this Agreement without IIA’s prior written consent. IIA may assign it in connection with a merger, acquisition, or sale of substantially all of its assets.</w:t>
      </w:r>
    </w:p>
    <w:p>
      <w:pPr>
        <w:spacing w:after="120"/>
        <w:ind w:left="461" w:hanging="461"/>
        <w:jc w:val="both"/>
      </w:pPr>
      <w:r>
        <w:rPr>
          <w:rFonts w:ascii="Calibri" w:hAnsi="Calibri"/>
          <w:b/>
          <w:color w:val="1A2332"/>
          <w:sz w:val="21"/>
        </w:rPr>
        <w:t>(g)</w:t>
        <w:tab/>
      </w:r>
      <w:r>
        <w:rPr>
          <w:rFonts w:ascii="Calibri" w:hAnsi="Calibri"/>
          <w:b/>
          <w:i w:val="0"/>
          <w:color w:val="1A2332"/>
          <w:sz w:val="21"/>
        </w:rPr>
        <w:t>Notices.</w:t>
      </w:r>
      <w:r>
        <w:rPr>
          <w:rFonts w:ascii="Calibri" w:hAnsi="Calibri"/>
          <w:b w:val="0"/>
          <w:i w:val="0"/>
          <w:color w:val="1A2332"/>
          <w:sz w:val="21"/>
        </w:rPr>
        <w:t xml:space="preserve"> Notices to IIA shall be in writing to: Innovative Infrastructure Advising, LLC, Attn: Brett Butz, Founder &amp; CEO, brett@iiac.ai.</w:t>
      </w:r>
    </w:p>
    <w:p>
      <w:pPr>
        <w:spacing w:after="120"/>
        <w:ind w:left="461" w:hanging="461"/>
        <w:jc w:val="both"/>
      </w:pPr>
      <w:r>
        <w:rPr>
          <w:rFonts w:ascii="Calibri" w:hAnsi="Calibri"/>
          <w:b/>
          <w:color w:val="1A2332"/>
          <w:sz w:val="21"/>
        </w:rPr>
        <w:t>(h)</w:t>
        <w:tab/>
      </w:r>
      <w:r>
        <w:rPr>
          <w:rFonts w:ascii="Calibri" w:hAnsi="Calibri"/>
          <w:b/>
          <w:i w:val="0"/>
          <w:color w:val="1A2332"/>
          <w:sz w:val="21"/>
        </w:rPr>
        <w:t>Headings.</w:t>
      </w:r>
      <w:r>
        <w:rPr>
          <w:rFonts w:ascii="Calibri" w:hAnsi="Calibri"/>
          <w:b w:val="0"/>
          <w:i w:val="0"/>
          <w:color w:val="1A2332"/>
          <w:sz w:val="21"/>
        </w:rPr>
        <w:t xml:space="preserve"> Headings are for convenience only and do not affect interpretation.</w:t>
      </w:r>
    </w:p>
    <w:p>
      <w:pPr>
        <w:spacing w:before="280" w:after="200"/>
      </w:pPr>
      <w:r>
        <w:rPr>
          <w:rFonts w:ascii="Calibri" w:hAnsi="Calibri"/>
          <w:b/>
          <w:i w:val="0"/>
          <w:color w:val="1A2332"/>
          <w:sz w:val="21"/>
        </w:rPr>
        <w:t>IN WITNESS WHEREOF</w:t>
      </w:r>
      <w:r>
        <w:rPr>
          <w:rFonts w:ascii="Calibri" w:hAnsi="Calibri"/>
          <w:b w:val="0"/>
          <w:i w:val="0"/>
          <w:color w:val="1A2332"/>
          <w:sz w:val="21"/>
        </w:rPr>
        <w:t>, the Parties have executed this Agreement as of the Effective Date.</w:t>
      </w:r>
    </w:p>
    <w:tbl>
      <w:tblPr>
        <w:tblW w:type="auto" w:w="0"/>
        <w:tblLayout w:type="autofit"/>
        <w:tblLook w:firstColumn="1" w:firstRow="1" w:lastColumn="0" w:lastRow="0" w:noHBand="0" w:noVBand="1" w:val="04A0"/>
      </w:tblPr>
      <w:tblGrid>
        <w:gridCol w:w="4680"/>
        <w:gridCol w:w="4680"/>
      </w:tblGrid>
      <w:tr>
        <w:tc>
          <w:tcPr>
            <w:tcW w:type="dxa" w:w="4680"/>
          </w:tcPr>
          <w:p>
            <w:pPr>
              <w:spacing w:after="160"/>
            </w:pPr>
            <w:r>
              <w:rPr>
                <w:rFonts w:ascii="Calibri" w:hAnsi="Calibri"/>
                <w:b/>
                <w:color w:val="1E3F5C"/>
                <w:sz w:val="21"/>
              </w:rPr>
              <w:t>INNOVATIVE INFRASTRUCTURE ADVISING, LLC</w:t>
            </w:r>
          </w:p>
          <w:p>
            <w:pPr>
              <w:spacing w:after="220"/>
            </w:pPr>
            <w:r>
              <w:rPr>
                <w:rFonts w:ascii="Calibri" w:hAnsi="Calibri"/>
                <w:color w:val="1A2332"/>
                <w:sz w:val="19"/>
              </w:rPr>
              <w:t>By: ______________________________</w:t>
            </w:r>
          </w:p>
          <w:p>
            <w:pPr>
              <w:spacing w:after="220"/>
            </w:pPr>
            <w:r>
              <w:rPr>
                <w:rFonts w:ascii="Calibri" w:hAnsi="Calibri"/>
                <w:color w:val="1A2332"/>
                <w:sz w:val="19"/>
              </w:rPr>
              <w:t>Name:  Brett Butz</w:t>
            </w:r>
          </w:p>
          <w:p>
            <w:pPr>
              <w:spacing w:after="220"/>
            </w:pPr>
            <w:r>
              <w:rPr>
                <w:rFonts w:ascii="Calibri" w:hAnsi="Calibri"/>
                <w:color w:val="1A2332"/>
                <w:sz w:val="19"/>
              </w:rPr>
              <w:t>Title:  Founder &amp; CEO</w:t>
            </w:r>
          </w:p>
          <w:p>
            <w:pPr>
              <w:spacing w:after="220"/>
            </w:pPr>
            <w:r>
              <w:rPr>
                <w:rFonts w:ascii="Calibri" w:hAnsi="Calibri"/>
                <w:color w:val="1A2332"/>
                <w:sz w:val="19"/>
              </w:rPr>
              <w:t>Date: ____________________</w:t>
            </w:r>
          </w:p>
        </w:tc>
        <w:tc>
          <w:tcPr>
            <w:tcW w:type="dxa" w:w="4680"/>
          </w:tcPr>
          <w:p>
            <w:pPr>
              <w:spacing w:after="160"/>
            </w:pPr>
            <w:r>
              <w:rPr>
                <w:rFonts w:ascii="Calibri" w:hAnsi="Calibri"/>
                <w:b/>
                <w:color w:val="1E3F5C"/>
                <w:sz w:val="21"/>
              </w:rPr>
              <w:t>CUSTOMER</w:t>
            </w:r>
          </w:p>
          <w:p>
            <w:pPr>
              <w:spacing w:after="220"/>
            </w:pPr>
            <w:r>
              <w:rPr>
                <w:rFonts w:ascii="Calibri" w:hAnsi="Calibri"/>
                <w:color w:val="1A2332"/>
                <w:sz w:val="19"/>
              </w:rPr>
              <w:t>By: ______________________________</w:t>
            </w:r>
          </w:p>
          <w:p>
            <w:pPr>
              <w:spacing w:after="220"/>
            </w:pPr>
            <w:r>
              <w:rPr>
                <w:rFonts w:ascii="Calibri" w:hAnsi="Calibri"/>
                <w:color w:val="1A2332"/>
                <w:sz w:val="19"/>
              </w:rPr>
              <w:t>Name: ____________________________</w:t>
            </w:r>
          </w:p>
          <w:p>
            <w:pPr>
              <w:spacing w:after="220"/>
            </w:pPr>
            <w:r>
              <w:rPr>
                <w:rFonts w:ascii="Calibri" w:hAnsi="Calibri"/>
                <w:color w:val="1A2332"/>
                <w:sz w:val="19"/>
              </w:rPr>
              <w:t>Title: ___________________________</w:t>
            </w:r>
          </w:p>
          <w:p>
            <w:pPr>
              <w:spacing w:after="220"/>
            </w:pPr>
            <w:r>
              <w:rPr>
                <w:rFonts w:ascii="Calibri" w:hAnsi="Calibri"/>
                <w:color w:val="1A2332"/>
                <w:sz w:val="19"/>
              </w:rPr>
              <w:t>Entity: __________________________</w:t>
            </w:r>
          </w:p>
          <w:p>
            <w:pPr>
              <w:spacing w:after="220"/>
            </w:pPr>
            <w:r>
              <w:rPr>
                <w:rFonts w:ascii="Calibri" w:hAnsi="Calibri"/>
                <w:color w:val="1A2332"/>
                <w:sz w:val="19"/>
              </w:rPr>
              <w:t>Date: ____________________</w:t>
            </w:r>
          </w:p>
        </w:tc>
      </w:tr>
    </w:tbl>
    <w:p>
      <w:pPr>
        <w:spacing w:before="240"/>
      </w:pPr>
      <w:r>
        <w:rPr>
          <w:rFonts w:ascii="Calibri" w:hAnsi="Calibri"/>
          <w:i/>
          <w:color w:val="5E6D68"/>
          <w:sz w:val="17"/>
        </w:rPr>
        <w:t>Where Customer’s governing law requires additional approval — by counsel, a procurement officer, a governing board, or an attorney general — that approval should be attached to or noted on this form.</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5E6D68"/>
        <w:sz w:val="15"/>
      </w:rPr>
      <w:t>Innovative Infrastructure Advising, LLC   |   GoverningAI.US — Terms of Use and License Agreement   |   Free Governmental Tier   |   v1.0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1A23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