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Pr="0041448A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EE1CB0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April 26</w:t>
      </w:r>
      <w:bookmarkStart w:id="0" w:name="_GoBack"/>
      <w:bookmarkEnd w:id="0"/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692842" w:rsidRDefault="00DD61B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EE4BD0">
            <w:instrText xml:space="preserve"> TOC \o "1-3" \h \z \u </w:instrText>
          </w:r>
          <w:r>
            <w:fldChar w:fldCharType="separate"/>
          </w:r>
          <w:hyperlink w:anchor="_Toc354752398" w:history="1">
            <w:r w:rsidR="00692842" w:rsidRPr="000E7A1D">
              <w:rPr>
                <w:rStyle w:val="Hyperlink"/>
                <w:noProof/>
              </w:rPr>
              <w:t>Introduction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_Toc354752398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3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399" w:history="1">
            <w:r w:rsidR="00692842" w:rsidRPr="000E7A1D">
              <w:rPr>
                <w:rStyle w:val="Hyperlink"/>
                <w:noProof/>
              </w:rPr>
              <w:t>System Requirements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_Toc354752399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3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0" w:history="1">
            <w:r w:rsidR="00692842" w:rsidRPr="000E7A1D">
              <w:rPr>
                <w:rStyle w:val="Hyperlink"/>
                <w:noProof/>
              </w:rPr>
              <w:t>Quick-Start  Installation and JT9 Setup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_Toc354752400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4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1" w:history="1">
            <w:r w:rsidR="00692842" w:rsidRPr="000E7A1D">
              <w:rPr>
                <w:rStyle w:val="Hyperlink"/>
                <w:noProof/>
              </w:rPr>
              <w:t>Operating Hints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_Toc354752401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7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2" w:history="1">
            <w:r w:rsidR="00692842" w:rsidRPr="000E7A1D">
              <w:rPr>
                <w:rStyle w:val="Hyperlink"/>
                <w:noProof/>
              </w:rPr>
              <w:t>Menus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_Toc354752402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8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3" w:history="1">
            <w:r w:rsidR="00692842" w:rsidRPr="000E7A1D">
              <w:rPr>
                <w:rStyle w:val="Hyperlink"/>
                <w:noProof/>
              </w:rPr>
              <w:t>Keyboard Shortcuts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_Toc354752403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10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4" w:history="1">
            <w:r w:rsidR="00692842" w:rsidRPr="000E7A1D">
              <w:rPr>
                <w:rStyle w:val="Hyperlink"/>
                <w:noProof/>
              </w:rPr>
              <w:t>Special Mouse Commands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_Toc354752404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11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5" w:history="1">
            <w:r w:rsidR="00692842" w:rsidRPr="000E7A1D">
              <w:rPr>
                <w:rStyle w:val="Hyperlink"/>
                <w:noProof/>
              </w:rPr>
              <w:t>Additional Features and Options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_Toc354752405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11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6" w:history="1">
            <w:r w:rsidR="00692842" w:rsidRPr="000E7A1D">
              <w:rPr>
                <w:rStyle w:val="Hyperlink"/>
                <w:noProof/>
              </w:rPr>
              <w:t>Appendix A: Installed and Generated Files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_Toc354752406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11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7" w:history="1">
            <w:r w:rsidR="00692842" w:rsidRPr="000E7A1D">
              <w:rPr>
                <w:rStyle w:val="Hyperlink"/>
                <w:noProof/>
              </w:rPr>
              <w:t>Appendix B:  The JT9 Protocol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_Toc354752407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13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692842" w:rsidRDefault="00DE00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4752408" w:history="1">
            <w:r w:rsidR="00692842" w:rsidRPr="000E7A1D">
              <w:rPr>
                <w:rStyle w:val="Hyperlink"/>
                <w:noProof/>
              </w:rPr>
              <w:t>Appendix C:  Source Code</w:t>
            </w:r>
            <w:r w:rsidR="00692842">
              <w:rPr>
                <w:noProof/>
                <w:webHidden/>
              </w:rPr>
              <w:tab/>
            </w:r>
            <w:r w:rsidR="00692842">
              <w:rPr>
                <w:noProof/>
                <w:webHidden/>
              </w:rPr>
              <w:fldChar w:fldCharType="begin"/>
            </w:r>
            <w:r w:rsidR="00692842">
              <w:rPr>
                <w:noProof/>
                <w:webHidden/>
              </w:rPr>
              <w:instrText xml:space="preserve"> PAGEREF _Toc354752408 \h </w:instrText>
            </w:r>
            <w:r w:rsidR="00692842">
              <w:rPr>
                <w:noProof/>
                <w:webHidden/>
              </w:rPr>
            </w:r>
            <w:r w:rsidR="00692842">
              <w:rPr>
                <w:noProof/>
                <w:webHidden/>
              </w:rPr>
              <w:fldChar w:fldCharType="separate"/>
            </w:r>
            <w:r w:rsidR="00713B4D">
              <w:rPr>
                <w:noProof/>
                <w:webHidden/>
              </w:rPr>
              <w:t>13</w:t>
            </w:r>
            <w:r w:rsidR="00692842">
              <w:rPr>
                <w:noProof/>
                <w:webHidden/>
              </w:rPr>
              <w:fldChar w:fldCharType="end"/>
            </w:r>
          </w:hyperlink>
        </w:p>
        <w:p w:rsidR="00EE4BD0" w:rsidRDefault="00DD61B0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1" w:name="_Toc354752398"/>
      <w:r>
        <w:lastRenderedPageBreak/>
        <w:t>Introduction</w:t>
      </w:r>
      <w:bookmarkEnd w:id="1"/>
    </w:p>
    <w:p w:rsidR="001900C5" w:rsidRDefault="00DE00F1" w:rsidP="0082263E">
      <w:hyperlink r:id="rId9" w:history="1">
        <w:r w:rsidR="001900C5">
          <w:rPr>
            <w:rStyle w:val="Hyperlink"/>
            <w:i/>
          </w:rPr>
          <w:t>WSJT-X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for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low power </w:t>
      </w:r>
      <w:r w:rsidR="00D771EC">
        <w:t>and/</w:t>
      </w:r>
      <w:r w:rsidR="001900C5">
        <w:t xml:space="preserve">or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1900C5">
        <w:t xml:space="preserve"> is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 xml:space="preserve">offers </w:t>
      </w:r>
      <w:r>
        <w:t xml:space="preserve">the new mode </w:t>
      </w:r>
      <w:r w:rsidRPr="00483195">
        <w:t xml:space="preserve">JT9, designed especially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 xml:space="preserve">e structure and source encoding.  </w:t>
      </w:r>
      <w:r w:rsidRPr="00483195">
        <w:t>JT65 is us</w:t>
      </w:r>
      <w:r w:rsidR="00D771EC">
        <w:t>ed for EME on the VHF/UHF bands</w:t>
      </w:r>
      <w:r w:rsidRPr="00483195">
        <w:t xml:space="preserve"> and for wo</w:t>
      </w:r>
      <w:r w:rsidR="00D771EC">
        <w:t xml:space="preserve">rldwide QRP communication at HF, while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</w:p>
    <w:p w:rsidR="00483195" w:rsidRPr="00483195" w:rsidRDefault="00483195" w:rsidP="00483195">
      <w:r w:rsidRPr="00483195">
        <w:t xml:space="preserve">JT9 offers five choices for the duration of timed T/R sequences: submodes JT9-1, </w:t>
      </w:r>
      <w:r>
        <w:t xml:space="preserve">   </w:t>
      </w:r>
      <w:r w:rsidRPr="00483195">
        <w:t xml:space="preserve">JT9-2, JT9-5, JT9-10, and JT9-30 use 1, 2, 5, 10, and 30 minutes, respectively.  </w:t>
      </w:r>
      <w:r w:rsidR="00C57AC6">
        <w:t>Even wit</w:t>
      </w:r>
      <w:r w:rsidR="00D771EC">
        <w:t>h JT9-1 a minimal QSO takes 5 or</w:t>
      </w:r>
      <w:r w:rsidR="00C57AC6">
        <w:t xml:space="preserve"> 6 minutes, so for </w:t>
      </w:r>
      <w:r>
        <w:t xml:space="preserve">obvious reasons 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Pr="00483195">
        <w:t>JT9-1 is the recommended submode unless you really need the additional sensitivity of a slower mode.</w:t>
      </w:r>
    </w:p>
    <w:p w:rsidR="00526E73" w:rsidRDefault="006D42EA" w:rsidP="0082263E">
      <w:pPr>
        <w:pStyle w:val="Heading1"/>
      </w:pPr>
      <w:bookmarkStart w:id="2" w:name="_Toc354752399"/>
      <w:r>
        <w:t>System</w:t>
      </w:r>
      <w:r w:rsidR="00440636">
        <w:t xml:space="preserve"> Requirements</w:t>
      </w:r>
      <w:bookmarkEnd w:id="2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>
        <w:t xml:space="preserve"> </w:t>
      </w:r>
      <w:r w:rsidR="00D771EC">
        <w:t xml:space="preserve">and OS X, </w:t>
      </w:r>
      <w:r>
        <w:t>but we do not yet provide click-to-install package</w:t>
      </w:r>
      <w:r w:rsidR="00D771EC">
        <w:t>s for these operating systems</w:t>
      </w:r>
      <w:r>
        <w:t>.</w:t>
      </w:r>
      <w:r w:rsidR="00FF3992">
        <w:t xml:space="preserve">  See Appendix B.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6D42EA" w:rsidRPr="006D42EA">
        <w:t>MB of available RAM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Monitor with at least 800 x 600 resolution (more is better)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Sound card 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connections between transceiver and sound card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lastRenderedPageBreak/>
        <w:t>A means for synchronizing your computer clock to UTC</w:t>
      </w:r>
      <w:r w:rsidR="00AF3FA4">
        <w:t xml:space="preserve">.  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0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AF3FA4" w:rsidP="0082263E">
      <w:pPr>
        <w:pStyle w:val="Heading1"/>
      </w:pPr>
      <w:bookmarkStart w:id="3" w:name="_Toc354752400"/>
      <w:r>
        <w:t>Quick-</w:t>
      </w:r>
      <w:proofErr w:type="gramStart"/>
      <w:r>
        <w:t xml:space="preserve">Start </w:t>
      </w:r>
      <w:r w:rsidR="00DB5736">
        <w:t xml:space="preserve"> Ins</w:t>
      </w:r>
      <w:r w:rsidR="00607BE5">
        <w:t>ta</w:t>
      </w:r>
      <w:r w:rsidR="00DB5736">
        <w:t>llation</w:t>
      </w:r>
      <w:proofErr w:type="gramEnd"/>
      <w:r w:rsidR="00DB5736">
        <w:t xml:space="preserve"> and </w:t>
      </w:r>
      <w:r w:rsidR="00607BE5">
        <w:t xml:space="preserve">JT9 </w:t>
      </w:r>
      <w:r w:rsidR="002E26F5">
        <w:t>Setup</w:t>
      </w:r>
      <w:bookmarkEnd w:id="3"/>
      <w:r w:rsidR="00607BE5">
        <w:t xml:space="preserve"> 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1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Under Windows, execute the downloaded file and follow the installation instructions.  Install WSJT-X into its own directory (the suggested default is C:\WSJTX) rather than the conventional C:\Program Files\WSJTX.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WSJT-X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8C1AF4">
        <w:rPr>
          <w:rFonts w:eastAsia="Times New Roman"/>
        </w:rPr>
        <w:t xml:space="preserve">Try clicking the </w:t>
      </w:r>
      <w:r w:rsidR="008C1AF4" w:rsidRPr="008C1AF4">
        <w:rPr>
          <w:rFonts w:eastAsia="Times New Roman"/>
          <w:b/>
        </w:rPr>
        <w:t>Test CAT Control</w:t>
      </w:r>
      <w:r w:rsidR="008C1AF4">
        <w:rPr>
          <w:rFonts w:eastAsia="Times New Roman"/>
        </w:rPr>
        <w:t xml:space="preserve"> and </w:t>
      </w:r>
      <w:r w:rsidR="008C1AF4" w:rsidRPr="008C1AF4">
        <w:rPr>
          <w:rFonts w:eastAsia="Times New Roman"/>
          <w:b/>
        </w:rPr>
        <w:t>Test PTT</w:t>
      </w:r>
      <w:r w:rsidR="008C1AF4">
        <w:rPr>
          <w:rFonts w:eastAsia="Times New Roman"/>
        </w:rPr>
        <w:t xml:space="preserve"> buttons to see that you have established the desired control of station functions.  Then c</w:t>
      </w:r>
      <w:r w:rsidRPr="00AF3FA4">
        <w:rPr>
          <w:rFonts w:eastAsia="Times New Roman"/>
        </w:rPr>
        <w:t xml:space="preserve">lick </w:t>
      </w:r>
      <w:r w:rsidRPr="00AF3FA4">
        <w:rPr>
          <w:rFonts w:eastAsia="Times New Roman"/>
          <w:b/>
        </w:rPr>
        <w:t>OK</w:t>
      </w:r>
      <w:r w:rsidRPr="00AF3FA4">
        <w:rPr>
          <w:rFonts w:eastAsia="Times New Roman"/>
        </w:rPr>
        <w:t xml:space="preserve"> to dismiss the </w:t>
      </w:r>
      <w:r w:rsidR="008C1AF4">
        <w:rPr>
          <w:rFonts w:eastAsia="Times New Roman"/>
          <w:b/>
        </w:rPr>
        <w:t>Configuration</w:t>
      </w:r>
      <w:r w:rsidRPr="00AF3FA4">
        <w:rPr>
          <w:rFonts w:eastAsia="Times New Roman"/>
          <w:b/>
        </w:rPr>
        <w:t xml:space="preserve"> </w:t>
      </w:r>
      <w:r w:rsidRPr="00AF3FA4">
        <w:rPr>
          <w:rFonts w:eastAsia="Times New Roman"/>
        </w:rPr>
        <w:t>window.</w:t>
      </w:r>
    </w:p>
    <w:p w:rsidR="00DB5736" w:rsidRDefault="00FF3992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I</w:t>
      </w:r>
      <w:r w:rsidRPr="00AF3FA4">
        <w:rPr>
          <w:rFonts w:eastAsia="Times New Roman"/>
        </w:rPr>
        <w:t>f necessary</w:t>
      </w:r>
      <w:r>
        <w:rPr>
          <w:rFonts w:eastAsia="Times New Roman"/>
        </w:rPr>
        <w:t>,</w:t>
      </w:r>
      <w:r w:rsidRPr="00AF3FA4">
        <w:rPr>
          <w:rFonts w:eastAsia="Times New Roman"/>
        </w:rPr>
        <w:t xml:space="preserve"> click the </w:t>
      </w:r>
      <w:r w:rsidRPr="00AF3FA4">
        <w:rPr>
          <w:rFonts w:eastAsia="Times New Roman"/>
          <w:b/>
        </w:rPr>
        <w:t>Stop</w:t>
      </w:r>
      <w:r w:rsidRPr="00AF3FA4">
        <w:rPr>
          <w:rFonts w:eastAsia="Times New Roman"/>
        </w:rPr>
        <w:t xml:space="preserve"> button on the main window to halt any data acquisition</w:t>
      </w:r>
      <w:r w:rsidR="00893A56">
        <w:rPr>
          <w:rFonts w:eastAsia="Times New Roman"/>
        </w:rPr>
        <w:t>.</w:t>
      </w:r>
      <w:r w:rsidRPr="00DB5736">
        <w:rPr>
          <w:rFonts w:eastAsia="Times New Roman"/>
        </w:rPr>
        <w:t xml:space="preserve"> </w:t>
      </w:r>
      <w:r w:rsidR="00AF3FA4" w:rsidRPr="00DB5736">
        <w:rPr>
          <w:rFonts w:eastAsia="Times New Roman"/>
        </w:rPr>
        <w:t xml:space="preserve">Select submode </w:t>
      </w:r>
      <w:r w:rsidR="00AF3FA4" w:rsidRPr="00DB5736">
        <w:rPr>
          <w:rFonts w:eastAsia="Times New Roman"/>
          <w:b/>
        </w:rPr>
        <w:t>JT9-1</w:t>
      </w:r>
      <w:r w:rsidR="00AF3FA4" w:rsidRPr="00DB5736">
        <w:rPr>
          <w:rFonts w:eastAsia="Times New Roman"/>
        </w:rPr>
        <w:t xml:space="preserve"> from the </w:t>
      </w:r>
      <w:r w:rsidR="00AF3FA4" w:rsidRPr="00DB5736">
        <w:rPr>
          <w:rFonts w:eastAsia="Times New Roman"/>
          <w:b/>
        </w:rPr>
        <w:t>Mode</w:t>
      </w:r>
      <w:r w:rsidR="00AF3FA4" w:rsidRPr="00DB5736">
        <w:rPr>
          <w:rFonts w:eastAsia="Times New Roman"/>
        </w:rPr>
        <w:t xml:space="preserve"> menu and </w:t>
      </w:r>
      <w:r w:rsidR="00AF3FA4" w:rsidRPr="00DB5736">
        <w:rPr>
          <w:rFonts w:eastAsia="Times New Roman"/>
          <w:b/>
        </w:rPr>
        <w:t>Normal</w:t>
      </w:r>
      <w:r w:rsidR="00AF3FA4" w:rsidRPr="00DB5736">
        <w:rPr>
          <w:rFonts w:eastAsia="Times New Roman"/>
        </w:rPr>
        <w:t xml:space="preserve"> from the </w:t>
      </w:r>
      <w:r w:rsidR="00AF3FA4" w:rsidRPr="00DB5736">
        <w:rPr>
          <w:rFonts w:eastAsia="Times New Roman"/>
          <w:b/>
        </w:rPr>
        <w:t>Decode</w:t>
      </w:r>
      <w:r w:rsidR="00AF3FA4" w:rsidRPr="00DB5736">
        <w:rPr>
          <w:rFonts w:eastAsia="Times New Roman"/>
        </w:rPr>
        <w:t xml:space="preserve"> menu.  On the Wide Graph window select </w:t>
      </w:r>
      <w:r w:rsidR="00AF3FA4" w:rsidRPr="00DB5736">
        <w:rPr>
          <w:rFonts w:eastAsia="Times New Roman"/>
          <w:b/>
        </w:rPr>
        <w:t>JT9 Sync</w:t>
      </w:r>
      <w:r w:rsidR="00AF3FA4" w:rsidRPr="00DB5736">
        <w:rPr>
          <w:rFonts w:eastAsia="Times New Roman"/>
        </w:rPr>
        <w:t xml:space="preserve"> (rather than </w:t>
      </w:r>
      <w:r w:rsidR="00AF3FA4" w:rsidRPr="00DB5736">
        <w:rPr>
          <w:rFonts w:eastAsia="Times New Roman"/>
          <w:b/>
        </w:rPr>
        <w:t>Current</w:t>
      </w:r>
      <w:r w:rsidR="00AF3FA4" w:rsidRPr="00DB5736">
        <w:rPr>
          <w:rFonts w:eastAsia="Times New Roman"/>
        </w:rPr>
        <w:t xml:space="preserve"> or </w:t>
      </w:r>
      <w:r w:rsidR="00AF3FA4" w:rsidRPr="00DB5736">
        <w:rPr>
          <w:rFonts w:eastAsia="Times New Roman"/>
          <w:b/>
        </w:rPr>
        <w:t>Cumulative</w:t>
      </w:r>
      <w:r w:rsidR="00AF3FA4" w:rsidRPr="00DB5736">
        <w:rPr>
          <w:rFonts w:eastAsia="Times New Roman"/>
        </w:rPr>
        <w:t xml:space="preserve">) for data display.  Select </w:t>
      </w:r>
      <w:r w:rsidR="00AF3FA4" w:rsidRPr="00DB5736">
        <w:rPr>
          <w:rFonts w:eastAsia="Times New Roman"/>
          <w:b/>
        </w:rPr>
        <w:t>Tab 2</w:t>
      </w:r>
      <w:r w:rsidR="00AF3FA4" w:rsidRPr="00DB5736">
        <w:rPr>
          <w:rFonts w:eastAsia="Times New Roman"/>
        </w:rPr>
        <w:t xml:space="preserve"> (just below the </w:t>
      </w:r>
      <w:r w:rsidR="00AF3FA4" w:rsidRPr="00DB5736">
        <w:rPr>
          <w:rFonts w:eastAsia="Times New Roman"/>
          <w:b/>
        </w:rPr>
        <w:t>Erase</w:t>
      </w:r>
      <w:r w:rsidR="00AF3FA4" w:rsidRPr="00DB5736">
        <w:rPr>
          <w:rFonts w:eastAsia="Times New Roman"/>
        </w:rPr>
        <w:t xml:space="preserve"> button</w:t>
      </w:r>
      <w:r>
        <w:rPr>
          <w:rFonts w:eastAsia="Times New Roman"/>
        </w:rPr>
        <w:t xml:space="preserve"> on the main window</w:t>
      </w:r>
      <w:r w:rsidR="00AF3FA4"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="00AF3FA4" w:rsidRPr="00DB5736">
        <w:rPr>
          <w:rFonts w:eastAsia="Times New Roman"/>
          <w:b/>
        </w:rPr>
        <w:t>File | Open</w:t>
      </w:r>
      <w:r w:rsidR="00AF3FA4" w:rsidRPr="00DB5736">
        <w:rPr>
          <w:rFonts w:eastAsia="Times New Roman"/>
        </w:rPr>
        <w:t xml:space="preserve">, navigate to directory …\Save\Samples under your WSJT-X installation directory, </w:t>
      </w:r>
      <w:r w:rsidR="00893A56">
        <w:rPr>
          <w:rFonts w:eastAsia="Times New Roman"/>
        </w:rPr>
        <w:t>and open the example file 130426_0027</w:t>
      </w:r>
      <w:r w:rsidR="00AF3FA4" w:rsidRPr="00DB5736">
        <w:rPr>
          <w:rFonts w:eastAsia="Times New Roman"/>
        </w:rPr>
        <w:t xml:space="preserve">.wav.  You should see something like the screen shots below and on the next page.  </w:t>
      </w:r>
    </w:p>
    <w:p w:rsidR="00893A56" w:rsidRPr="00893A56" w:rsidRDefault="00893A56" w:rsidP="00893A56">
      <w:pPr>
        <w:spacing w:after="120" w:afterAutospacing="0"/>
        <w:ind w:left="360"/>
        <w:rPr>
          <w:rFonts w:eastAsia="Times New Roman"/>
        </w:rPr>
      </w:pPr>
      <w:r w:rsidRPr="00893A56">
        <w:rPr>
          <w:rFonts w:eastAsia="Times New Roman"/>
        </w:rPr>
        <w:t>Notice the green, red, and blue markers on the waterfall frequency scale.  Decoding in JT9 mode takes place at the end of a receive sequence and is organized in two stages.  The first decodes are at the selected Rx frequency</w:t>
      </w:r>
      <w:r>
        <w:rPr>
          <w:rFonts w:eastAsia="Times New Roman"/>
        </w:rPr>
        <w:t>,</w:t>
      </w:r>
      <w:r w:rsidRPr="00893A56">
        <w:rPr>
          <w:rFonts w:eastAsia="Times New Roman"/>
        </w:rPr>
        <w:t xml:space="preserve"> indicated by the green marker.  These </w:t>
      </w:r>
      <w:r>
        <w:rPr>
          <w:rFonts w:eastAsia="Times New Roman"/>
        </w:rPr>
        <w:t xml:space="preserve">decoding results </w:t>
      </w:r>
      <w:r w:rsidRPr="00893A56">
        <w:rPr>
          <w:rFonts w:eastAsia="Times New Roman"/>
        </w:rPr>
        <w:t>appear in the both the left (“QSO Frequency”) and right (“Band Activity”) text windows.  The de</w:t>
      </w:r>
      <w:r>
        <w:rPr>
          <w:rFonts w:eastAsia="Times New Roman"/>
        </w:rPr>
        <w:t>coder then finds and decodes all</w:t>
      </w:r>
      <w:r w:rsidRPr="00893A56">
        <w:rPr>
          <w:rFonts w:eastAsia="Times New Roman"/>
        </w:rPr>
        <w:t xml:space="preserve"> JT9 signals between the blue markers at frequencies </w:t>
      </w:r>
      <w:r w:rsidRPr="00893A56">
        <w:rPr>
          <w:rFonts w:eastAsia="Times New Roman"/>
          <w:b/>
        </w:rPr>
        <w:t xml:space="preserve">f Min </w:t>
      </w:r>
      <w:r w:rsidRPr="00893A56">
        <w:rPr>
          <w:rFonts w:eastAsia="Times New Roman"/>
        </w:rPr>
        <w:t xml:space="preserve">and </w:t>
      </w:r>
      <w:r w:rsidRPr="00893A56">
        <w:rPr>
          <w:rFonts w:eastAsia="Times New Roman"/>
          <w:b/>
        </w:rPr>
        <w:t xml:space="preserve">f Max. </w:t>
      </w:r>
      <w:r w:rsidRPr="00893A56">
        <w:rPr>
          <w:rFonts w:eastAsia="Times New Roman"/>
        </w:rPr>
        <w:t xml:space="preserve">The normal wideband decoding range is 1000 – 2000 Hz, but you can move the limits using </w:t>
      </w:r>
      <w:proofErr w:type="gramStart"/>
      <w:r w:rsidRPr="00893A56">
        <w:rPr>
          <w:rFonts w:eastAsia="Times New Roman"/>
        </w:rPr>
        <w:t xml:space="preserve">the </w:t>
      </w:r>
      <w:r>
        <w:rPr>
          <w:rFonts w:eastAsia="Times New Roman"/>
        </w:rPr>
        <w:t xml:space="preserve"> </w:t>
      </w:r>
      <w:r w:rsidRPr="00893A56">
        <w:rPr>
          <w:rFonts w:eastAsia="Times New Roman"/>
          <w:b/>
        </w:rPr>
        <w:t>f</w:t>
      </w:r>
      <w:proofErr w:type="gramEnd"/>
      <w:r w:rsidRPr="00893A56">
        <w:rPr>
          <w:rFonts w:eastAsia="Times New Roman"/>
          <w:b/>
        </w:rPr>
        <w:t xml:space="preserve"> Min </w:t>
      </w:r>
      <w:r w:rsidRPr="00893A56">
        <w:rPr>
          <w:rFonts w:eastAsia="Times New Roman"/>
        </w:rPr>
        <w:t xml:space="preserve">and  </w:t>
      </w:r>
      <w:r w:rsidRPr="00893A56">
        <w:rPr>
          <w:rFonts w:eastAsia="Times New Roman"/>
          <w:b/>
        </w:rPr>
        <w:t xml:space="preserve">f Max </w:t>
      </w:r>
      <w:r w:rsidRPr="00893A56">
        <w:rPr>
          <w:rFonts w:eastAsia="Times New Roman"/>
        </w:rPr>
        <w:t xml:space="preserve">spinner controls.  The red marker indicates the </w:t>
      </w:r>
      <w:proofErr w:type="spellStart"/>
      <w:proofErr w:type="gramStart"/>
      <w:r w:rsidRPr="00893A56">
        <w:rPr>
          <w:rFonts w:eastAsia="Times New Roman"/>
        </w:rPr>
        <w:t>Tx</w:t>
      </w:r>
      <w:proofErr w:type="spellEnd"/>
      <w:proofErr w:type="gramEnd"/>
      <w:r w:rsidRPr="00893A56">
        <w:rPr>
          <w:rFonts w:eastAsia="Times New Roman"/>
        </w:rPr>
        <w:t xml:space="preserve"> frequency.</w:t>
      </w:r>
    </w:p>
    <w:p w:rsidR="00893A56" w:rsidRDefault="00893A56" w:rsidP="00893A56">
      <w:pPr>
        <w:spacing w:after="120" w:afterAutospacing="0"/>
        <w:rPr>
          <w:rFonts w:eastAsia="Times New Roman"/>
        </w:rPr>
      </w:pPr>
    </w:p>
    <w:p w:rsidR="008C1AF4" w:rsidRDefault="008C1AF4" w:rsidP="00893A5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738A685" wp14:editId="2358E0F5">
            <wp:extent cx="5249008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74" w:rsidRDefault="00802474" w:rsidP="00893A56">
      <w:pPr>
        <w:spacing w:after="120" w:afterAutospacing="0"/>
        <w:ind w:left="360"/>
        <w:rPr>
          <w:rFonts w:eastAsia="Times New Roman"/>
        </w:rPr>
      </w:pPr>
    </w:p>
    <w:p w:rsidR="00AF3FA4" w:rsidRPr="00DB5736" w:rsidRDefault="00893A56" w:rsidP="00DB573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4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22_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4" w:rsidRDefault="00893A56" w:rsidP="00AF3FA4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18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32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FB" w:rsidRPr="005862FB" w:rsidRDefault="00802474" w:rsidP="005862FB">
      <w:pPr>
        <w:pStyle w:val="ListParagraph"/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Note that three</w:t>
      </w:r>
      <w:r w:rsidR="005862FB" w:rsidRPr="005862FB">
        <w:rPr>
          <w:rFonts w:eastAsia="Times New Roman"/>
        </w:rPr>
        <w:t xml:space="preserve"> JT9 signals have been decoded: </w:t>
      </w:r>
      <w:r>
        <w:rPr>
          <w:rFonts w:eastAsia="Times New Roman"/>
        </w:rPr>
        <w:t>someone has ended a QSO by sending “TU ED 5W 73”</w:t>
      </w:r>
      <w:proofErr w:type="gramStart"/>
      <w:r>
        <w:rPr>
          <w:rFonts w:eastAsia="Times New Roman"/>
        </w:rPr>
        <w:t>,  NA2AIE</w:t>
      </w:r>
      <w:proofErr w:type="gramEnd"/>
      <w:r>
        <w:rPr>
          <w:rFonts w:eastAsia="Times New Roman"/>
        </w:rPr>
        <w:t xml:space="preserve"> </w:t>
      </w:r>
      <w:r w:rsidR="005862FB" w:rsidRPr="005862FB">
        <w:rPr>
          <w:rFonts w:eastAsia="Times New Roman"/>
        </w:rPr>
        <w:t xml:space="preserve">is calling CQ, and </w:t>
      </w:r>
      <w:r>
        <w:rPr>
          <w:rFonts w:eastAsia="Times New Roman"/>
        </w:rPr>
        <w:t xml:space="preserve">AA1AR </w:t>
      </w:r>
      <w:r w:rsidR="005862FB" w:rsidRPr="005862FB">
        <w:rPr>
          <w:rFonts w:eastAsia="Times New Roman"/>
        </w:rPr>
        <w:t xml:space="preserve">is </w:t>
      </w:r>
      <w:r>
        <w:rPr>
          <w:rFonts w:eastAsia="Times New Roman"/>
        </w:rPr>
        <w:t xml:space="preserve">sending a signal report to </w:t>
      </w:r>
      <w:r w:rsidR="005862FB" w:rsidRPr="005862FB">
        <w:rPr>
          <w:rFonts w:eastAsia="Times New Roman"/>
        </w:rPr>
        <w:t>K1JT.  These signals are visible on the water</w:t>
      </w:r>
      <w:r>
        <w:rPr>
          <w:rFonts w:eastAsia="Times New Roman"/>
        </w:rPr>
        <w:t>fall near audio frequencies 1343,</w:t>
      </w:r>
      <w:r w:rsidR="005862FB" w:rsidRPr="005862FB">
        <w:rPr>
          <w:rFonts w:eastAsia="Times New Roman"/>
        </w:rPr>
        <w:t xml:space="preserve"> </w:t>
      </w:r>
      <w:r>
        <w:rPr>
          <w:rFonts w:eastAsia="Times New Roman"/>
        </w:rPr>
        <w:t>1567, and 1621</w:t>
      </w:r>
      <w:r w:rsidR="005862FB" w:rsidRPr="005862FB">
        <w:rPr>
          <w:rFonts w:eastAsia="Times New Roman"/>
        </w:rPr>
        <w:t xml:space="preserve"> Hz, respectively.  The </w:t>
      </w:r>
      <w:r>
        <w:rPr>
          <w:rFonts w:eastAsia="Times New Roman"/>
        </w:rPr>
        <w:t xml:space="preserve">N2AIE </w:t>
      </w:r>
      <w:r w:rsidR="005862FB" w:rsidRPr="005862FB">
        <w:rPr>
          <w:rFonts w:eastAsia="Times New Roman"/>
        </w:rPr>
        <w:t xml:space="preserve">signal is highlighted in green because he is calling CQ.  The signal from </w:t>
      </w:r>
      <w:r>
        <w:rPr>
          <w:rFonts w:eastAsia="Times New Roman"/>
        </w:rPr>
        <w:t xml:space="preserve">AA1AR </w:t>
      </w:r>
      <w:r w:rsidR="005862FB" w:rsidRPr="005862FB">
        <w:rPr>
          <w:rFonts w:eastAsia="Times New Roman"/>
        </w:rPr>
        <w:t xml:space="preserve">is highlighted in red because it is directed to </w:t>
      </w:r>
      <w:r>
        <w:rPr>
          <w:rFonts w:eastAsia="Times New Roman"/>
        </w:rPr>
        <w:t xml:space="preserve">the callsign entered on the </w:t>
      </w:r>
      <w:r w:rsidRPr="00802474">
        <w:rPr>
          <w:rFonts w:eastAsia="Times New Roman"/>
          <w:b/>
        </w:rPr>
        <w:t>Setup | Configuration</w:t>
      </w:r>
      <w:r>
        <w:rPr>
          <w:rFonts w:eastAsia="Times New Roman"/>
        </w:rPr>
        <w:t xml:space="preserve"> screen as </w:t>
      </w:r>
      <w:r w:rsidR="005862FB" w:rsidRPr="005862FB">
        <w:rPr>
          <w:rFonts w:eastAsia="Times New Roman"/>
        </w:rPr>
        <w:t>“</w:t>
      </w:r>
      <w:proofErr w:type="spellStart"/>
      <w:r w:rsidR="005862FB" w:rsidRPr="005862FB">
        <w:rPr>
          <w:rFonts w:eastAsia="Times New Roman"/>
        </w:rPr>
        <w:t>MyCall</w:t>
      </w:r>
      <w:proofErr w:type="spellEnd"/>
      <w:r w:rsidR="005862FB" w:rsidRPr="005862FB">
        <w:rPr>
          <w:rFonts w:eastAsia="Times New Roman"/>
        </w:rPr>
        <w:t>”, in this case K1JT.</w:t>
      </w:r>
    </w:p>
    <w:p w:rsidR="00AF3FA4" w:rsidRPr="00AF3FA4" w:rsidRDefault="00DB5736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5862FB">
        <w:rPr>
          <w:rFonts w:eastAsia="Times New Roman"/>
        </w:rPr>
        <w:t xml:space="preserve">for </w:t>
      </w:r>
      <w:r w:rsidR="00AF3FA4" w:rsidRPr="00AF3FA4">
        <w:rPr>
          <w:rFonts w:eastAsia="Times New Roman"/>
        </w:rPr>
        <w:t>making QSOs, try clicking with the mouse on the decoded text lines and on the waterfall spectrum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297487">
        <w:rPr>
          <w:rFonts w:eastAsia="Times New Roman"/>
        </w:rPr>
        <w:t>,</w:t>
      </w:r>
      <w:r w:rsidR="005862FB">
        <w:rPr>
          <w:rFonts w:eastAsia="Times New Roman"/>
        </w:rPr>
        <w:t xml:space="preserve"> and then</w:t>
      </w:r>
      <w:r w:rsidRPr="00AF3FA4">
        <w:rPr>
          <w:rFonts w:eastAsia="Times New Roman"/>
        </w:rPr>
        <w:t xml:space="preserve"> 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297487">
        <w:rPr>
          <w:rFonts w:eastAsia="Times New Roman"/>
        </w:rPr>
        <w:t>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lastRenderedPageBreak/>
        <w:t>Click</w:t>
      </w:r>
      <w:r w:rsidR="00297487">
        <w:rPr>
          <w:rFonts w:eastAsia="Times New Roman"/>
        </w:rPr>
        <w:t>ing</w:t>
      </w:r>
      <w:r w:rsidRPr="00AF3FA4">
        <w:rPr>
          <w:rFonts w:eastAsia="Times New Roman"/>
        </w:rPr>
        <w:t xml:space="preserve"> on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 the</w:t>
      </w:r>
      <w:r w:rsidRPr="00AF3FA4">
        <w:rPr>
          <w:rFonts w:eastAsia="Times New Roman"/>
        </w:rPr>
        <w:t xml:space="preserve"> Rx frequency (green marker) to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>selected frequency.</w:t>
      </w:r>
    </w:p>
    <w:p w:rsidR="00AF3FA4" w:rsidRPr="00AF3FA4" w:rsidRDefault="00297487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CTRL-click on waterfall </w:t>
      </w:r>
      <w:r w:rsidR="00AF3FA4" w:rsidRPr="00AF3FA4">
        <w:rPr>
          <w:rFonts w:eastAsia="Times New Roman"/>
        </w:rPr>
        <w:t>move</w:t>
      </w:r>
      <w:r>
        <w:rPr>
          <w:rFonts w:eastAsia="Times New Roman"/>
        </w:rPr>
        <w:t>s both</w:t>
      </w:r>
      <w:r w:rsidR="00AF3FA4" w:rsidRPr="00AF3FA4">
        <w:rPr>
          <w:rFonts w:eastAsia="Times New Roman"/>
        </w:rPr>
        <w:t xml:space="preserve"> Rx and </w:t>
      </w:r>
      <w:proofErr w:type="spellStart"/>
      <w:proofErr w:type="gramStart"/>
      <w:r w:rsidR="00AF3FA4" w:rsidRPr="00AF3FA4">
        <w:rPr>
          <w:rFonts w:eastAsia="Times New Roman"/>
        </w:rPr>
        <w:t>Tx</w:t>
      </w:r>
      <w:proofErr w:type="spellEnd"/>
      <w:proofErr w:type="gramEnd"/>
      <w:r w:rsidR="00AF3FA4" w:rsidRPr="00AF3FA4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Double-click on 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 xml:space="preserve">decode there.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297487">
        <w:rPr>
          <w:rFonts w:eastAsia="Times New Roman"/>
        </w:rPr>
        <w:t>left (</w:t>
      </w:r>
      <w:r w:rsidRPr="00AF3FA4">
        <w:rPr>
          <w:rFonts w:eastAsia="Times New Roman"/>
        </w:rPr>
        <w:t>“QSO”</w:t>
      </w:r>
      <w:r w:rsidR="00297487">
        <w:rPr>
          <w:rFonts w:eastAsia="Times New Roman"/>
        </w:rPr>
        <w:t>)</w:t>
      </w:r>
      <w:r w:rsidRPr="00AF3FA4">
        <w:rPr>
          <w:rFonts w:eastAsia="Times New Roman"/>
        </w:rPr>
        <w:t xml:space="preserve"> window.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CTRL-double-click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Pr="00AF3FA4">
        <w:rPr>
          <w:rFonts w:eastAsia="Times New Roman"/>
        </w:rPr>
        <w:t xml:space="preserve">Rx and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there.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QSO 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AF3FA4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Click the </w:t>
      </w:r>
      <w:r w:rsidRPr="00AF3FA4">
        <w:rPr>
          <w:rFonts w:eastAsia="Times New Roman"/>
          <w:b/>
        </w:rPr>
        <w:t>Monitor</w:t>
      </w:r>
      <w:r w:rsidRPr="00AF3FA4">
        <w:rPr>
          <w:rFonts w:eastAsia="Times New Roman"/>
        </w:rPr>
        <w:t xml:space="preserve"> button to return to normal receive operation</w:t>
      </w:r>
      <w:r w:rsidR="00983936">
        <w:rPr>
          <w:rFonts w:eastAsia="Times New Roman"/>
        </w:rPr>
        <w:t>.  Using the receiver gain control(s) and/or the Windows mixer controls, s</w:t>
      </w:r>
      <w:r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 xml:space="preserve">If necessary you can also use the slider next to the thermometer scale, but the overall dynamic range will be best with the slider at mid-scale.  When this is true, </w:t>
      </w:r>
      <w:r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983936">
        <w:rPr>
          <w:rFonts w:eastAsia="Times New Roman"/>
        </w:rPr>
        <w:t xml:space="preserve">soundcard. </w:t>
      </w:r>
    </w:p>
    <w:p w:rsidR="0052070D" w:rsidRPr="00DB5736" w:rsidRDefault="00AF3FA4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983936" w:rsidP="00DC5B92">
      <w:pPr>
        <w:pStyle w:val="Heading1"/>
      </w:pPr>
      <w:bookmarkStart w:id="4" w:name="_Toc354752401"/>
      <w:r>
        <w:t>Operating Hints</w:t>
      </w:r>
      <w:bookmarkEnd w:id="4"/>
    </w:p>
    <w:p w:rsidR="00600AF6" w:rsidRDefault="00600AF6" w:rsidP="00600AF6">
      <w:pPr>
        <w:pStyle w:val="PlainText"/>
        <w:spacing w:before="120"/>
        <w:ind w:right="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longstanding tradition, a minimal valid QSO requires the exchange of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, a signal report or some other information, and acknowledgments.  </w:t>
      </w:r>
      <w:r w:rsidRPr="00600AF6">
        <w:rPr>
          <w:rFonts w:ascii="Arial" w:hAnsi="Arial" w:cs="Arial"/>
          <w:i/>
          <w:sz w:val="24"/>
        </w:rPr>
        <w:t>WSJT-X</w:t>
      </w:r>
      <w:r w:rsidRPr="00312FDD">
        <w:rPr>
          <w:rFonts w:ascii="Arial" w:hAnsi="Arial" w:cs="Arial"/>
          <w:sz w:val="24"/>
        </w:rPr>
        <w:t xml:space="preserve"> is designed </w:t>
      </w:r>
      <w:r>
        <w:rPr>
          <w:rFonts w:ascii="Arial" w:hAnsi="Arial" w:cs="Arial"/>
          <w:sz w:val="24"/>
        </w:rPr>
        <w:t xml:space="preserve">to facilitate </w:t>
      </w:r>
      <w:r w:rsidRPr="00312FDD">
        <w:rPr>
          <w:rFonts w:ascii="Arial" w:hAnsi="Arial" w:cs="Arial"/>
          <w:sz w:val="24"/>
        </w:rPr>
        <w:t xml:space="preserve">making </w:t>
      </w:r>
      <w:r>
        <w:rPr>
          <w:rFonts w:ascii="Arial" w:hAnsi="Arial" w:cs="Arial"/>
          <w:sz w:val="24"/>
        </w:rPr>
        <w:t xml:space="preserve">such </w:t>
      </w:r>
      <w:r w:rsidRPr="00312FDD">
        <w:rPr>
          <w:rFonts w:ascii="Arial" w:hAnsi="Arial" w:cs="Arial"/>
          <w:sz w:val="24"/>
        </w:rPr>
        <w:t>minimal Q</w:t>
      </w:r>
      <w:r>
        <w:rPr>
          <w:rFonts w:ascii="Arial" w:hAnsi="Arial" w:cs="Arial"/>
          <w:sz w:val="24"/>
        </w:rPr>
        <w:t xml:space="preserve">SOs with very weak signals, and the process can be made </w:t>
      </w:r>
      <w:r w:rsidRPr="00312FDD">
        <w:rPr>
          <w:rFonts w:ascii="Arial" w:hAnsi="Arial" w:cs="Arial"/>
          <w:sz w:val="24"/>
        </w:rPr>
        <w:t>easier if you follow standard operati</w:t>
      </w:r>
      <w:r>
        <w:rPr>
          <w:rFonts w:ascii="Arial" w:hAnsi="Arial" w:cs="Arial"/>
          <w:sz w:val="24"/>
        </w:rPr>
        <w:t>ng practices.  T</w:t>
      </w:r>
      <w:r w:rsidRPr="00312FDD">
        <w:rPr>
          <w:rFonts w:ascii="Arial" w:hAnsi="Arial" w:cs="Arial"/>
          <w:sz w:val="24"/>
        </w:rPr>
        <w:t xml:space="preserve">he recommended </w:t>
      </w:r>
      <w:r>
        <w:rPr>
          <w:rFonts w:ascii="Arial" w:hAnsi="Arial" w:cs="Arial"/>
          <w:sz w:val="24"/>
        </w:rPr>
        <w:t>basic QSO goes something like this: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</w:p>
    <w:p w:rsidR="00250935" w:rsidRPr="003149A3" w:rsidRDefault="00CE07FD" w:rsidP="00CE07FD">
      <w:pPr>
        <w:pStyle w:val="PlainText"/>
        <w:spacing w:before="0" w:beforeAutospacing="0" w:afterAutospacing="0"/>
        <w:ind w:right="29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</w:rPr>
        <w:t xml:space="preserve">These standard structured messages consist of two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 followed by a grid locator, a signal report, or the acknowledgement “RRR” or sign-off “73”.  As described in Appendix X, such messages are compressed and handled in an extremely efficient manner.  </w:t>
      </w:r>
      <w:r w:rsidR="00600AF6">
        <w:rPr>
          <w:rFonts w:ascii="Arial" w:hAnsi="Arial" w:cs="Arial"/>
          <w:sz w:val="24"/>
        </w:rPr>
        <w:t xml:space="preserve">Many users will add some friendly chit-chat as a final transmission, </w:t>
      </w:r>
      <w:r>
        <w:rPr>
          <w:rFonts w:ascii="Arial" w:hAnsi="Arial" w:cs="Arial"/>
          <w:sz w:val="24"/>
        </w:rPr>
        <w:t>for example sending for transmission #6 the message “</w:t>
      </w:r>
      <w:r w:rsidR="00600AF6">
        <w:rPr>
          <w:rFonts w:ascii="Arial" w:hAnsi="Arial" w:cs="Arial"/>
          <w:sz w:val="24"/>
        </w:rPr>
        <w:t xml:space="preserve">TNX </w:t>
      </w:r>
      <w:r>
        <w:rPr>
          <w:rFonts w:ascii="Arial" w:hAnsi="Arial" w:cs="Arial"/>
          <w:sz w:val="24"/>
        </w:rPr>
        <w:t xml:space="preserve">JOE </w:t>
      </w:r>
      <w:r w:rsidR="00600AF6">
        <w:rPr>
          <w:rFonts w:ascii="Arial" w:hAnsi="Arial" w:cs="Arial"/>
          <w:sz w:val="24"/>
        </w:rPr>
        <w:t>73 GL</w:t>
      </w:r>
      <w:r>
        <w:rPr>
          <w:rFonts w:ascii="Arial" w:hAnsi="Arial" w:cs="Arial"/>
          <w:sz w:val="24"/>
        </w:rPr>
        <w:t xml:space="preserve">”.  Free-text messages like this are limited to 13 characters.  It should be obvious that </w:t>
      </w:r>
      <w:r w:rsidR="00983936">
        <w:rPr>
          <w:rFonts w:ascii="Arial" w:eastAsia="Times New Roman" w:hAnsi="Arial" w:cs="Arial"/>
        </w:rPr>
        <w:t>JT9 is not a mode suitable for extensive conversations or rag-chewing.</w:t>
      </w:r>
      <w:r w:rsidR="00AE5CEF" w:rsidRPr="003149A3">
        <w:rPr>
          <w:rFonts w:ascii="Arial" w:eastAsia="Times New Roman" w:hAnsi="Arial" w:cs="Arial"/>
        </w:rPr>
        <w:t xml:space="preserve"> </w:t>
      </w:r>
    </w:p>
    <w:p w:rsidR="007B5CF1" w:rsidRDefault="001E2713" w:rsidP="00743CA9">
      <w:pPr>
        <w:pStyle w:val="Heading1"/>
      </w:pPr>
      <w:bookmarkStart w:id="5" w:name="_Toc354752402"/>
      <w:r>
        <w:lastRenderedPageBreak/>
        <w:t>Menus</w:t>
      </w:r>
      <w:bookmarkEnd w:id="5"/>
    </w:p>
    <w:p w:rsidR="001E2713" w:rsidRDefault="001E2713" w:rsidP="001E2713">
      <w:r>
        <w:t xml:space="preserve">Menus at the top of the </w:t>
      </w:r>
      <w:r w:rsidRPr="001E2713">
        <w:rPr>
          <w:i/>
        </w:rPr>
        <w:t>WSJT-X</w:t>
      </w:r>
      <w:r>
        <w:t xml:space="preserve"> main window offer a number of options for program configuration and operation.  Most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 wp14:anchorId="6EE2CCFE" wp14:editId="0DDF1B2C">
            <wp:extent cx="2953162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Setup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543530" cy="3772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Default="001E2713" w:rsidP="001E2713">
      <w:pPr>
        <w:ind w:left="720"/>
      </w:pP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View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Decode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Default="001E2713">
      <w:pPr>
        <w:rPr>
          <w:b/>
        </w:rPr>
      </w:pPr>
      <w:r>
        <w:rPr>
          <w:b/>
        </w:rPr>
        <w:br w:type="page"/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Help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57793" cy="1095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4D" w:rsidRPr="001E2713" w:rsidRDefault="00BA324D" w:rsidP="00BA324D"/>
    <w:p w:rsidR="001E2713" w:rsidRDefault="001E2713" w:rsidP="001E2713">
      <w:pPr>
        <w:pStyle w:val="Heading1"/>
      </w:pPr>
      <w:bookmarkStart w:id="6" w:name="_Toc354752403"/>
      <w:r>
        <w:t>Keyboard Shortcuts</w:t>
      </w:r>
      <w:bookmarkEnd w:id="6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  <w:t>Online User's Guide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>Open configuration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F4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>
        <w:tab/>
      </w:r>
      <w:r>
        <w:tab/>
        <w:t>Exit program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Shift+F6</w:t>
      </w:r>
      <w:r>
        <w:t xml:space="preserve">     </w:t>
      </w:r>
      <w:r>
        <w:tab/>
        <w:t>Decode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>Lookup callsign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7" w:name="_Toc354752404"/>
      <w:r>
        <w:lastRenderedPageBreak/>
        <w:t>Special Mouse Commands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7E65D7">
        <w:trPr>
          <w:trHeight w:val="100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 xml:space="preserve">Ctrl-click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callsign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BA324D" w:rsidRPr="00BA324D" w:rsidRDefault="00BA324D" w:rsidP="00BA324D"/>
    <w:p w:rsidR="001E2713" w:rsidRDefault="001E2713" w:rsidP="001E2713">
      <w:pPr>
        <w:pStyle w:val="Heading1"/>
      </w:pPr>
      <w:bookmarkStart w:id="8" w:name="_Toc354752405"/>
      <w:r>
        <w:t>Additional Features and Options</w:t>
      </w:r>
      <w:bookmarkEnd w:id="8"/>
    </w:p>
    <w:p w:rsidR="00625907" w:rsidRDefault="00227526" w:rsidP="00DB5736">
      <w:r>
        <w:t xml:space="preserve">The </w:t>
      </w:r>
    </w:p>
    <w:p w:rsidR="00563ED2" w:rsidRDefault="00563ED2" w:rsidP="00563ED2">
      <w:pPr>
        <w:pStyle w:val="Heading1"/>
      </w:pPr>
      <w:bookmarkStart w:id="9" w:name="_Toc354752406"/>
      <w:r>
        <w:t>Appendix A: Installed and Generated Files</w:t>
      </w:r>
      <w:bookmarkEnd w:id="9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 xml:space="preserve">Executable for </w:t>
      </w:r>
      <w:r>
        <w:rPr>
          <w:rFonts w:ascii="Courier New" w:hAnsi="Courier New"/>
          <w:sz w:val="22"/>
        </w:rPr>
        <w:t>JT9 decoder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 w:rsidR="00DB5845">
        <w:rPr>
          <w:rFonts w:ascii="Courier New" w:hAnsi="Courier New"/>
          <w:sz w:val="22"/>
        </w:rPr>
        <w:tab/>
        <w:t>Special mouse commands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  <w:t>Directory for saved *.wav files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  <w:t>Keyboard shortcuts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  <w:t>Executable for uninstalling WSJT-X</w:t>
      </w:r>
    </w:p>
    <w:p w:rsidR="006F3780" w:rsidRP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  <w:t>WSJT icon</w:t>
      </w:r>
    </w:p>
    <w:p w:rsidR="006F3780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</w:r>
      <w:r w:rsidR="00DB5845">
        <w:rPr>
          <w:rFonts w:ascii="Courier New" w:hAnsi="Courier New"/>
          <w:sz w:val="22"/>
        </w:rPr>
        <w:tab/>
        <w:t>Executable for WSJT-X</w:t>
      </w:r>
    </w:p>
    <w:p w:rsidR="006F3780" w:rsidRPr="00027E83" w:rsidRDefault="006F3780" w:rsidP="006F3780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</w:p>
    <w:p w:rsidR="00DB5845" w:rsidRDefault="00DB5845">
      <w:r>
        <w:br w:type="page"/>
      </w:r>
    </w:p>
    <w:p w:rsidR="0006067F" w:rsidRDefault="0006067F" w:rsidP="0006067F">
      <w:r>
        <w:lastRenderedPageBreak/>
        <w:t xml:space="preserve">In addition, the following *.dll support files will have been installed in your </w:t>
      </w:r>
      <w:r w:rsidR="00DB5845">
        <w:t xml:space="preserve">WSJT-X </w:t>
      </w:r>
      <w:r>
        <w:t>directory</w:t>
      </w:r>
      <w:r w:rsidR="00DB5845">
        <w:t xml:space="preserve">. 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Qt</w:t>
      </w:r>
      <w:proofErr w:type="spellEnd"/>
      <w:r>
        <w:rPr>
          <w:rFonts w:ascii="Courier New" w:hAnsi="Courier New"/>
          <w:sz w:val="22"/>
        </w:rPr>
        <w:t xml:space="preserve"> core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Qt</w:t>
      </w:r>
      <w:proofErr w:type="spellEnd"/>
      <w:r>
        <w:rPr>
          <w:rFonts w:ascii="Courier New" w:hAnsi="Courier New"/>
          <w:sz w:val="22"/>
        </w:rPr>
        <w:t xml:space="preserve"> GUI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3D7807" w:rsidRDefault="003D7807"/>
    <w:p w:rsidR="0006067F" w:rsidRDefault="003D7807" w:rsidP="0006067F">
      <w:r>
        <w:t xml:space="preserve">You might be curious about additional files that appear in the </w:t>
      </w:r>
      <w:r w:rsidR="00DB5845">
        <w:rPr>
          <w:i/>
        </w:rPr>
        <w:t>MWSJT-X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kvasd.dat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Data for the </w:t>
      </w:r>
      <w:proofErr w:type="spellStart"/>
      <w:r>
        <w:rPr>
          <w:rFonts w:ascii="Courier New" w:hAnsi="Courier New"/>
          <w:sz w:val="22"/>
        </w:rPr>
        <w:t>Koetter</w:t>
      </w:r>
      <w:proofErr w:type="spellEnd"/>
      <w:r>
        <w:rPr>
          <w:rFonts w:ascii="Courier New" w:hAnsi="Courier New"/>
          <w:sz w:val="22"/>
        </w:rPr>
        <w:t>-Vardy decoder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692842" w:rsidRPr="004A32DC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 to companion program JT-Alert-X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map65_t</w:t>
      </w:r>
      <w:r w:rsidRPr="004A32DC">
        <w:rPr>
          <w:rFonts w:ascii="Courier New" w:hAnsi="Courier New"/>
          <w:sz w:val="22"/>
        </w:rPr>
        <w:t>x.log</w:t>
      </w:r>
      <w:proofErr w:type="gramEnd"/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Log of all transmitted messages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prefixes.txt</w:t>
      </w:r>
      <w:proofErr w:type="gramEnd"/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List of available add-on DXCC prefixes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 w:rsidRPr="004A32DC">
        <w:rPr>
          <w:rFonts w:ascii="Courier New" w:hAnsi="Courier New"/>
          <w:sz w:val="22"/>
        </w:rPr>
        <w:t>timer.out</w:t>
      </w:r>
      <w:proofErr w:type="spellEnd"/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Pro</w:t>
      </w:r>
      <w:r w:rsidR="003D7807">
        <w:rPr>
          <w:rFonts w:ascii="Courier New" w:hAnsi="Courier New"/>
          <w:sz w:val="22"/>
        </w:rPr>
        <w:t>file showing times in decoder routines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tmp26.txt</w:t>
      </w:r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 w:rsidR="003D7807">
        <w:rPr>
          <w:rFonts w:ascii="Courier New" w:hAnsi="Courier New"/>
          <w:sz w:val="22"/>
        </w:rPr>
        <w:t>Intermediate file used by decoder</w:t>
      </w:r>
    </w:p>
    <w:p w:rsidR="003D7807" w:rsidRDefault="00692842" w:rsidP="00E423A3">
      <w:pPr>
        <w:pStyle w:val="Heading1"/>
      </w:pPr>
      <w:bookmarkStart w:id="10" w:name="JT65_Protocol"/>
      <w:bookmarkStart w:id="11" w:name="_Toc354752407"/>
      <w:bookmarkEnd w:id="10"/>
      <w:r>
        <w:lastRenderedPageBreak/>
        <w:t>Appendix B:  The JT9</w:t>
      </w:r>
      <w:r w:rsidR="00E423A3">
        <w:t xml:space="preserve"> Protocol</w:t>
      </w:r>
      <w:bookmarkEnd w:id="11"/>
    </w:p>
    <w:p w:rsidR="00692842" w:rsidRDefault="00692842" w:rsidP="00692842">
      <w:pPr>
        <w:pStyle w:val="Default"/>
      </w:pPr>
      <w:r>
        <w:t xml:space="preserve">JT9 is a mode designed for making QSOs at MF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symbol intervals are used for synchronization, so a transmission requires a total </w:t>
      </w:r>
      <w:proofErr w:type="gramStart"/>
      <w:r>
        <w:t>of  206</w:t>
      </w:r>
      <w:proofErr w:type="gramEnd"/>
      <w:r>
        <w:t xml:space="preserve">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amplitude, and there are no key clicks.</w:t>
      </w:r>
    </w:p>
    <w:p w:rsidR="00692842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 xml:space="preserve">“JT9-” in the sub-mode names specify </w:t>
      </w:r>
      <w:proofErr w:type="spellStart"/>
      <w:r w:rsidRPr="00FC7105">
        <w:t>TRperiod</w:t>
      </w:r>
      <w:proofErr w:type="spellEnd"/>
      <w:r w:rsidRPr="00FC7105">
        <w:t xml:space="preserve"> in minutes.</w:t>
      </w:r>
    </w:p>
    <w:p w:rsidR="00692842" w:rsidRPr="00FC7105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1B1DE2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1B1DE2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P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3D7807" w:rsidRDefault="00692842" w:rsidP="003D7807">
      <w:pPr>
        <w:pStyle w:val="Heading1"/>
        <w:spacing w:before="120"/>
      </w:pPr>
      <w:bookmarkStart w:id="12" w:name="_Toc26540272"/>
      <w:bookmarkStart w:id="13" w:name="_Toc142881090"/>
      <w:bookmarkStart w:id="14" w:name="_Toc354752408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2"/>
      <w:bookmarkEnd w:id="13"/>
      <w:bookmarkEnd w:id="14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22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23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1E2713">
      <w:footerReference w:type="default" r:id="rId24"/>
      <w:pgSz w:w="12240" w:h="15840"/>
      <w:pgMar w:top="1152" w:right="1440" w:bottom="8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0F1" w:rsidRDefault="00DE00F1" w:rsidP="00BC5C98">
      <w:pPr>
        <w:spacing w:before="0" w:after="0" w:line="240" w:lineRule="auto"/>
      </w:pPr>
      <w:r>
        <w:separator/>
      </w:r>
    </w:p>
  </w:endnote>
  <w:endnote w:type="continuationSeparator" w:id="0">
    <w:p w:rsidR="00DE00F1" w:rsidRDefault="00DE00F1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3746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2FB" w:rsidRDefault="00443D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B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62FB" w:rsidRDefault="00586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0F1" w:rsidRDefault="00DE00F1" w:rsidP="00BC5C98">
      <w:pPr>
        <w:spacing w:before="0" w:after="0" w:line="240" w:lineRule="auto"/>
      </w:pPr>
      <w:r>
        <w:separator/>
      </w:r>
    </w:p>
  </w:footnote>
  <w:footnote w:type="continuationSeparator" w:id="0">
    <w:p w:rsidR="00DE00F1" w:rsidRDefault="00DE00F1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C0AFD"/>
    <w:multiLevelType w:val="hybridMultilevel"/>
    <w:tmpl w:val="14CC4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F1"/>
    <w:rsid w:val="00017B4F"/>
    <w:rsid w:val="00027E83"/>
    <w:rsid w:val="00030ECF"/>
    <w:rsid w:val="00036FFF"/>
    <w:rsid w:val="00042EC7"/>
    <w:rsid w:val="000465F6"/>
    <w:rsid w:val="00054BD7"/>
    <w:rsid w:val="0006067F"/>
    <w:rsid w:val="0007753E"/>
    <w:rsid w:val="00091E7A"/>
    <w:rsid w:val="000A58BD"/>
    <w:rsid w:val="000B57BB"/>
    <w:rsid w:val="000E2A53"/>
    <w:rsid w:val="000E5525"/>
    <w:rsid w:val="000F194F"/>
    <w:rsid w:val="001106A9"/>
    <w:rsid w:val="00113625"/>
    <w:rsid w:val="00123350"/>
    <w:rsid w:val="00132C40"/>
    <w:rsid w:val="00152FB3"/>
    <w:rsid w:val="0017791B"/>
    <w:rsid w:val="001900C5"/>
    <w:rsid w:val="001D1712"/>
    <w:rsid w:val="001E2713"/>
    <w:rsid w:val="00202841"/>
    <w:rsid w:val="00207B9D"/>
    <w:rsid w:val="002253D5"/>
    <w:rsid w:val="00227526"/>
    <w:rsid w:val="00230666"/>
    <w:rsid w:val="0024196A"/>
    <w:rsid w:val="00241A01"/>
    <w:rsid w:val="00250935"/>
    <w:rsid w:val="0025184E"/>
    <w:rsid w:val="00270E16"/>
    <w:rsid w:val="00297487"/>
    <w:rsid w:val="002A7762"/>
    <w:rsid w:val="002C5629"/>
    <w:rsid w:val="002C76F4"/>
    <w:rsid w:val="002E26F5"/>
    <w:rsid w:val="00371E50"/>
    <w:rsid w:val="0037387E"/>
    <w:rsid w:val="003839EB"/>
    <w:rsid w:val="003862D6"/>
    <w:rsid w:val="003B5993"/>
    <w:rsid w:val="003D0E7B"/>
    <w:rsid w:val="003D7576"/>
    <w:rsid w:val="003D7807"/>
    <w:rsid w:val="0041448A"/>
    <w:rsid w:val="004313C9"/>
    <w:rsid w:val="00440636"/>
    <w:rsid w:val="00443DFF"/>
    <w:rsid w:val="00453D31"/>
    <w:rsid w:val="00453E18"/>
    <w:rsid w:val="00454992"/>
    <w:rsid w:val="00472D19"/>
    <w:rsid w:val="00472E6A"/>
    <w:rsid w:val="00483195"/>
    <w:rsid w:val="004906EC"/>
    <w:rsid w:val="004A32DC"/>
    <w:rsid w:val="004A79CE"/>
    <w:rsid w:val="004B6076"/>
    <w:rsid w:val="004B7B32"/>
    <w:rsid w:val="004E498E"/>
    <w:rsid w:val="00512192"/>
    <w:rsid w:val="0052070D"/>
    <w:rsid w:val="00524401"/>
    <w:rsid w:val="00526E73"/>
    <w:rsid w:val="00541AA1"/>
    <w:rsid w:val="005468AD"/>
    <w:rsid w:val="00563ED2"/>
    <w:rsid w:val="00577F88"/>
    <w:rsid w:val="005862FB"/>
    <w:rsid w:val="005975D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92842"/>
    <w:rsid w:val="006A7AF3"/>
    <w:rsid w:val="006C493C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37BCD"/>
    <w:rsid w:val="007417F9"/>
    <w:rsid w:val="00743CA9"/>
    <w:rsid w:val="007628C8"/>
    <w:rsid w:val="00763EBE"/>
    <w:rsid w:val="007663BE"/>
    <w:rsid w:val="007B30BB"/>
    <w:rsid w:val="007B5CF1"/>
    <w:rsid w:val="007C1F7F"/>
    <w:rsid w:val="007E65D7"/>
    <w:rsid w:val="007F1EAB"/>
    <w:rsid w:val="00800731"/>
    <w:rsid w:val="00802474"/>
    <w:rsid w:val="0082263E"/>
    <w:rsid w:val="00825347"/>
    <w:rsid w:val="00840E96"/>
    <w:rsid w:val="00856E91"/>
    <w:rsid w:val="00875AF2"/>
    <w:rsid w:val="00886CC6"/>
    <w:rsid w:val="00893A56"/>
    <w:rsid w:val="008A2210"/>
    <w:rsid w:val="008B6760"/>
    <w:rsid w:val="008C1AF4"/>
    <w:rsid w:val="008C28A0"/>
    <w:rsid w:val="008C76B0"/>
    <w:rsid w:val="008D4196"/>
    <w:rsid w:val="009414F1"/>
    <w:rsid w:val="00942398"/>
    <w:rsid w:val="00945764"/>
    <w:rsid w:val="00965189"/>
    <w:rsid w:val="00983936"/>
    <w:rsid w:val="00984A71"/>
    <w:rsid w:val="009878DB"/>
    <w:rsid w:val="009B7DF0"/>
    <w:rsid w:val="009E2A01"/>
    <w:rsid w:val="009E721C"/>
    <w:rsid w:val="009F7858"/>
    <w:rsid w:val="009F7BC6"/>
    <w:rsid w:val="00A62759"/>
    <w:rsid w:val="00A74D05"/>
    <w:rsid w:val="00A80954"/>
    <w:rsid w:val="00A9710F"/>
    <w:rsid w:val="00AE5CEF"/>
    <w:rsid w:val="00AF189B"/>
    <w:rsid w:val="00AF3FA4"/>
    <w:rsid w:val="00AF6EB2"/>
    <w:rsid w:val="00AF7E16"/>
    <w:rsid w:val="00B10FBB"/>
    <w:rsid w:val="00B36357"/>
    <w:rsid w:val="00BA324D"/>
    <w:rsid w:val="00BC5C98"/>
    <w:rsid w:val="00BD1CE0"/>
    <w:rsid w:val="00BD44DD"/>
    <w:rsid w:val="00BD5DF3"/>
    <w:rsid w:val="00C135FB"/>
    <w:rsid w:val="00C17020"/>
    <w:rsid w:val="00C57A95"/>
    <w:rsid w:val="00C57AC6"/>
    <w:rsid w:val="00C64A38"/>
    <w:rsid w:val="00C73937"/>
    <w:rsid w:val="00C83AA5"/>
    <w:rsid w:val="00C90664"/>
    <w:rsid w:val="00C91E4A"/>
    <w:rsid w:val="00CA11AC"/>
    <w:rsid w:val="00CA2EBE"/>
    <w:rsid w:val="00CE07FD"/>
    <w:rsid w:val="00CF2F5A"/>
    <w:rsid w:val="00CF5B66"/>
    <w:rsid w:val="00D02E2C"/>
    <w:rsid w:val="00D04641"/>
    <w:rsid w:val="00D31C1D"/>
    <w:rsid w:val="00D61396"/>
    <w:rsid w:val="00D7512F"/>
    <w:rsid w:val="00D771EC"/>
    <w:rsid w:val="00D81A30"/>
    <w:rsid w:val="00D96507"/>
    <w:rsid w:val="00DB5736"/>
    <w:rsid w:val="00DB5845"/>
    <w:rsid w:val="00DB7457"/>
    <w:rsid w:val="00DC5B92"/>
    <w:rsid w:val="00DD61B0"/>
    <w:rsid w:val="00DE00F1"/>
    <w:rsid w:val="00E423A3"/>
    <w:rsid w:val="00E57975"/>
    <w:rsid w:val="00E57A26"/>
    <w:rsid w:val="00E81F55"/>
    <w:rsid w:val="00E94951"/>
    <w:rsid w:val="00EA1749"/>
    <w:rsid w:val="00EB5F11"/>
    <w:rsid w:val="00EE1CB0"/>
    <w:rsid w:val="00EE4BD0"/>
    <w:rsid w:val="00EF1C4B"/>
    <w:rsid w:val="00F1303A"/>
    <w:rsid w:val="00F549D5"/>
    <w:rsid w:val="00F61DD2"/>
    <w:rsid w:val="00F67B05"/>
    <w:rsid w:val="00F76D57"/>
    <w:rsid w:val="00F93EEA"/>
    <w:rsid w:val="00F95E64"/>
    <w:rsid w:val="00FB1D4B"/>
    <w:rsid w:val="00FC54FB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ysics.princeton.edu/pulsar/K1JT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developer.berlios.de/projects/wsjt/" TargetMode="External"/><Relationship Id="rId10" Type="http://schemas.openxmlformats.org/officeDocument/2006/relationships/hyperlink" Target="http://www.satsignal.eu/ntp/setup.html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physics.princeton.edu/pulsar/K1JT/map65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gnu.org/copyleft/g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CF27-7DB8-4142-86D6-5B528993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Joseph H. Taylor</cp:lastModifiedBy>
  <cp:revision>5</cp:revision>
  <cp:lastPrinted>2013-04-26T19:13:00Z</cp:lastPrinted>
  <dcterms:created xsi:type="dcterms:W3CDTF">2013-04-26T19:12:00Z</dcterms:created>
  <dcterms:modified xsi:type="dcterms:W3CDTF">2013-04-26T19:13:00Z</dcterms:modified>
</cp:coreProperties>
</file>