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bookmarkStart w:id="0" w:name="_GoBack"/>
      <w:bookmarkEnd w:id="0"/>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A7577C" w:rsidP="0082263E">
      <w:pPr>
        <w:jc w:val="center"/>
        <w:rPr>
          <w:rFonts w:ascii="Arial" w:hAnsi="Arial" w:cs="Arial"/>
          <w:b/>
          <w:color w:val="365F91"/>
        </w:rPr>
      </w:pPr>
      <w:r>
        <w:rPr>
          <w:rFonts w:ascii="Arial" w:hAnsi="Arial" w:cs="Arial"/>
          <w:b/>
          <w:color w:val="365F91"/>
        </w:rPr>
        <w:t>July 12</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A7577C" w:rsidRDefault="00B25351">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1385916" w:history="1">
            <w:r w:rsidR="00A7577C" w:rsidRPr="007E5E59">
              <w:rPr>
                <w:rStyle w:val="Hyperlink"/>
                <w:noProof/>
              </w:rPr>
              <w:t>Introduction</w:t>
            </w:r>
            <w:r w:rsidR="00A7577C">
              <w:rPr>
                <w:noProof/>
                <w:webHidden/>
              </w:rPr>
              <w:tab/>
            </w:r>
            <w:r w:rsidR="00A7577C">
              <w:rPr>
                <w:noProof/>
                <w:webHidden/>
              </w:rPr>
              <w:fldChar w:fldCharType="begin"/>
            </w:r>
            <w:r w:rsidR="00A7577C">
              <w:rPr>
                <w:noProof/>
                <w:webHidden/>
              </w:rPr>
              <w:instrText xml:space="preserve"> PAGEREF _Toc361385916 \h </w:instrText>
            </w:r>
            <w:r w:rsidR="00A7577C">
              <w:rPr>
                <w:noProof/>
                <w:webHidden/>
              </w:rPr>
            </w:r>
            <w:r w:rsidR="00A7577C">
              <w:rPr>
                <w:noProof/>
                <w:webHidden/>
              </w:rPr>
              <w:fldChar w:fldCharType="separate"/>
            </w:r>
            <w:r w:rsidR="00A7577C">
              <w:rPr>
                <w:noProof/>
                <w:webHidden/>
              </w:rPr>
              <w:t>3</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17" w:history="1">
            <w:r w:rsidR="00A7577C" w:rsidRPr="007E5E59">
              <w:rPr>
                <w:rStyle w:val="Hyperlink"/>
                <w:noProof/>
              </w:rPr>
              <w:t>System Requirements</w:t>
            </w:r>
            <w:r w:rsidR="00A7577C">
              <w:rPr>
                <w:noProof/>
                <w:webHidden/>
              </w:rPr>
              <w:tab/>
            </w:r>
            <w:r w:rsidR="00A7577C">
              <w:rPr>
                <w:noProof/>
                <w:webHidden/>
              </w:rPr>
              <w:fldChar w:fldCharType="begin"/>
            </w:r>
            <w:r w:rsidR="00A7577C">
              <w:rPr>
                <w:noProof/>
                <w:webHidden/>
              </w:rPr>
              <w:instrText xml:space="preserve"> PAGEREF _Toc361385917 \h </w:instrText>
            </w:r>
            <w:r w:rsidR="00A7577C">
              <w:rPr>
                <w:noProof/>
                <w:webHidden/>
              </w:rPr>
            </w:r>
            <w:r w:rsidR="00A7577C">
              <w:rPr>
                <w:noProof/>
                <w:webHidden/>
              </w:rPr>
              <w:fldChar w:fldCharType="separate"/>
            </w:r>
            <w:r w:rsidR="00A7577C">
              <w:rPr>
                <w:noProof/>
                <w:webHidden/>
              </w:rPr>
              <w:t>4</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18" w:history="1">
            <w:r w:rsidR="00A7577C" w:rsidRPr="007E5E59">
              <w:rPr>
                <w:rStyle w:val="Hyperlink"/>
                <w:noProof/>
              </w:rPr>
              <w:t>Installation and Setup</w:t>
            </w:r>
            <w:r w:rsidR="00A7577C">
              <w:rPr>
                <w:noProof/>
                <w:webHidden/>
              </w:rPr>
              <w:tab/>
            </w:r>
            <w:r w:rsidR="00A7577C">
              <w:rPr>
                <w:noProof/>
                <w:webHidden/>
              </w:rPr>
              <w:fldChar w:fldCharType="begin"/>
            </w:r>
            <w:r w:rsidR="00A7577C">
              <w:rPr>
                <w:noProof/>
                <w:webHidden/>
              </w:rPr>
              <w:instrText xml:space="preserve"> PAGEREF _Toc361385918 \h </w:instrText>
            </w:r>
            <w:r w:rsidR="00A7577C">
              <w:rPr>
                <w:noProof/>
                <w:webHidden/>
              </w:rPr>
            </w:r>
            <w:r w:rsidR="00A7577C">
              <w:rPr>
                <w:noProof/>
                <w:webHidden/>
              </w:rPr>
              <w:fldChar w:fldCharType="separate"/>
            </w:r>
            <w:r w:rsidR="00A7577C">
              <w:rPr>
                <w:noProof/>
                <w:webHidden/>
              </w:rPr>
              <w:t>4</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19" w:history="1">
            <w:r w:rsidR="00A7577C" w:rsidRPr="007E5E59">
              <w:rPr>
                <w:rStyle w:val="Hyperlink"/>
                <w:noProof/>
              </w:rPr>
              <w:t>Basic Operating Tutorial</w:t>
            </w:r>
            <w:r w:rsidR="00A7577C">
              <w:rPr>
                <w:noProof/>
                <w:webHidden/>
              </w:rPr>
              <w:tab/>
            </w:r>
            <w:r w:rsidR="00A7577C">
              <w:rPr>
                <w:noProof/>
                <w:webHidden/>
              </w:rPr>
              <w:fldChar w:fldCharType="begin"/>
            </w:r>
            <w:r w:rsidR="00A7577C">
              <w:rPr>
                <w:noProof/>
                <w:webHidden/>
              </w:rPr>
              <w:instrText xml:space="preserve"> PAGEREF _Toc361385919 \h </w:instrText>
            </w:r>
            <w:r w:rsidR="00A7577C">
              <w:rPr>
                <w:noProof/>
                <w:webHidden/>
              </w:rPr>
            </w:r>
            <w:r w:rsidR="00A7577C">
              <w:rPr>
                <w:noProof/>
                <w:webHidden/>
              </w:rPr>
              <w:fldChar w:fldCharType="separate"/>
            </w:r>
            <w:r w:rsidR="00A7577C">
              <w:rPr>
                <w:noProof/>
                <w:webHidden/>
              </w:rPr>
              <w:t>6</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20" w:history="1">
            <w:r w:rsidR="00A7577C" w:rsidRPr="007E5E59">
              <w:rPr>
                <w:rStyle w:val="Hyperlink"/>
                <w:noProof/>
              </w:rPr>
              <w:t>Making QSOs</w:t>
            </w:r>
            <w:r w:rsidR="00A7577C">
              <w:rPr>
                <w:noProof/>
                <w:webHidden/>
              </w:rPr>
              <w:tab/>
            </w:r>
            <w:r w:rsidR="00A7577C">
              <w:rPr>
                <w:noProof/>
                <w:webHidden/>
              </w:rPr>
              <w:fldChar w:fldCharType="begin"/>
            </w:r>
            <w:r w:rsidR="00A7577C">
              <w:rPr>
                <w:noProof/>
                <w:webHidden/>
              </w:rPr>
              <w:instrText xml:space="preserve"> PAGEREF _Toc361385920 \h </w:instrText>
            </w:r>
            <w:r w:rsidR="00A7577C">
              <w:rPr>
                <w:noProof/>
                <w:webHidden/>
              </w:rPr>
            </w:r>
            <w:r w:rsidR="00A7577C">
              <w:rPr>
                <w:noProof/>
                <w:webHidden/>
              </w:rPr>
              <w:fldChar w:fldCharType="separate"/>
            </w:r>
            <w:r w:rsidR="00A7577C">
              <w:rPr>
                <w:noProof/>
                <w:webHidden/>
              </w:rPr>
              <w:t>13</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21" w:history="1">
            <w:r w:rsidR="00A7577C" w:rsidRPr="007E5E59">
              <w:rPr>
                <w:rStyle w:val="Hyperlink"/>
                <w:noProof/>
              </w:rPr>
              <w:t>On-Screen Controls</w:t>
            </w:r>
            <w:r w:rsidR="00A7577C">
              <w:rPr>
                <w:noProof/>
                <w:webHidden/>
              </w:rPr>
              <w:tab/>
            </w:r>
            <w:r w:rsidR="00A7577C">
              <w:rPr>
                <w:noProof/>
                <w:webHidden/>
              </w:rPr>
              <w:fldChar w:fldCharType="begin"/>
            </w:r>
            <w:r w:rsidR="00A7577C">
              <w:rPr>
                <w:noProof/>
                <w:webHidden/>
              </w:rPr>
              <w:instrText xml:space="preserve"> PAGEREF _Toc361385921 \h </w:instrText>
            </w:r>
            <w:r w:rsidR="00A7577C">
              <w:rPr>
                <w:noProof/>
                <w:webHidden/>
              </w:rPr>
            </w:r>
            <w:r w:rsidR="00A7577C">
              <w:rPr>
                <w:noProof/>
                <w:webHidden/>
              </w:rPr>
              <w:fldChar w:fldCharType="separate"/>
            </w:r>
            <w:r w:rsidR="00A7577C">
              <w:rPr>
                <w:noProof/>
                <w:webHidden/>
              </w:rPr>
              <w:t>14</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22" w:history="1">
            <w:r w:rsidR="00A7577C" w:rsidRPr="007E5E59">
              <w:rPr>
                <w:rStyle w:val="Hyperlink"/>
                <w:noProof/>
              </w:rPr>
              <w:t>Status Bar</w:t>
            </w:r>
            <w:r w:rsidR="00A7577C">
              <w:rPr>
                <w:noProof/>
                <w:webHidden/>
              </w:rPr>
              <w:tab/>
            </w:r>
            <w:r w:rsidR="00A7577C">
              <w:rPr>
                <w:noProof/>
                <w:webHidden/>
              </w:rPr>
              <w:fldChar w:fldCharType="begin"/>
            </w:r>
            <w:r w:rsidR="00A7577C">
              <w:rPr>
                <w:noProof/>
                <w:webHidden/>
              </w:rPr>
              <w:instrText xml:space="preserve"> PAGEREF _Toc361385922 \h </w:instrText>
            </w:r>
            <w:r w:rsidR="00A7577C">
              <w:rPr>
                <w:noProof/>
                <w:webHidden/>
              </w:rPr>
            </w:r>
            <w:r w:rsidR="00A7577C">
              <w:rPr>
                <w:noProof/>
                <w:webHidden/>
              </w:rPr>
              <w:fldChar w:fldCharType="separate"/>
            </w:r>
            <w:r w:rsidR="00A7577C">
              <w:rPr>
                <w:noProof/>
                <w:webHidden/>
              </w:rPr>
              <w:t>19</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23" w:history="1">
            <w:r w:rsidR="00A7577C" w:rsidRPr="007E5E59">
              <w:rPr>
                <w:rStyle w:val="Hyperlink"/>
                <w:noProof/>
              </w:rPr>
              <w:t>Menus</w:t>
            </w:r>
            <w:r w:rsidR="00A7577C">
              <w:rPr>
                <w:noProof/>
                <w:webHidden/>
              </w:rPr>
              <w:tab/>
            </w:r>
            <w:r w:rsidR="00A7577C">
              <w:rPr>
                <w:noProof/>
                <w:webHidden/>
              </w:rPr>
              <w:fldChar w:fldCharType="begin"/>
            </w:r>
            <w:r w:rsidR="00A7577C">
              <w:rPr>
                <w:noProof/>
                <w:webHidden/>
              </w:rPr>
              <w:instrText xml:space="preserve"> PAGEREF _Toc361385923 \h </w:instrText>
            </w:r>
            <w:r w:rsidR="00A7577C">
              <w:rPr>
                <w:noProof/>
                <w:webHidden/>
              </w:rPr>
            </w:r>
            <w:r w:rsidR="00A7577C">
              <w:rPr>
                <w:noProof/>
                <w:webHidden/>
              </w:rPr>
              <w:fldChar w:fldCharType="separate"/>
            </w:r>
            <w:r w:rsidR="00A7577C">
              <w:rPr>
                <w:noProof/>
                <w:webHidden/>
              </w:rPr>
              <w:t>20</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24" w:history="1">
            <w:r w:rsidR="00A7577C" w:rsidRPr="007E5E59">
              <w:rPr>
                <w:rStyle w:val="Hyperlink"/>
                <w:noProof/>
              </w:rPr>
              <w:t>Keyboard Shortcuts</w:t>
            </w:r>
            <w:r w:rsidR="00A7577C">
              <w:rPr>
                <w:noProof/>
                <w:webHidden/>
              </w:rPr>
              <w:tab/>
            </w:r>
            <w:r w:rsidR="00A7577C">
              <w:rPr>
                <w:noProof/>
                <w:webHidden/>
              </w:rPr>
              <w:fldChar w:fldCharType="begin"/>
            </w:r>
            <w:r w:rsidR="00A7577C">
              <w:rPr>
                <w:noProof/>
                <w:webHidden/>
              </w:rPr>
              <w:instrText xml:space="preserve"> PAGEREF _Toc361385924 \h </w:instrText>
            </w:r>
            <w:r w:rsidR="00A7577C">
              <w:rPr>
                <w:noProof/>
                <w:webHidden/>
              </w:rPr>
            </w:r>
            <w:r w:rsidR="00A7577C">
              <w:rPr>
                <w:noProof/>
                <w:webHidden/>
              </w:rPr>
              <w:fldChar w:fldCharType="separate"/>
            </w:r>
            <w:r w:rsidR="00A7577C">
              <w:rPr>
                <w:noProof/>
                <w:webHidden/>
              </w:rPr>
              <w:t>22</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25" w:history="1">
            <w:r w:rsidR="00A7577C" w:rsidRPr="007E5E59">
              <w:rPr>
                <w:rStyle w:val="Hyperlink"/>
                <w:noProof/>
              </w:rPr>
              <w:t xml:space="preserve">Background on the </w:t>
            </w:r>
            <w:r w:rsidR="00A7577C" w:rsidRPr="007E5E59">
              <w:rPr>
                <w:rStyle w:val="Hyperlink"/>
                <w:i/>
                <w:noProof/>
              </w:rPr>
              <w:t>WSJT-X</w:t>
            </w:r>
            <w:r w:rsidR="00A7577C" w:rsidRPr="007E5E59">
              <w:rPr>
                <w:rStyle w:val="Hyperlink"/>
                <w:noProof/>
              </w:rPr>
              <w:t xml:space="preserve">  Modes</w:t>
            </w:r>
            <w:r w:rsidR="00A7577C">
              <w:rPr>
                <w:noProof/>
                <w:webHidden/>
              </w:rPr>
              <w:tab/>
            </w:r>
            <w:r w:rsidR="00A7577C">
              <w:rPr>
                <w:noProof/>
                <w:webHidden/>
              </w:rPr>
              <w:fldChar w:fldCharType="begin"/>
            </w:r>
            <w:r w:rsidR="00A7577C">
              <w:rPr>
                <w:noProof/>
                <w:webHidden/>
              </w:rPr>
              <w:instrText xml:space="preserve"> PAGEREF _Toc361385925 \h </w:instrText>
            </w:r>
            <w:r w:rsidR="00A7577C">
              <w:rPr>
                <w:noProof/>
                <w:webHidden/>
              </w:rPr>
            </w:r>
            <w:r w:rsidR="00A7577C">
              <w:rPr>
                <w:noProof/>
                <w:webHidden/>
              </w:rPr>
              <w:fldChar w:fldCharType="separate"/>
            </w:r>
            <w:r w:rsidR="00A7577C">
              <w:rPr>
                <w:noProof/>
                <w:webHidden/>
              </w:rPr>
              <w:t>23</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26" w:history="1">
            <w:r w:rsidR="00A7577C" w:rsidRPr="007E5E59">
              <w:rPr>
                <w:rStyle w:val="Hyperlink"/>
                <w:noProof/>
              </w:rPr>
              <w:t>Acknowledgments</w:t>
            </w:r>
            <w:r w:rsidR="00A7577C">
              <w:rPr>
                <w:noProof/>
                <w:webHidden/>
              </w:rPr>
              <w:tab/>
            </w:r>
            <w:r w:rsidR="00A7577C">
              <w:rPr>
                <w:noProof/>
                <w:webHidden/>
              </w:rPr>
              <w:fldChar w:fldCharType="begin"/>
            </w:r>
            <w:r w:rsidR="00A7577C">
              <w:rPr>
                <w:noProof/>
                <w:webHidden/>
              </w:rPr>
              <w:instrText xml:space="preserve"> PAGEREF _Toc361385926 \h </w:instrText>
            </w:r>
            <w:r w:rsidR="00A7577C">
              <w:rPr>
                <w:noProof/>
                <w:webHidden/>
              </w:rPr>
            </w:r>
            <w:r w:rsidR="00A7577C">
              <w:rPr>
                <w:noProof/>
                <w:webHidden/>
              </w:rPr>
              <w:fldChar w:fldCharType="separate"/>
            </w:r>
            <w:r w:rsidR="00A7577C">
              <w:rPr>
                <w:noProof/>
                <w:webHidden/>
              </w:rPr>
              <w:t>25</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27" w:history="1">
            <w:r w:rsidR="00A7577C" w:rsidRPr="007E5E59">
              <w:rPr>
                <w:rStyle w:val="Hyperlink"/>
                <w:noProof/>
              </w:rPr>
              <w:t>Appendix A: Installed and Generated Files</w:t>
            </w:r>
            <w:r w:rsidR="00A7577C">
              <w:rPr>
                <w:noProof/>
                <w:webHidden/>
              </w:rPr>
              <w:tab/>
            </w:r>
            <w:r w:rsidR="00A7577C">
              <w:rPr>
                <w:noProof/>
                <w:webHidden/>
              </w:rPr>
              <w:fldChar w:fldCharType="begin"/>
            </w:r>
            <w:r w:rsidR="00A7577C">
              <w:rPr>
                <w:noProof/>
                <w:webHidden/>
              </w:rPr>
              <w:instrText xml:space="preserve"> PAGEREF _Toc361385927 \h </w:instrText>
            </w:r>
            <w:r w:rsidR="00A7577C">
              <w:rPr>
                <w:noProof/>
                <w:webHidden/>
              </w:rPr>
            </w:r>
            <w:r w:rsidR="00A7577C">
              <w:rPr>
                <w:noProof/>
                <w:webHidden/>
              </w:rPr>
              <w:fldChar w:fldCharType="separate"/>
            </w:r>
            <w:r w:rsidR="00A7577C">
              <w:rPr>
                <w:noProof/>
                <w:webHidden/>
              </w:rPr>
              <w:t>25</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28" w:history="1">
            <w:r w:rsidR="00A7577C" w:rsidRPr="007E5E59">
              <w:rPr>
                <w:rStyle w:val="Hyperlink"/>
                <w:noProof/>
              </w:rPr>
              <w:t>Appendix B:  The JT9 Protocol</w:t>
            </w:r>
            <w:r w:rsidR="00A7577C">
              <w:rPr>
                <w:noProof/>
                <w:webHidden/>
              </w:rPr>
              <w:tab/>
            </w:r>
            <w:r w:rsidR="00A7577C">
              <w:rPr>
                <w:noProof/>
                <w:webHidden/>
              </w:rPr>
              <w:fldChar w:fldCharType="begin"/>
            </w:r>
            <w:r w:rsidR="00A7577C">
              <w:rPr>
                <w:noProof/>
                <w:webHidden/>
              </w:rPr>
              <w:instrText xml:space="preserve"> PAGEREF _Toc361385928 \h </w:instrText>
            </w:r>
            <w:r w:rsidR="00A7577C">
              <w:rPr>
                <w:noProof/>
                <w:webHidden/>
              </w:rPr>
            </w:r>
            <w:r w:rsidR="00A7577C">
              <w:rPr>
                <w:noProof/>
                <w:webHidden/>
              </w:rPr>
              <w:fldChar w:fldCharType="separate"/>
            </w:r>
            <w:r w:rsidR="00A7577C">
              <w:rPr>
                <w:noProof/>
                <w:webHidden/>
              </w:rPr>
              <w:t>27</w:t>
            </w:r>
            <w:r w:rsidR="00A7577C">
              <w:rPr>
                <w:noProof/>
                <w:webHidden/>
              </w:rPr>
              <w:fldChar w:fldCharType="end"/>
            </w:r>
          </w:hyperlink>
        </w:p>
        <w:p w:rsidR="00A7577C" w:rsidRDefault="00C460CF">
          <w:pPr>
            <w:pStyle w:val="TOC1"/>
            <w:tabs>
              <w:tab w:val="right" w:leader="dot" w:pos="9350"/>
            </w:tabs>
            <w:rPr>
              <w:rFonts w:eastAsiaTheme="minorEastAsia" w:cstheme="minorBidi"/>
              <w:noProof/>
              <w:sz w:val="22"/>
              <w:szCs w:val="22"/>
            </w:rPr>
          </w:pPr>
          <w:hyperlink w:anchor="_Toc361385929" w:history="1">
            <w:r w:rsidR="00A7577C" w:rsidRPr="007E5E59">
              <w:rPr>
                <w:rStyle w:val="Hyperlink"/>
                <w:noProof/>
              </w:rPr>
              <w:t>Appendix C:  Source Code</w:t>
            </w:r>
            <w:r w:rsidR="00A7577C">
              <w:rPr>
                <w:noProof/>
                <w:webHidden/>
              </w:rPr>
              <w:tab/>
            </w:r>
            <w:r w:rsidR="00A7577C">
              <w:rPr>
                <w:noProof/>
                <w:webHidden/>
              </w:rPr>
              <w:fldChar w:fldCharType="begin"/>
            </w:r>
            <w:r w:rsidR="00A7577C">
              <w:rPr>
                <w:noProof/>
                <w:webHidden/>
              </w:rPr>
              <w:instrText xml:space="preserve"> PAGEREF _Toc361385929 \h </w:instrText>
            </w:r>
            <w:r w:rsidR="00A7577C">
              <w:rPr>
                <w:noProof/>
                <w:webHidden/>
              </w:rPr>
            </w:r>
            <w:r w:rsidR="00A7577C">
              <w:rPr>
                <w:noProof/>
                <w:webHidden/>
              </w:rPr>
              <w:fldChar w:fldCharType="separate"/>
            </w:r>
            <w:r w:rsidR="00A7577C">
              <w:rPr>
                <w:noProof/>
                <w:webHidden/>
              </w:rPr>
              <w:t>28</w:t>
            </w:r>
            <w:r w:rsidR="00A7577C">
              <w:rPr>
                <w:noProof/>
                <w:webHidden/>
              </w:rPr>
              <w:fldChar w:fldCharType="end"/>
            </w:r>
          </w:hyperlink>
        </w:p>
        <w:p w:rsidR="00EE4BD0" w:rsidRDefault="00B25351">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61385916"/>
      <w:r>
        <w:lastRenderedPageBreak/>
        <w:t>Introduction</w:t>
      </w:r>
      <w:bookmarkEnd w:id="1"/>
    </w:p>
    <w:p w:rsidR="001900C5" w:rsidRDefault="00C460CF"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WSJT-X</w:t>
      </w:r>
      <w:r w:rsidRPr="00602D6D">
        <w:t xml:space="preserve"> </w:t>
      </w:r>
      <w:r>
        <w:t xml:space="preserve"> </w:t>
      </w:r>
      <w:r w:rsidR="009A61D5">
        <w:t xml:space="preserve">offers up to five times the </w:t>
      </w:r>
      <w:r w:rsidRPr="00602D6D">
        <w:t>displayed ban</w:t>
      </w:r>
      <w:r>
        <w:t>dwidth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w:t>
      </w:r>
      <w:r w:rsidR="009A61D5">
        <w:t xml:space="preserve"> — and have t</w:t>
      </w:r>
      <w:r w:rsidRPr="00602D6D">
        <w:t xml:space="preserve">he full range of </w:t>
      </w:r>
      <w:r w:rsidR="009A61D5">
        <w:t xml:space="preserve">JT65 and JT9 </w:t>
      </w:r>
      <w:r w:rsidRPr="00602D6D">
        <w:t xml:space="preserve">frequencies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2" w:name="_Toc361385917"/>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OS X</w:t>
      </w:r>
      <w:r>
        <w:t xml:space="preserve"> </w:t>
      </w:r>
      <w:r w:rsidR="00A7577C">
        <w:t xml:space="preserve">or other </w:t>
      </w:r>
      <w:proofErr w:type="spellStart"/>
      <w:r w:rsidR="00A91748">
        <w:t>unix</w:t>
      </w:r>
      <w:proofErr w:type="spell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61385918"/>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know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r w:rsidR="00E94BB4" w:rsidRPr="00E94BB4">
        <w:rPr>
          <w:rFonts w:eastAsia="Times New Roman"/>
          <w:b/>
        </w:rPr>
        <w:t>Tx</w:t>
      </w:r>
      <w:proofErr w:type="spell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w:t>
      </w:r>
      <w:r w:rsidR="007E6E0F">
        <w:rPr>
          <w:rFonts w:eastAsia="Times New Roman"/>
        </w:rPr>
        <w:lastRenderedPageBreak/>
        <w:t xml:space="preserve">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6793A" w:rsidP="00926C1B">
      <w:pPr>
        <w:spacing w:after="120" w:afterAutospacing="0"/>
        <w:ind w:left="360"/>
        <w:jc w:val="center"/>
        <w:rPr>
          <w:rFonts w:eastAsia="Times New Roman"/>
        </w:rPr>
      </w:pPr>
      <w:r>
        <w:rPr>
          <w:rFonts w:eastAsia="Times New Roman"/>
          <w:noProof/>
        </w:rPr>
        <w:drawing>
          <wp:inline distT="0" distB="0" distL="0" distR="0">
            <wp:extent cx="5448300" cy="506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8300" cy="5067300"/>
                    </a:xfrm>
                    <a:prstGeom prst="rect">
                      <a:avLst/>
                    </a:prstGeom>
                    <a:noFill/>
                    <a:ln>
                      <a:noFill/>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470476">
        <w:rPr>
          <w:rFonts w:eastAsia="Times New Roman"/>
        </w:rPr>
        <w:t xml:space="preserve">or “9999 Ham Radio deluxe”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61385919"/>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r w:rsidR="00944FCF">
        <w:rPr>
          <w:rFonts w:eastAsia="Times New Roman"/>
        </w:rPr>
        <w:t>Tx</w:t>
      </w:r>
      <w:proofErr w:type="spell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and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r w:rsidR="00D558CF" w:rsidRPr="00DF773F">
        <w:t>Tx</w:t>
      </w:r>
      <w:proofErr w:type="spellEnd"/>
      <w:r w:rsidR="00D558CF" w:rsidRPr="00DF773F">
        <w:t xml:space="preserve"> frequency.</w:t>
      </w:r>
    </w:p>
    <w:p w:rsidR="00B30CA2" w:rsidRDefault="00B30CA2" w:rsidP="00E8426B">
      <w:pPr>
        <w:spacing w:after="120" w:afterAutospacing="0"/>
        <w:rPr>
          <w:rFonts w:eastAsia="Times New Roman"/>
        </w:rPr>
      </w:pPr>
    </w:p>
    <w:p w:rsidR="00A91748" w:rsidRPr="00D558CF" w:rsidRDefault="00204B27" w:rsidP="00293F7C">
      <w:pPr>
        <w:spacing w:after="120" w:afterAutospacing="0"/>
        <w:ind w:left="-720"/>
        <w:rPr>
          <w:rFonts w:eastAsia="Times New Roman"/>
        </w:rPr>
      </w:pPr>
      <w:r>
        <w:rPr>
          <w:rFonts w:eastAsia="Times New Roman"/>
          <w:noProof/>
        </w:rPr>
        <w:lastRenderedPageBreak/>
        <w:drawing>
          <wp:inline distT="0" distB="0" distL="0" distR="0">
            <wp:extent cx="6967728" cy="7324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67728" cy="7324344"/>
                    </a:xfrm>
                    <a:prstGeom prst="rect">
                      <a:avLst/>
                    </a:prstGeom>
                    <a:noFill/>
                    <a:ln>
                      <a:noFill/>
                    </a:ln>
                  </pic:spPr>
                </pic:pic>
              </a:graphicData>
            </a:graphic>
          </wp:inline>
        </w:drawing>
      </w: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r w:rsidR="009C72CB" w:rsidRPr="009C72CB">
        <w:rPr>
          <w:rFonts w:eastAsia="Times New Roman"/>
          <w:b/>
        </w:rPr>
        <w:t>Tx</w:t>
      </w:r>
      <w:proofErr w:type="spell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r w:rsidR="00297487">
        <w:rPr>
          <w:rFonts w:eastAsia="Times New Roman"/>
        </w:rPr>
        <w:t>Tx</w:t>
      </w:r>
      <w:proofErr w:type="spell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r w:rsidRPr="00AF3FA4">
        <w:rPr>
          <w:rFonts w:eastAsia="Times New Roman"/>
        </w:rPr>
        <w:t>Tx</w:t>
      </w:r>
      <w:proofErr w:type="spell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r w:rsidR="009C72CB">
        <w:rPr>
          <w:rFonts w:eastAsia="Times New Roman"/>
        </w:rPr>
        <w:t>Tx</w:t>
      </w:r>
      <w:proofErr w:type="spell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r w:rsidR="005A1BA4" w:rsidRPr="005A1BA4">
        <w:rPr>
          <w:rFonts w:eastAsia="Times New Roman"/>
          <w:b/>
        </w:rPr>
        <w:t>Tx</w:t>
      </w:r>
      <w:proofErr w:type="spell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r w:rsidRPr="00F94470">
        <w:rPr>
          <w:rFonts w:eastAsia="Times New Roman"/>
        </w:rPr>
        <w:t>Tx</w:t>
      </w:r>
      <w:proofErr w:type="spell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r w:rsidRPr="00372051">
        <w:rPr>
          <w:rFonts w:eastAsia="Times New Roman"/>
        </w:rPr>
        <w:t>Tx</w:t>
      </w:r>
      <w:proofErr w:type="spell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r w:rsidR="00EC511E" w:rsidRPr="00293F7C">
        <w:rPr>
          <w:rFonts w:eastAsia="Times New Roman"/>
          <w:b/>
        </w:rPr>
        <w:t>Tx</w:t>
      </w:r>
      <w:proofErr w:type="spell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r w:rsidRPr="003B3DB5">
        <w:rPr>
          <w:rFonts w:eastAsia="Times New Roman"/>
        </w:rPr>
        <w:t>Tx</w:t>
      </w:r>
      <w:proofErr w:type="spell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r>
        <w:rPr>
          <w:rFonts w:ascii="Courier New" w:eastAsia="Times New Roman" w:hAnsi="Courier New" w:cs="Courier New"/>
        </w:rPr>
        <w:t>2343  -7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r w:rsidRPr="003B3DB5">
        <w:rPr>
          <w:rFonts w:eastAsia="Times New Roman"/>
        </w:rPr>
        <w:t xml:space="preserve">should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r w:rsidRPr="003B3DB5">
        <w:rPr>
          <w:rFonts w:eastAsia="Times New Roman"/>
        </w:rPr>
        <w:t>Tx</w:t>
      </w:r>
      <w:proofErr w:type="spell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r w:rsidRPr="003B3DB5">
        <w:rPr>
          <w:rFonts w:eastAsia="Times New Roman"/>
        </w:rPr>
        <w:t>Tx</w:t>
      </w:r>
      <w:proofErr w:type="spell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message  </w:t>
      </w:r>
      <w:r w:rsidRPr="00237D09">
        <w:rPr>
          <w:rFonts w:ascii="Courier New" w:hAnsi="Courier New" w:cs="Courier New"/>
        </w:rPr>
        <w:t>CQ DL7ACA JO40</w:t>
      </w:r>
      <w:r w:rsidRPr="00237D09">
        <w:rPr>
          <w:rFonts w:ascii="Courier New,courier" w:hAnsi="Courier New,courier"/>
        </w:rPr>
        <w:t xml:space="preserve">.  </w:t>
      </w:r>
      <w:r>
        <w:t xml:space="preserve">The program will set </w:t>
      </w:r>
      <w:proofErr w:type="spellStart"/>
      <w:r>
        <w:t>Tx</w:t>
      </w:r>
      <w:proofErr w:type="spell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r>
        <w:t>Tx</w:t>
      </w:r>
      <w:proofErr w:type="spellEnd"/>
      <w:r>
        <w:t xml:space="preserve"> mode to JT9 and both frequencies to 3567 Hz.  You’re now configured properly for a JT9 QSO with TA4A.</w:t>
      </w:r>
    </w:p>
    <w:p w:rsidR="00EC511E" w:rsidRDefault="00EC511E">
      <w:r>
        <w:br w:type="page"/>
      </w:r>
    </w:p>
    <w:p w:rsidR="00EC511E" w:rsidRDefault="00EC511E" w:rsidP="00293F7C">
      <w:pPr>
        <w:ind w:left="-864"/>
      </w:pPr>
      <w:r>
        <w:rPr>
          <w:noProof/>
        </w:rPr>
        <w:lastRenderedPageBreak/>
        <w:drawing>
          <wp:inline distT="0" distB="0" distL="0" distR="0">
            <wp:extent cx="6880762" cy="8137906"/>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880762" cy="8137906"/>
                    </a:xfrm>
                    <a:prstGeom prst="rect">
                      <a:avLst/>
                    </a:prstGeom>
                    <a:noFill/>
                    <a:ln w="9525">
                      <a:noFill/>
                      <a:miter lim="800000"/>
                      <a:headEnd/>
                      <a:tailEnd/>
                    </a:ln>
                  </pic:spPr>
                </pic:pic>
              </a:graphicData>
            </a:graphic>
          </wp:inline>
        </w:drawing>
      </w:r>
      <w:r>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roughly </w:t>
      </w:r>
      <w:r w:rsidR="00237D09">
        <w:t xml:space="preserve"> 200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the width of the Wide Graph so that only the active part of</w:t>
      </w:r>
      <w:r w:rsidR="00E94BB4">
        <w:t xml:space="preserve"> the spectrum shows, say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around  –10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w:t>
      </w:r>
      <w:r>
        <w:lastRenderedPageBreak/>
        <w:t xml:space="preserve">SSB transceivers have a fixed </w:t>
      </w:r>
      <w:proofErr w:type="spellStart"/>
      <w:r w:rsidR="00425724">
        <w:t>Tx</w:t>
      </w:r>
      <w:proofErr w:type="spell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r>
        <w:t>Tx</w:t>
      </w:r>
      <w:proofErr w:type="spellEnd"/>
      <w:r>
        <w:t xml:space="preserve"> dial frequency (VFO B) is offset in 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r w:rsidR="00425724" w:rsidRPr="00425724">
        <w:rPr>
          <w:b/>
        </w:rPr>
        <w:t>Tx</w:t>
      </w:r>
      <w:proofErr w:type="spell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than about 2.7 kHz bandwidth.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r w:rsidR="00425724" w:rsidRPr="00425724">
        <w:rPr>
          <w:b/>
        </w:rPr>
        <w:t>+2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1385920"/>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w:t>
      </w:r>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w:t>
      </w:r>
      <w:proofErr w:type="spellStart"/>
      <w:r>
        <w:t>dB.</w:t>
      </w:r>
      <w:proofErr w:type="spellEnd"/>
      <w:r>
        <w:t xml:space="preserve">  </w:t>
      </w:r>
      <w:r w:rsidR="00EB379E">
        <w:t xml:space="preserve"> </w:t>
      </w:r>
      <w:r w:rsidR="00E570A8">
        <w:t>In ideal circumstances t</w:t>
      </w:r>
      <w:r w:rsidR="00EB379E">
        <w:t xml:space="preserve">he </w:t>
      </w:r>
      <w:r>
        <w:t xml:space="preserve">JT65 decoder begins to fail at around –24 dB, </w:t>
      </w:r>
      <w:r w:rsidR="00EB379E">
        <w:t>JT9</w:t>
      </w:r>
      <w:r>
        <w:t xml:space="preserve"> around  –26 </w:t>
      </w:r>
      <w:proofErr w:type="spellStart"/>
      <w:r>
        <w:t>dB</w:t>
      </w:r>
      <w:r w:rsidR="00EB379E">
        <w:t>.</w:t>
      </w:r>
      <w:proofErr w:type="spellEnd"/>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It should be obvious</w:t>
      </w:r>
      <w:r w:rsidR="00926C1B">
        <w:t>,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6" w:name="_Toc361385921"/>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resolution</w:t>
      </w:r>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r>
        <w:t>Tx</w:t>
      </w:r>
      <w:proofErr w:type="spell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8C3F9F" w:rsidP="00A61A03">
      <w:pPr>
        <w:jc w:val="center"/>
      </w:pPr>
      <w:r>
        <w:rPr>
          <w:noProof/>
        </w:rPr>
        <w:drawing>
          <wp:inline distT="0" distB="0" distL="0" distR="0">
            <wp:extent cx="2438400" cy="22669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2438400" cy="2266950"/>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radio</w:t>
      </w:r>
      <w:r w:rsidR="001D3114">
        <w:t>,</w:t>
      </w:r>
      <w:r>
        <w:t xml:space="preserve"> or orange if the control is only from program to radio.  </w:t>
      </w:r>
      <w:r w:rsidR="00A775BF">
        <w:t xml:space="preserve">(You can request a one-time interrogation of the 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lastRenderedPageBreak/>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r w:rsidRPr="003D2DA7">
        <w:rPr>
          <w:b/>
        </w:rPr>
        <w:t>Tx</w:t>
      </w:r>
      <w:proofErr w:type="spell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r>
        <w:t>Tx</w:t>
      </w:r>
      <w:proofErr w:type="spell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r w:rsidR="00C1576F">
        <w:t>Tx</w:t>
      </w:r>
      <w:proofErr w:type="spell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r>
        <w:t>Tx</w:t>
      </w:r>
      <w:proofErr w:type="spell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spellStart"/>
      <w:r w:rsidRPr="005108C8">
        <w:rPr>
          <w:b/>
        </w:rPr>
        <w:t>Std</w:t>
      </w:r>
      <w:proofErr w:type="spell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r>
        <w:t>Tx</w:t>
      </w:r>
      <w:proofErr w:type="spellEnd"/>
      <w:r>
        <w:t xml:space="preserve"> sequence) by cli</w:t>
      </w:r>
      <w:r w:rsidR="000149E5">
        <w:t xml:space="preserve">cking on the circle under </w:t>
      </w:r>
      <w:r w:rsidR="000149E5" w:rsidRPr="000149E5">
        <w:rPr>
          <w:b/>
        </w:rPr>
        <w:t>Next</w:t>
      </w:r>
      <w:r>
        <w:t xml:space="preserve">.  To change to a specified </w:t>
      </w:r>
      <w:proofErr w:type="spellStart"/>
      <w:r>
        <w:t>Tx</w:t>
      </w:r>
      <w:proofErr w:type="spell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r>
        <w:t>Tx</w:t>
      </w:r>
      <w:proofErr w:type="spell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r w:rsidR="000149E5">
        <w:t>Tx</w:t>
      </w:r>
      <w:proofErr w:type="spell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1385922"/>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8" w:name="_Toc361385923"/>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1385924"/>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t>About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t>Decode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r>
        <w:t>Tx</w:t>
      </w:r>
      <w:proofErr w:type="spell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r>
        <w:t>Tx</w:t>
      </w:r>
      <w:proofErr w:type="spell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t>Edit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r w:rsidR="00D91688">
        <w:t>Tx</w:t>
      </w:r>
      <w:proofErr w:type="spell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r w:rsidR="00D91688">
        <w:t>Tx</w:t>
      </w:r>
      <w:proofErr w:type="spell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8F4F14">
      <w:r>
        <w:lastRenderedPageBreak/>
        <w:t>Special Mouse Commands</w:t>
      </w:r>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8D0ECE" w:rsidRDefault="008D0ECE" w:rsidP="008D0ECE">
      <w:pPr>
        <w:pStyle w:val="Heading1"/>
      </w:pPr>
      <w:r>
        <w:t xml:space="preserve">Differences Between JT65 and JT9 </w:t>
      </w:r>
    </w:p>
    <w:p w:rsidR="008D0ECE" w:rsidRDefault="008D0ECE" w:rsidP="008D0ECE">
      <w:r>
        <w:t xml:space="preserve">JT65 is a mature mode that has been described in detail </w:t>
      </w:r>
      <w:r w:rsidR="00483EE4">
        <w:t>some years ago</w:t>
      </w:r>
      <w:r>
        <w:rPr>
          <w:rStyle w:val="FootnoteReference"/>
        </w:rPr>
        <w:footnoteReference w:id="2"/>
      </w:r>
      <w:r w:rsidR="00483EE4">
        <w:t>;</w:t>
      </w:r>
      <w:r>
        <w:t xml:space="preserve"> details of the JT9 protocol are presented in Appendix A of this </w:t>
      </w:r>
      <w:r w:rsidRPr="008D0ECE">
        <w:rPr>
          <w:i/>
        </w:rPr>
        <w:t>Guide</w:t>
      </w:r>
      <w:r>
        <w:t xml:space="preserve">.  To users already familiar with JT65, the most striking difference of JT9 is its much smaller occupied </w:t>
      </w:r>
      <w:r w:rsidR="00483EE4">
        <w:t>bandwidth of</w:t>
      </w:r>
      <w:r>
        <w:t xml:space="preserve"> 15.6 Hz, compared with 177.6 Hz for JT65A.  Transmissions </w:t>
      </w:r>
      <w:r w:rsidR="00483EE4">
        <w:t xml:space="preserve">in the two modes </w:t>
      </w:r>
      <w:r>
        <w:t>are essentially the same length</w:t>
      </w:r>
      <w:r w:rsidR="00483EE4">
        <w:t>,</w:t>
      </w:r>
      <w:r>
        <w:t xml:space="preserve"> and </w:t>
      </w:r>
      <w:r w:rsidR="00483EE4">
        <w:t xml:space="preserve">at the user level </w:t>
      </w:r>
      <w:r>
        <w:t>use the same message structure.  JT65 signal reports are constrained to the rang</w:t>
      </w:r>
      <w:r w:rsidR="00483EE4">
        <w:t xml:space="preserve">e –1 to –30 dB — </w:t>
      </w:r>
      <w:r>
        <w:t>more than adequate</w:t>
      </w:r>
      <w:r w:rsidR="00483EE4">
        <w:t xml:space="preserve"> for EME purposes, but not really for HF use.  S/N values displayed by the JT65 decoder are capped at –1 dB, because that’s all the original protocol could handle</w:t>
      </w:r>
      <w:r w:rsidR="006D3523">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 xml:space="preserve">bove –10 </w:t>
      </w:r>
      <w:proofErr w:type="spellStart"/>
      <w:r w:rsidR="006D3523">
        <w:t>dB.</w:t>
      </w:r>
      <w:proofErr w:type="spellEnd"/>
      <w:r w:rsidR="00483EE4">
        <w:t xml:space="preserve">  </w:t>
      </w:r>
      <w:r w:rsidR="006D3523">
        <w:t xml:space="preserve">JT9 allows for signal reports in the range –50 to +49 </w:t>
      </w:r>
      <w:proofErr w:type="spellStart"/>
      <w:r w:rsidR="006D3523">
        <w:t>dB.</w:t>
      </w:r>
      <w:proofErr w:type="spellEnd"/>
      <w:r w:rsidR="006D3523">
        <w:t xml:space="preserve">  It does this by co-opting a small amount of message space otherwise used to convey grid locators within 1 degree of the south pole. The S/N scale of the present JT9 decoder is reasonably linear, although it’s not intended as a precision measurement tool.  </w:t>
      </w:r>
      <w:r w:rsidR="00483EE4">
        <w:t xml:space="preserve">With clean signals in a clean nose background, JT65 achieves nearly 100% decoding probability down to </w:t>
      </w:r>
      <w:r w:rsidR="006D3523">
        <w:t xml:space="preserve">S/N = </w:t>
      </w:r>
      <w:r w:rsidR="00483EE4">
        <w:t>–2</w:t>
      </w:r>
      <w:r w:rsidR="006D3523">
        <w:t>2</w:t>
      </w:r>
      <w:r w:rsidR="00483EE4">
        <w:t xml:space="preserve"> dB and 50% at –24 </w:t>
      </w:r>
      <w:proofErr w:type="spellStart"/>
      <w:r w:rsidR="00483EE4">
        <w:t>dB.</w:t>
      </w:r>
      <w:proofErr w:type="spellEnd"/>
      <w:r w:rsidR="00483EE4">
        <w:t xml:space="preserve">  JT9 is about 2 dB better, reaching 50% </w:t>
      </w:r>
      <w:r w:rsidR="006D3523">
        <w:t xml:space="preserve">decoding </w:t>
      </w:r>
      <w:r w:rsidR="00483EE4">
        <w:t xml:space="preserve">at about –26 </w:t>
      </w:r>
      <w:proofErr w:type="spellStart"/>
      <w:r w:rsidR="00483EE4">
        <w:t>dB.</w:t>
      </w:r>
      <w:proofErr w:type="spellEnd"/>
    </w:p>
    <w:p w:rsidR="006D3523" w:rsidRDefault="006D3523" w:rsidP="008D0ECE">
      <w:r>
        <w:t xml:space="preserve">Early experience suggests that under most HF propagation conditions the two modes have comparable reliability, with perhaps a slight edge to JT9.  </w:t>
      </w:r>
      <w:r w:rsidR="00544BDD">
        <w:t>In spectral efficiency JT9 is an order of magnitude better.  On a busy HF band the 2-kHz-wide JT65 is often filled “wall-to-wall” with signals.  Ten times as many JT9 signals could fit into the same space, without overlap.</w:t>
      </w:r>
    </w:p>
    <w:p w:rsidR="001A092F" w:rsidRDefault="001A092F" w:rsidP="001A092F">
      <w:pPr>
        <w:pStyle w:val="Heading1"/>
        <w:spacing w:before="100" w:after="100"/>
      </w:pPr>
      <w:bookmarkStart w:id="10" w:name="_Toc361385928"/>
      <w:r>
        <w:lastRenderedPageBreak/>
        <w:t>Appendix A:  The JT9 Protocol</w:t>
      </w:r>
      <w:bookmarkEnd w:id="10"/>
      <w:r w:rsidR="004112D4">
        <w:t xml:space="preserve"> </w:t>
      </w:r>
      <w:r w:rsidR="00820034">
        <w:t xml:space="preserve">and </w:t>
      </w:r>
      <w:r w:rsidR="008D0ECE">
        <w:t xml:space="preserve">its </w:t>
      </w:r>
      <w:r w:rsidR="00820034">
        <w:t xml:space="preserve">Implementation in </w:t>
      </w:r>
      <w:r w:rsidR="00820034" w:rsidRPr="00820034">
        <w:rPr>
          <w:i/>
        </w:rPr>
        <w:t>WSJT-X</w:t>
      </w:r>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r>
        <w:t>df</w:t>
      </w:r>
      <w:proofErr w:type="spell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r>
        <w:t>df</w:t>
      </w:r>
      <w:proofErr w:type="spellEnd"/>
      <w:r>
        <w:t>.  The generated signal has continuous phase and constant amplitude, and there are no key clicks.</w:t>
      </w:r>
    </w:p>
    <w:p w:rsidR="001A092F" w:rsidRPr="00FC7105" w:rsidRDefault="004112D4" w:rsidP="001A092F">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these submodes are summarized in the following table, along with approximate decoding thresholds measured by simulation on an 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820034">
        <w:t xml:space="preserve">, JT9 implies submode JT9-1 — the only submode implemented in current versions of </w:t>
      </w:r>
      <w:r w:rsidR="00820034" w:rsidRPr="00820034">
        <w:rPr>
          <w:i/>
        </w:rPr>
        <w:t>WSJT-X</w:t>
      </w:r>
      <w:r w:rsidR="00820034">
        <w:t>.</w:t>
      </w:r>
    </w:p>
    <w:p w:rsidR="001A092F" w:rsidRPr="00FC7105" w:rsidRDefault="001A092F" w:rsidP="001A092F">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1A092F" w:rsidRPr="00FC7105" w:rsidTr="005027EC">
        <w:tc>
          <w:tcPr>
            <w:tcW w:w="1250" w:type="dxa"/>
          </w:tcPr>
          <w:p w:rsidR="001A092F" w:rsidRPr="00FC7105" w:rsidRDefault="001A092F" w:rsidP="005027EC">
            <w:pPr>
              <w:pStyle w:val="Default"/>
              <w:jc w:val="center"/>
            </w:pPr>
            <w:r w:rsidRPr="00FC7105">
              <w:t>Submode</w:t>
            </w:r>
          </w:p>
        </w:tc>
        <w:tc>
          <w:tcPr>
            <w:tcW w:w="951" w:type="dxa"/>
          </w:tcPr>
          <w:p w:rsidR="001A092F" w:rsidRPr="00FC7105" w:rsidRDefault="001A092F" w:rsidP="005027EC">
            <w:pPr>
              <w:pStyle w:val="Default"/>
              <w:jc w:val="center"/>
            </w:pPr>
            <w:proofErr w:type="spellStart"/>
            <w:r w:rsidRPr="00FC7105">
              <w:t>nsps</w:t>
            </w:r>
            <w:proofErr w:type="spellEnd"/>
          </w:p>
        </w:tc>
        <w:tc>
          <w:tcPr>
            <w:tcW w:w="1122" w:type="dxa"/>
          </w:tcPr>
          <w:p w:rsidR="001A092F" w:rsidRPr="00FC7105" w:rsidRDefault="001A092F" w:rsidP="005027EC">
            <w:pPr>
              <w:pStyle w:val="Default"/>
              <w:jc w:val="center"/>
            </w:pPr>
            <w:r w:rsidRPr="00FC7105">
              <w:t>Symbol Duration</w:t>
            </w:r>
          </w:p>
          <w:p w:rsidR="001A092F" w:rsidRPr="00FC7105" w:rsidRDefault="001A092F" w:rsidP="005027EC">
            <w:pPr>
              <w:pStyle w:val="Default"/>
              <w:jc w:val="center"/>
            </w:pPr>
            <w:r w:rsidRPr="00FC7105">
              <w:t>(s)</w:t>
            </w:r>
          </w:p>
        </w:tc>
        <w:tc>
          <w:tcPr>
            <w:tcW w:w="1088" w:type="dxa"/>
          </w:tcPr>
          <w:p w:rsidR="001A092F" w:rsidRPr="00FC7105" w:rsidRDefault="001A092F" w:rsidP="005027EC">
            <w:pPr>
              <w:pStyle w:val="Default"/>
              <w:jc w:val="center"/>
            </w:pPr>
            <w:r w:rsidRPr="00FC7105">
              <w:t>Tone Spacing (Hz)</w:t>
            </w:r>
          </w:p>
        </w:tc>
        <w:tc>
          <w:tcPr>
            <w:tcW w:w="1308" w:type="dxa"/>
          </w:tcPr>
          <w:p w:rsidR="001A092F" w:rsidRPr="00FC7105" w:rsidRDefault="001A092F" w:rsidP="005027EC">
            <w:pPr>
              <w:pStyle w:val="Default"/>
              <w:jc w:val="center"/>
            </w:pPr>
            <w:r w:rsidRPr="00FC7105">
              <w:t>Signal Bandwidth (Hz)</w:t>
            </w:r>
          </w:p>
        </w:tc>
        <w:tc>
          <w:tcPr>
            <w:tcW w:w="1316" w:type="dxa"/>
          </w:tcPr>
          <w:p w:rsidR="001A092F" w:rsidRPr="00FC7105" w:rsidRDefault="001A092F" w:rsidP="005027EC">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5027EC">
            <w:pPr>
              <w:pStyle w:val="Default"/>
              <w:jc w:val="center"/>
            </w:pPr>
            <w:r w:rsidRPr="00FC7105">
              <w:t>QSO Time (minutes)</w:t>
            </w:r>
          </w:p>
        </w:tc>
      </w:tr>
      <w:tr w:rsidR="001A092F" w:rsidRPr="00FC7105" w:rsidTr="005027EC">
        <w:tc>
          <w:tcPr>
            <w:tcW w:w="1250" w:type="dxa"/>
          </w:tcPr>
          <w:p w:rsidR="001A092F" w:rsidRPr="00FC7105" w:rsidRDefault="001A092F" w:rsidP="005027EC">
            <w:pPr>
              <w:pStyle w:val="Default"/>
            </w:pPr>
            <w:r w:rsidRPr="00FC7105">
              <w:t>JT9-1</w:t>
            </w:r>
          </w:p>
        </w:tc>
        <w:tc>
          <w:tcPr>
            <w:tcW w:w="951" w:type="dxa"/>
          </w:tcPr>
          <w:p w:rsidR="001A092F" w:rsidRPr="00FC7105" w:rsidRDefault="001A092F" w:rsidP="005027EC">
            <w:pPr>
              <w:pStyle w:val="Default"/>
              <w:jc w:val="center"/>
            </w:pPr>
            <w:r w:rsidRPr="00FC7105">
              <w:t>6912</w:t>
            </w:r>
          </w:p>
        </w:tc>
        <w:tc>
          <w:tcPr>
            <w:tcW w:w="1122" w:type="dxa"/>
            <w:vAlign w:val="center"/>
          </w:tcPr>
          <w:p w:rsidR="001A092F" w:rsidRPr="00FC7105" w:rsidRDefault="001A092F" w:rsidP="005027EC">
            <w:pPr>
              <w:pStyle w:val="Default"/>
              <w:jc w:val="center"/>
            </w:pPr>
            <w:r w:rsidRPr="00FC7105">
              <w:t>0.58</w:t>
            </w:r>
          </w:p>
        </w:tc>
        <w:tc>
          <w:tcPr>
            <w:tcW w:w="1088" w:type="dxa"/>
            <w:vAlign w:val="center"/>
          </w:tcPr>
          <w:p w:rsidR="001A092F" w:rsidRPr="00FC7105" w:rsidRDefault="001A092F" w:rsidP="005027EC">
            <w:pPr>
              <w:pStyle w:val="Default"/>
              <w:jc w:val="center"/>
            </w:pPr>
            <w:r w:rsidRPr="00FC7105">
              <w:t>1.736</w:t>
            </w:r>
          </w:p>
        </w:tc>
        <w:tc>
          <w:tcPr>
            <w:tcW w:w="1308" w:type="dxa"/>
            <w:vAlign w:val="center"/>
          </w:tcPr>
          <w:p w:rsidR="001A092F" w:rsidRPr="00FC7105" w:rsidRDefault="001A092F" w:rsidP="005027EC">
            <w:pPr>
              <w:pStyle w:val="Default"/>
              <w:jc w:val="center"/>
            </w:pPr>
            <w:r w:rsidRPr="00FC7105">
              <w:t>15.6</w:t>
            </w:r>
          </w:p>
        </w:tc>
        <w:tc>
          <w:tcPr>
            <w:tcW w:w="1316" w:type="dxa"/>
            <w:vAlign w:val="center"/>
          </w:tcPr>
          <w:p w:rsidR="001A092F" w:rsidRPr="00FC7105" w:rsidRDefault="001A092F" w:rsidP="005027EC">
            <w:pPr>
              <w:pStyle w:val="Default"/>
              <w:jc w:val="center"/>
            </w:pPr>
            <w:r w:rsidRPr="00FC7105">
              <w:t>-27</w:t>
            </w:r>
          </w:p>
        </w:tc>
        <w:tc>
          <w:tcPr>
            <w:tcW w:w="1191" w:type="dxa"/>
            <w:vAlign w:val="center"/>
          </w:tcPr>
          <w:p w:rsidR="001A092F" w:rsidRPr="00FC7105" w:rsidRDefault="001A092F" w:rsidP="005027EC">
            <w:pPr>
              <w:pStyle w:val="Default"/>
              <w:jc w:val="center"/>
            </w:pPr>
            <w:r w:rsidRPr="00FC7105">
              <w:t>6</w:t>
            </w:r>
          </w:p>
        </w:tc>
      </w:tr>
      <w:tr w:rsidR="001A092F" w:rsidRPr="00FC7105" w:rsidTr="005027EC">
        <w:tc>
          <w:tcPr>
            <w:tcW w:w="1250" w:type="dxa"/>
          </w:tcPr>
          <w:p w:rsidR="001A092F" w:rsidRPr="00FC7105" w:rsidRDefault="001A092F" w:rsidP="005027EC">
            <w:pPr>
              <w:pStyle w:val="Default"/>
            </w:pPr>
            <w:r w:rsidRPr="00FC7105">
              <w:t>JT9-2</w:t>
            </w:r>
          </w:p>
        </w:tc>
        <w:tc>
          <w:tcPr>
            <w:tcW w:w="951" w:type="dxa"/>
          </w:tcPr>
          <w:p w:rsidR="001A092F" w:rsidRPr="00FC7105" w:rsidRDefault="001A092F" w:rsidP="005027EC">
            <w:pPr>
              <w:pStyle w:val="Default"/>
              <w:jc w:val="center"/>
            </w:pPr>
            <w:r w:rsidRPr="00FC7105">
              <w:t>15360</w:t>
            </w:r>
          </w:p>
        </w:tc>
        <w:tc>
          <w:tcPr>
            <w:tcW w:w="1122" w:type="dxa"/>
            <w:vAlign w:val="center"/>
          </w:tcPr>
          <w:p w:rsidR="001A092F" w:rsidRPr="00FC7105" w:rsidRDefault="001A092F" w:rsidP="005027EC">
            <w:pPr>
              <w:pStyle w:val="Default"/>
              <w:jc w:val="center"/>
            </w:pPr>
            <w:r w:rsidRPr="00FC7105">
              <w:t>1.28</w:t>
            </w:r>
          </w:p>
        </w:tc>
        <w:tc>
          <w:tcPr>
            <w:tcW w:w="1088" w:type="dxa"/>
            <w:vAlign w:val="center"/>
          </w:tcPr>
          <w:p w:rsidR="001A092F" w:rsidRPr="00FC7105" w:rsidRDefault="001A092F" w:rsidP="005027EC">
            <w:pPr>
              <w:pStyle w:val="Default"/>
              <w:jc w:val="center"/>
            </w:pPr>
            <w:r w:rsidRPr="00FC7105">
              <w:t>0.781</w:t>
            </w:r>
          </w:p>
        </w:tc>
        <w:tc>
          <w:tcPr>
            <w:tcW w:w="1308" w:type="dxa"/>
            <w:vAlign w:val="center"/>
          </w:tcPr>
          <w:p w:rsidR="001A092F" w:rsidRPr="00FC7105" w:rsidRDefault="001A092F" w:rsidP="005027EC">
            <w:pPr>
              <w:pStyle w:val="Default"/>
              <w:jc w:val="center"/>
            </w:pPr>
            <w:r w:rsidRPr="00FC7105">
              <w:t>7.0</w:t>
            </w:r>
          </w:p>
        </w:tc>
        <w:tc>
          <w:tcPr>
            <w:tcW w:w="1316" w:type="dxa"/>
            <w:vAlign w:val="center"/>
          </w:tcPr>
          <w:p w:rsidR="001A092F" w:rsidRPr="00FC7105" w:rsidRDefault="001A092F" w:rsidP="005027EC">
            <w:pPr>
              <w:pStyle w:val="Default"/>
              <w:jc w:val="center"/>
            </w:pPr>
            <w:r w:rsidRPr="00FC7105">
              <w:t>-30</w:t>
            </w:r>
          </w:p>
        </w:tc>
        <w:tc>
          <w:tcPr>
            <w:tcW w:w="1191" w:type="dxa"/>
            <w:vAlign w:val="center"/>
          </w:tcPr>
          <w:p w:rsidR="001A092F" w:rsidRPr="00FC7105" w:rsidRDefault="001A092F" w:rsidP="005027EC">
            <w:pPr>
              <w:pStyle w:val="Default"/>
              <w:jc w:val="center"/>
            </w:pPr>
            <w:r w:rsidRPr="00FC7105">
              <w:t>12</w:t>
            </w:r>
          </w:p>
        </w:tc>
      </w:tr>
      <w:tr w:rsidR="001A092F" w:rsidRPr="00FC7105" w:rsidTr="005027EC">
        <w:tc>
          <w:tcPr>
            <w:tcW w:w="1250" w:type="dxa"/>
          </w:tcPr>
          <w:p w:rsidR="001A092F" w:rsidRPr="00FC7105" w:rsidRDefault="001A092F" w:rsidP="005027EC">
            <w:pPr>
              <w:pStyle w:val="Default"/>
            </w:pPr>
            <w:r w:rsidRPr="00FC7105">
              <w:t>JT9-5</w:t>
            </w:r>
          </w:p>
        </w:tc>
        <w:tc>
          <w:tcPr>
            <w:tcW w:w="951" w:type="dxa"/>
          </w:tcPr>
          <w:p w:rsidR="001A092F" w:rsidRPr="00FC7105" w:rsidRDefault="001A092F" w:rsidP="005027EC">
            <w:pPr>
              <w:pStyle w:val="Default"/>
              <w:jc w:val="center"/>
            </w:pPr>
            <w:r w:rsidRPr="00FC7105">
              <w:t>40960</w:t>
            </w:r>
          </w:p>
        </w:tc>
        <w:tc>
          <w:tcPr>
            <w:tcW w:w="1122" w:type="dxa"/>
            <w:vAlign w:val="center"/>
          </w:tcPr>
          <w:p w:rsidR="001A092F" w:rsidRPr="00FC7105" w:rsidRDefault="001A092F" w:rsidP="005027EC">
            <w:pPr>
              <w:pStyle w:val="Default"/>
              <w:jc w:val="center"/>
            </w:pPr>
            <w:r w:rsidRPr="00FC7105">
              <w:t>3.41</w:t>
            </w:r>
          </w:p>
        </w:tc>
        <w:tc>
          <w:tcPr>
            <w:tcW w:w="1088" w:type="dxa"/>
            <w:vAlign w:val="center"/>
          </w:tcPr>
          <w:p w:rsidR="001A092F" w:rsidRPr="00FC7105" w:rsidRDefault="001A092F" w:rsidP="005027EC">
            <w:pPr>
              <w:pStyle w:val="Default"/>
              <w:jc w:val="center"/>
            </w:pPr>
            <w:r w:rsidRPr="00FC7105">
              <w:t>0.293</w:t>
            </w:r>
          </w:p>
        </w:tc>
        <w:tc>
          <w:tcPr>
            <w:tcW w:w="1308" w:type="dxa"/>
            <w:vAlign w:val="center"/>
          </w:tcPr>
          <w:p w:rsidR="001A092F" w:rsidRPr="00FC7105" w:rsidRDefault="001A092F" w:rsidP="005027EC">
            <w:pPr>
              <w:pStyle w:val="Default"/>
              <w:jc w:val="center"/>
            </w:pPr>
            <w:r w:rsidRPr="00FC7105">
              <w:t>2.6</w:t>
            </w:r>
          </w:p>
        </w:tc>
        <w:tc>
          <w:tcPr>
            <w:tcW w:w="1316" w:type="dxa"/>
            <w:vAlign w:val="center"/>
          </w:tcPr>
          <w:p w:rsidR="001A092F" w:rsidRPr="00FC7105" w:rsidRDefault="001A092F" w:rsidP="005027EC">
            <w:pPr>
              <w:pStyle w:val="Default"/>
              <w:jc w:val="center"/>
            </w:pPr>
            <w:r w:rsidRPr="00FC7105">
              <w:t>-34</w:t>
            </w:r>
          </w:p>
        </w:tc>
        <w:tc>
          <w:tcPr>
            <w:tcW w:w="1191" w:type="dxa"/>
            <w:vAlign w:val="center"/>
          </w:tcPr>
          <w:p w:rsidR="001A092F" w:rsidRPr="00FC7105" w:rsidRDefault="001A092F" w:rsidP="005027EC">
            <w:pPr>
              <w:pStyle w:val="Default"/>
              <w:jc w:val="center"/>
            </w:pPr>
            <w:r w:rsidRPr="00FC7105">
              <w:t>30</w:t>
            </w:r>
          </w:p>
        </w:tc>
      </w:tr>
      <w:tr w:rsidR="001A092F" w:rsidRPr="00FC7105" w:rsidTr="005027EC">
        <w:tc>
          <w:tcPr>
            <w:tcW w:w="1250" w:type="dxa"/>
          </w:tcPr>
          <w:p w:rsidR="001A092F" w:rsidRPr="00FC7105" w:rsidRDefault="001A092F" w:rsidP="005027EC">
            <w:pPr>
              <w:pStyle w:val="Default"/>
            </w:pPr>
            <w:r w:rsidRPr="00FC7105">
              <w:t>JT9-10</w:t>
            </w:r>
          </w:p>
        </w:tc>
        <w:tc>
          <w:tcPr>
            <w:tcW w:w="951" w:type="dxa"/>
          </w:tcPr>
          <w:p w:rsidR="001A092F" w:rsidRPr="00FC7105" w:rsidRDefault="001A092F" w:rsidP="005027EC">
            <w:pPr>
              <w:pStyle w:val="Default"/>
              <w:jc w:val="center"/>
            </w:pPr>
            <w:r w:rsidRPr="00FC7105">
              <w:t>82944</w:t>
            </w:r>
          </w:p>
        </w:tc>
        <w:tc>
          <w:tcPr>
            <w:tcW w:w="1122" w:type="dxa"/>
            <w:vAlign w:val="center"/>
          </w:tcPr>
          <w:p w:rsidR="001A092F" w:rsidRPr="00FC7105" w:rsidRDefault="001A092F" w:rsidP="005027EC">
            <w:pPr>
              <w:pStyle w:val="Default"/>
              <w:jc w:val="center"/>
            </w:pPr>
            <w:r w:rsidRPr="00FC7105">
              <w:t>6.91</w:t>
            </w:r>
          </w:p>
        </w:tc>
        <w:tc>
          <w:tcPr>
            <w:tcW w:w="1088" w:type="dxa"/>
            <w:vAlign w:val="center"/>
          </w:tcPr>
          <w:p w:rsidR="001A092F" w:rsidRPr="00FC7105" w:rsidRDefault="001A092F" w:rsidP="005027EC">
            <w:pPr>
              <w:pStyle w:val="Default"/>
              <w:jc w:val="center"/>
            </w:pPr>
            <w:r w:rsidRPr="00FC7105">
              <w:t>0.145</w:t>
            </w:r>
          </w:p>
        </w:tc>
        <w:tc>
          <w:tcPr>
            <w:tcW w:w="1308" w:type="dxa"/>
            <w:vAlign w:val="center"/>
          </w:tcPr>
          <w:p w:rsidR="001A092F" w:rsidRPr="00FC7105" w:rsidRDefault="001A092F" w:rsidP="005027EC">
            <w:pPr>
              <w:pStyle w:val="Default"/>
              <w:jc w:val="center"/>
            </w:pPr>
            <w:r w:rsidRPr="00FC7105">
              <w:t>1.3</w:t>
            </w:r>
          </w:p>
        </w:tc>
        <w:tc>
          <w:tcPr>
            <w:tcW w:w="1316" w:type="dxa"/>
            <w:vAlign w:val="center"/>
          </w:tcPr>
          <w:p w:rsidR="001A092F" w:rsidRPr="00FC7105" w:rsidRDefault="001A092F" w:rsidP="005027EC">
            <w:pPr>
              <w:pStyle w:val="Default"/>
              <w:jc w:val="center"/>
            </w:pPr>
            <w:r w:rsidRPr="00FC7105">
              <w:t>-37</w:t>
            </w:r>
          </w:p>
        </w:tc>
        <w:tc>
          <w:tcPr>
            <w:tcW w:w="1191" w:type="dxa"/>
            <w:vAlign w:val="center"/>
          </w:tcPr>
          <w:p w:rsidR="001A092F" w:rsidRPr="00FC7105" w:rsidRDefault="001A092F" w:rsidP="005027EC">
            <w:pPr>
              <w:pStyle w:val="Default"/>
              <w:jc w:val="center"/>
            </w:pPr>
            <w:r w:rsidRPr="00FC7105">
              <w:t>60</w:t>
            </w:r>
          </w:p>
        </w:tc>
      </w:tr>
      <w:tr w:rsidR="001A092F" w:rsidRPr="00FC7105" w:rsidTr="005027EC">
        <w:tc>
          <w:tcPr>
            <w:tcW w:w="1250" w:type="dxa"/>
          </w:tcPr>
          <w:p w:rsidR="001A092F" w:rsidRPr="00FC7105" w:rsidRDefault="001A092F" w:rsidP="005027EC">
            <w:pPr>
              <w:pStyle w:val="Default"/>
            </w:pPr>
            <w:r w:rsidRPr="00FC7105">
              <w:t>JT9-30</w:t>
            </w:r>
          </w:p>
        </w:tc>
        <w:tc>
          <w:tcPr>
            <w:tcW w:w="951" w:type="dxa"/>
          </w:tcPr>
          <w:p w:rsidR="001A092F" w:rsidRPr="00FC7105" w:rsidRDefault="001A092F" w:rsidP="005027EC">
            <w:pPr>
              <w:pStyle w:val="Default"/>
              <w:jc w:val="center"/>
            </w:pPr>
            <w:r w:rsidRPr="00FC7105">
              <w:t>252000</w:t>
            </w:r>
          </w:p>
        </w:tc>
        <w:tc>
          <w:tcPr>
            <w:tcW w:w="1122" w:type="dxa"/>
            <w:vAlign w:val="center"/>
          </w:tcPr>
          <w:p w:rsidR="001A092F" w:rsidRPr="00FC7105" w:rsidRDefault="001A092F" w:rsidP="005027EC">
            <w:pPr>
              <w:pStyle w:val="Default"/>
              <w:jc w:val="center"/>
            </w:pPr>
            <w:r w:rsidRPr="00FC7105">
              <w:t>21.00</w:t>
            </w:r>
          </w:p>
        </w:tc>
        <w:tc>
          <w:tcPr>
            <w:tcW w:w="1088" w:type="dxa"/>
            <w:vAlign w:val="center"/>
          </w:tcPr>
          <w:p w:rsidR="001A092F" w:rsidRPr="00FC7105" w:rsidRDefault="001A092F" w:rsidP="005027EC">
            <w:pPr>
              <w:pStyle w:val="Default"/>
              <w:jc w:val="center"/>
            </w:pPr>
            <w:r w:rsidRPr="00FC7105">
              <w:t>0.048</w:t>
            </w:r>
          </w:p>
        </w:tc>
        <w:tc>
          <w:tcPr>
            <w:tcW w:w="1308" w:type="dxa"/>
            <w:vAlign w:val="center"/>
          </w:tcPr>
          <w:p w:rsidR="001A092F" w:rsidRPr="00FC7105" w:rsidRDefault="001A092F" w:rsidP="005027EC">
            <w:pPr>
              <w:pStyle w:val="Default"/>
              <w:jc w:val="center"/>
            </w:pPr>
            <w:r w:rsidRPr="00FC7105">
              <w:t>0.4</w:t>
            </w:r>
          </w:p>
        </w:tc>
        <w:tc>
          <w:tcPr>
            <w:tcW w:w="1316" w:type="dxa"/>
            <w:vAlign w:val="center"/>
          </w:tcPr>
          <w:p w:rsidR="001A092F" w:rsidRPr="00FC7105" w:rsidRDefault="001A092F" w:rsidP="005027EC">
            <w:pPr>
              <w:pStyle w:val="Default"/>
              <w:jc w:val="center"/>
            </w:pPr>
            <w:r w:rsidRPr="00FC7105">
              <w:t>-42</w:t>
            </w:r>
          </w:p>
        </w:tc>
        <w:tc>
          <w:tcPr>
            <w:tcW w:w="1191" w:type="dxa"/>
            <w:vAlign w:val="center"/>
          </w:tcPr>
          <w:p w:rsidR="001A092F" w:rsidRPr="00FC7105" w:rsidRDefault="001A092F" w:rsidP="005027EC">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193B1C" w:rsidRDefault="0006582C" w:rsidP="004036A2">
      <w:r w:rsidRPr="0006582C">
        <w:rPr>
          <w:b/>
        </w:rPr>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F554AC">
        <w:t>A</w:t>
      </w:r>
      <w:r w:rsidR="004036A2">
        <w:t xml:space="preserve"> JT9 sequence consists o</w:t>
      </w:r>
      <w:r w:rsidR="00F003CC">
        <w:t>f 85 tone intervals or “symbols</w:t>
      </w:r>
      <w:r w:rsidR="004036A2">
        <w:t>”</w:t>
      </w:r>
      <w:r w:rsidR="00F003CC">
        <w:t>,</w:t>
      </w:r>
      <w:r w:rsidR="004036A2">
        <w:t xml:space="preserve"> each at one of 9 pre-defined freq</w:t>
      </w:r>
      <w:r w:rsidR="00F003CC">
        <w:t xml:space="preserve">uencies </w:t>
      </w:r>
      <w:r w:rsidR="000449A2">
        <w:t>separat</w:t>
      </w:r>
      <w:r w:rsidR="004036A2">
        <w:t xml:space="preserve">ed by </w:t>
      </w:r>
      <w:r w:rsidR="00F554AC">
        <w:t xml:space="preserve">1.736 Hz — </w:t>
      </w:r>
      <w:r w:rsidR="004036A2">
        <w:t xml:space="preserve">the reciprocal of </w:t>
      </w:r>
      <w:r w:rsidR="00F554AC">
        <w:t xml:space="preserve">the </w:t>
      </w:r>
      <w:r w:rsidR="004036A2">
        <w:t xml:space="preserve">tone duration, </w:t>
      </w:r>
      <w:r w:rsidR="00F554AC">
        <w:t>6912</w:t>
      </w:r>
      <w:r w:rsidR="00820034">
        <w:t xml:space="preserve"> </w:t>
      </w:r>
      <w:r w:rsidR="00F554AC">
        <w:t>/</w:t>
      </w:r>
      <w:r w:rsidR="00820034">
        <w:t xml:space="preserve"> </w:t>
      </w:r>
      <w:r w:rsidR="00F554AC">
        <w:t xml:space="preserve">12000 = 0.576 s.  </w:t>
      </w:r>
      <w:r w:rsidR="00820034">
        <w:t xml:space="preserve">These </w:t>
      </w:r>
      <w:r w:rsidR="00F003CC">
        <w:t>small t</w:t>
      </w:r>
      <w:r w:rsidR="00F554AC">
        <w:t xml:space="preserve">one differences are </w:t>
      </w:r>
      <w:r w:rsidR="004036A2">
        <w:t>scarce</w:t>
      </w:r>
      <w:r w:rsidR="00F554AC">
        <w:t>ly perceptible to the human ear, so a</w:t>
      </w:r>
      <w:r w:rsidR="00193B1C">
        <w:t xml:space="preserve"> JT9 signal </w:t>
      </w:r>
      <w:r w:rsidR="00193B1C">
        <w:lastRenderedPageBreak/>
        <w:t>sounds almost like an unmodulated carrier.</w:t>
      </w:r>
      <w:r w:rsidR="00F003CC">
        <w:t xml:space="preserve">  The full </w:t>
      </w:r>
      <w:r w:rsidR="00820034">
        <w:t xml:space="preserve">occupied </w:t>
      </w:r>
      <w:r w:rsidR="00F003CC">
        <w:t xml:space="preserve">bandwidth </w:t>
      </w:r>
      <w:r w:rsidR="00820034">
        <w:t xml:space="preserve">of a JT9 signal </w:t>
      </w:r>
      <w:r w:rsidR="00F003CC">
        <w:t>is 9 × 1.736 = 15.6 Hz.</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pseudo-random </w:t>
      </w:r>
      <w:r w:rsidR="000449A2">
        <w:t>spacing</w:t>
      </w:r>
      <w:r w:rsidR="00DF4D84">
        <w:t>s</w:t>
      </w:r>
      <w:r w:rsidR="000449A2">
        <w:t xml:space="preserve"> </w:t>
      </w:r>
      <w:r w:rsidR="00B80C86">
        <w:t>in time</w:t>
      </w:r>
      <w:r w:rsidR="00F003CC">
        <w:t xml:space="preserve">, known to both transmitting and receiving software, </w:t>
      </w:r>
      <w:r w:rsidR="00C80281">
        <w:t xml:space="preserve">establish </w:t>
      </w:r>
      <w:r w:rsidR="00820034">
        <w:t xml:space="preserve">precise </w:t>
      </w:r>
      <w:r>
        <w:t xml:space="preserve">time and frequency synchronization.  The remaining 69 </w:t>
      </w:r>
      <w:r w:rsidR="00F315F9">
        <w:t xml:space="preserve">symbols </w:t>
      </w:r>
      <w:r>
        <w:t xml:space="preserve">use tones 1 through 8, effectively </w:t>
      </w:r>
      <w:r w:rsidR="00F315F9">
        <w:t xml:space="preserve">conveying </w:t>
      </w:r>
      <w:r w:rsidR="006A3CB5">
        <w:t xml:space="preserve">207 information-carrying bits </w:t>
      </w:r>
      <w:r w:rsidR="00DF4D84">
        <w:t xml:space="preserve">(three bits per </w:t>
      </w:r>
      <w:proofErr w:type="spellStart"/>
      <w:r w:rsidR="00DF4D84">
        <w:t>tone</w:t>
      </w:r>
      <w:proofErr w:type="spellEnd"/>
      <w:r w:rsidR="00DF4D84">
        <w:t>)</w:t>
      </w:r>
      <w:r w:rsidR="006A3CB5">
        <w:t xml:space="preserve">.  </w:t>
      </w:r>
      <w:r w:rsidR="004036A2" w:rsidRPr="004036A2">
        <w:rPr>
          <w:i/>
        </w:rPr>
        <w:t>WSJT-X</w:t>
      </w:r>
      <w:r w:rsidR="004036A2">
        <w:t xml:space="preserve"> computes the </w:t>
      </w:r>
      <w:r w:rsidR="00914917">
        <w:t>transmitted</w:t>
      </w:r>
      <w:r w:rsidR="00C80281">
        <w:t xml:space="preserve"> </w:t>
      </w:r>
      <w:r w:rsidR="004036A2">
        <w:t xml:space="preserve">audio waveform on-the-fly, </w:t>
      </w:r>
      <w:r w:rsidR="00F315F9">
        <w:t xml:space="preserve">producing </w:t>
      </w:r>
      <w:r w:rsidR="004036A2">
        <w:t xml:space="preserve">16-bit integer samples </w:t>
      </w:r>
      <w:r w:rsidR="00914917">
        <w:t xml:space="preserve">at </w:t>
      </w:r>
      <w:r w:rsidR="004036A2">
        <w:t>a 48000 Hz rate</w:t>
      </w:r>
      <w:r w:rsidR="00914917">
        <w:t xml:space="preserve"> and </w:t>
      </w:r>
      <w:r w:rsidR="000449A2">
        <w:t xml:space="preserve">maintaining phase continuity across symbol boundaries.  </w:t>
      </w:r>
      <w:r w:rsidR="00F315F9">
        <w:t>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 xml:space="preserve">of overlapped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 xml:space="preserve">As shown in the </w:t>
      </w:r>
      <w:r w:rsidR="00820034">
        <w:t xml:space="preserve">waterfall </w:t>
      </w:r>
      <w:r>
        <w:t>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t>By convention, the nominal frequency of a JT9 signal is tha</w:t>
      </w:r>
      <w:r w:rsidR="00914917">
        <w:t>t of the sync tone at the left edge</w:t>
      </w:r>
      <w:r w:rsidR="00C50DBC">
        <w:t xml:space="preserve"> of </w:t>
      </w:r>
      <w:r w:rsidR="00F315F9">
        <w:t xml:space="preserve">its </w:t>
      </w:r>
      <w:r w:rsidR="00C50DBC">
        <w:t>spectrum</w:t>
      </w:r>
      <w:r w:rsidR="00914917">
        <w:t>.</w:t>
      </w:r>
    </w:p>
    <w:p w:rsidR="001A092F" w:rsidRDefault="005C435F" w:rsidP="004036A2">
      <w:r w:rsidRPr="005C435F">
        <w:rPr>
          <w:b/>
        </w:rPr>
        <w:t>Decoding:</w:t>
      </w:r>
      <w:r>
        <w:t xml:space="preserve">  </w:t>
      </w:r>
      <w:r w:rsidR="0006582C">
        <w:t xml:space="preserve">At the end of </w:t>
      </w:r>
      <w:r w:rsidR="00A105BE">
        <w:t>a reception sequence, about 50 seconds into the UTC minute</w:t>
      </w:r>
      <w:r w:rsidR="00C50DBC">
        <w:t>,</w:t>
      </w:r>
      <w:r w:rsidR="00A105BE">
        <w:t xml:space="preserve"> </w:t>
      </w:r>
      <w:r w:rsidR="00F315F9">
        <w:t xml:space="preserve">received data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 xml:space="preserve">Decoding of a clean JT9 signal in a white-noise background starts to fail </w:t>
      </w:r>
      <w:proofErr w:type="spellStart"/>
      <w:r w:rsidR="001A092F">
        <w:t>arounf</w:t>
      </w:r>
      <w:proofErr w:type="spellEnd"/>
      <w:r w:rsidR="001A092F">
        <w:t xml:space="preserve"> signal-to-noise ratio    –26 </w:t>
      </w:r>
      <w:proofErr w:type="spellStart"/>
      <w:r w:rsidR="001A092F">
        <w:t>dB.</w:t>
      </w:r>
      <w:proofErr w:type="spellEnd"/>
    </w:p>
    <w:p w:rsidR="0006582C" w:rsidRDefault="001E658C" w:rsidP="004036A2">
      <w:r>
        <w:t xml:space="preserve">Each </w:t>
      </w:r>
      <w:r w:rsidR="001A092F">
        <w:t xml:space="preserve">decoding </w:t>
      </w:r>
      <w:r>
        <w:t xml:space="preserve">pass can be described as a sequence of discrete steps.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w:t>
      </w:r>
      <w:r w:rsidR="00914917">
        <w:t xml:space="preserve">making </w:t>
      </w:r>
      <w:r w:rsidR="00193B1C">
        <w:t>future improvements, the steps</w:t>
      </w:r>
      <w:r>
        <w:t xml:space="preserve"> are </w:t>
      </w:r>
      <w:r w:rsidR="00E7706D">
        <w:t>presented here as blocks</w:t>
      </w:r>
      <w:r w:rsidR="00C05914">
        <w:t xml:space="preserve"> </w:t>
      </w:r>
      <w:r w:rsidR="00E7706D">
        <w:t xml:space="preserve">labeled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in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symbols,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r w:rsidRPr="00C05914">
        <w:rPr>
          <w:rFonts w:ascii="Courier New" w:hAnsi="Courier New"/>
          <w:sz w:val="22"/>
        </w:rPr>
        <w:t>sequence</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r w:rsidRPr="00C05914">
        <w:rPr>
          <w:rFonts w:ascii="Courier New" w:hAnsi="Courier New"/>
          <w:b/>
          <w:sz w:val="22"/>
        </w:rPr>
        <w:t>twkfreq</w:t>
      </w:r>
      <w:proofErr w:type="spell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symbols,</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transform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r w:rsidRPr="00C05914">
        <w:rPr>
          <w:rFonts w:ascii="Courier New" w:hAnsi="Courier New"/>
          <w:sz w:val="22"/>
        </w:rPr>
        <w:t>transmitter</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r w:rsidRPr="00C05914">
        <w:rPr>
          <w:rFonts w:ascii="Courier New" w:hAnsi="Courier New"/>
          <w:b/>
          <w:sz w:val="22"/>
        </w:rPr>
        <w:t>unpackmsg</w:t>
      </w:r>
      <w:proofErr w:type="spell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r w:rsidR="00C05914" w:rsidRPr="00C05914">
        <w:rPr>
          <w:rFonts w:ascii="Courier New" w:hAnsi="Courier New"/>
          <w:sz w:val="22"/>
        </w:rPr>
        <w:t>compressed</w:t>
      </w:r>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 xml:space="preserve">ith a </w:t>
      </w:r>
      <w:proofErr w:type="spellStart"/>
      <w:r w:rsidR="009333F0">
        <w:rPr>
          <w:rFonts w:ascii="Arial" w:hAnsi="Arial" w:cs="Arial"/>
          <w:color w:val="000000"/>
        </w:rPr>
        <w:t>maginal</w:t>
      </w:r>
      <w:proofErr w:type="spellEnd"/>
      <w:r w:rsidR="009333F0">
        <w:rPr>
          <w:rFonts w:ascii="Arial" w:hAnsi="Arial" w:cs="Arial"/>
          <w:color w:val="000000"/>
        </w:rPr>
        <w:t xml:space="preserve"> or unrecognizable signal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1A092F">
        <w:rPr>
          <w:rFonts w:ascii="Arial" w:hAnsi="Arial" w:cs="Arial"/>
          <w:color w:val="000000"/>
        </w:rPr>
        <w:t>w</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and report failure if it is taki</w:t>
      </w:r>
      <w:r w:rsidR="00193B1C">
        <w:rPr>
          <w:rFonts w:ascii="Arial" w:hAnsi="Arial" w:cs="Arial"/>
          <w:color w:val="000000"/>
        </w:rPr>
        <w:t>ng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1" w:name="_Toc361385927"/>
      <w:r>
        <w:t>Appendix B</w:t>
      </w:r>
      <w:r w:rsidR="00563ED2">
        <w:t>: Installed and Generated Files</w:t>
      </w:r>
      <w:bookmarkEnd w:id="11"/>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r w:rsidRPr="00027E83">
        <w:rPr>
          <w:rFonts w:ascii="Courier New" w:hAnsi="Courier New"/>
          <w:sz w:val="22"/>
        </w:rPr>
        <w:t>afmhot.dat</w:t>
      </w:r>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r w:rsidRPr="00027E83">
        <w:rPr>
          <w:rFonts w:ascii="Courier New" w:hAnsi="Courier New"/>
          <w:sz w:val="22"/>
        </w:rPr>
        <w:t>blue.dat</w:t>
      </w:r>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hamlib-alinco.dll</w:t>
      </w:r>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hamlib-amsat.dll</w:t>
      </w:r>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hamlib-flexradio.dll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hamlib-icom.dll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hamlib-jrc.dll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hamlib-kachina.dll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hamlib-kenwood.dll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hamlib-kit.dll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hamlib-tapr.dll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hamlib-tentec.dll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hamlib-winradio.dll</w:t>
      </w:r>
    </w:p>
    <w:p w:rsidR="00DB5845"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hamlib-yaesu.dll</w:t>
      </w:r>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r w:rsidRPr="006F3780">
        <w:rPr>
          <w:rFonts w:ascii="Courier New" w:hAnsi="Courier New"/>
          <w:sz w:val="22"/>
        </w:rPr>
        <w:t>jt9.exe</w:t>
      </w:r>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r>
        <w:rPr>
          <w:rFonts w:ascii="Courier New" w:hAnsi="Courier New"/>
          <w:sz w:val="22"/>
        </w:rPr>
        <w:t>jt9code.exe           Test program to illustrate JT9 encoding</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lastRenderedPageBreak/>
        <w:t>libfftw3f-3.dll</w:t>
      </w:r>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libgcc_s_dw2-1.dll</w:t>
      </w:r>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libhamlib-2.dll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libstdc++-6.dll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libusb0.dll</w:t>
      </w:r>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mingwm10.dll</w:t>
      </w:r>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r w:rsidRPr="006F3780">
        <w:rPr>
          <w:rFonts w:ascii="Courier New" w:hAnsi="Courier New"/>
          <w:sz w:val="22"/>
        </w:rPr>
        <w:t>mouse_commands.txt</w:t>
      </w:r>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palir-02.dll</w:t>
      </w:r>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qwt.dll</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save</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shortcuts.txt</w:t>
      </w:r>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unins000.exe</w:t>
      </w:r>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r w:rsidRPr="006F3780">
        <w:rPr>
          <w:rFonts w:ascii="Courier New" w:hAnsi="Courier New"/>
          <w:sz w:val="22"/>
        </w:rPr>
        <w:t>wsjt.ico</w:t>
      </w:r>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r w:rsidRPr="006F3780">
        <w:rPr>
          <w:rFonts w:ascii="Courier New" w:hAnsi="Courier New"/>
          <w:sz w:val="22"/>
        </w:rPr>
        <w:t>wsjtx.exe</w:t>
      </w:r>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decoded.txt</w:t>
      </w:r>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r>
        <w:rPr>
          <w:rFonts w:ascii="Courier New" w:hAnsi="Courier New"/>
          <w:sz w:val="22"/>
        </w:rPr>
        <w:t>timer.out</w:t>
      </w:r>
      <w:proofErr w:type="spell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wsjtx.ini</w:t>
      </w:r>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r>
        <w:rPr>
          <w:rFonts w:ascii="Courier New" w:hAnsi="Courier New"/>
          <w:sz w:val="22"/>
        </w:rPr>
        <w:t>wsjtx_log.adi</w:t>
      </w:r>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wsjtx_status.txt</w:t>
      </w:r>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2" w:name="JT65_Protocol"/>
      <w:bookmarkEnd w:id="12"/>
      <w:r>
        <w:br w:type="page"/>
      </w:r>
    </w:p>
    <w:p w:rsidR="003D7807" w:rsidRDefault="00692842" w:rsidP="003D7807">
      <w:pPr>
        <w:pStyle w:val="Heading1"/>
        <w:spacing w:before="120"/>
      </w:pPr>
      <w:bookmarkStart w:id="13" w:name="_Toc26540272"/>
      <w:bookmarkStart w:id="14" w:name="_Toc142881090"/>
      <w:bookmarkStart w:id="15" w:name="_Toc361385929"/>
      <w:r>
        <w:lastRenderedPageBreak/>
        <w:t>Appendix C</w:t>
      </w:r>
      <w:r w:rsidR="003D7807">
        <w:t xml:space="preserve">: </w:t>
      </w:r>
      <w:r w:rsidR="00F67B05">
        <w:t xml:space="preserve"> </w:t>
      </w:r>
      <w:r w:rsidR="003D7807">
        <w:t>Source Code</w:t>
      </w:r>
      <w:bookmarkEnd w:id="13"/>
      <w:bookmarkEnd w:id="14"/>
      <w:bookmarkEnd w:id="15"/>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r>
        <w:rPr>
          <w:rFonts w:ascii="Courier New" w:hAnsi="Courier New" w:cs="Courier New"/>
          <w:sz w:val="22"/>
          <w:szCs w:val="22"/>
        </w:rPr>
        <w:t>svn</w:t>
      </w:r>
      <w:proofErr w:type="spell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544BDD" w:rsidRDefault="00544BDD" w:rsidP="00544BDD">
      <w:pPr>
        <w:spacing w:before="0" w:beforeAutospacing="0"/>
        <w:rPr>
          <w:rFonts w:ascii="Courier New" w:hAnsi="Courier New" w:cs="Courier New"/>
          <w:sz w:val="22"/>
          <w:szCs w:val="22"/>
        </w:rPr>
      </w:pPr>
    </w:p>
    <w:p w:rsidR="00544BDD" w:rsidRDefault="00544BDD" w:rsidP="00544BDD">
      <w:pPr>
        <w:pStyle w:val="Heading1"/>
        <w:spacing w:before="100" w:after="100"/>
      </w:pPr>
      <w:bookmarkStart w:id="16" w:name="_Toc361385926"/>
      <w:r>
        <w:t>Acknowledgments</w:t>
      </w:r>
      <w:bookmarkEnd w:id="16"/>
    </w:p>
    <w:p w:rsidR="00544BDD" w:rsidRPr="003B0EF3" w:rsidRDefault="00544BDD" w:rsidP="00544BDD">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xml:space="preserve">, too numerous to mention here individually, have contributed suggestions and advice that have greatly aided the development of </w:t>
      </w:r>
      <w:r w:rsidRPr="003B0EF3">
        <w:rPr>
          <w:rFonts w:ascii="Arial" w:hAnsi="Arial" w:cs="Arial"/>
          <w:i/>
          <w:color w:val="000000"/>
          <w:sz w:val="18"/>
          <w:szCs w:val="18"/>
        </w:rPr>
        <w:t>WSJT-X</w:t>
      </w:r>
      <w:r w:rsidRPr="003B0EF3">
        <w:rPr>
          <w:rFonts w:ascii="Arial" w:hAnsi="Arial" w:cs="Arial"/>
          <w:color w:val="000000"/>
          <w:sz w:val="18"/>
          <w:szCs w:val="18"/>
        </w:rPr>
        <w:t xml:space="preserve"> and its sister  programs.  Since 2005 the overall project (including </w:t>
      </w:r>
      <w:r w:rsidRPr="003B0EF3">
        <w:rPr>
          <w:rFonts w:ascii="Arial" w:hAnsi="Arial" w:cs="Arial"/>
          <w:i/>
          <w:color w:val="000000"/>
          <w:sz w:val="18"/>
          <w:szCs w:val="18"/>
        </w:rPr>
        <w:t>WSJT</w:t>
      </w:r>
      <w:r w:rsidRPr="003B0EF3">
        <w:rPr>
          <w:rFonts w:ascii="Arial" w:hAnsi="Arial" w:cs="Arial"/>
          <w:color w:val="000000"/>
          <w:sz w:val="18"/>
          <w:szCs w:val="18"/>
        </w:rPr>
        <w:t xml:space="preserve">, </w:t>
      </w:r>
      <w:r w:rsidRPr="003B0EF3">
        <w:rPr>
          <w:rFonts w:ascii="Arial" w:hAnsi="Arial" w:cs="Arial"/>
          <w:i/>
          <w:color w:val="000000"/>
          <w:sz w:val="18"/>
          <w:szCs w:val="18"/>
        </w:rPr>
        <w:t>MAP65</w:t>
      </w:r>
      <w:r w:rsidRPr="003B0EF3">
        <w:rPr>
          <w:rFonts w:ascii="Arial" w:hAnsi="Arial" w:cs="Arial"/>
          <w:color w:val="000000"/>
          <w:sz w:val="18"/>
          <w:szCs w:val="18"/>
        </w:rPr>
        <w:t xml:space="preserve">, </w:t>
      </w:r>
      <w:r w:rsidRPr="003B0EF3">
        <w:rPr>
          <w:rFonts w:ascii="Arial" w:hAnsi="Arial" w:cs="Arial"/>
          <w:i/>
          <w:color w:val="000000"/>
          <w:sz w:val="18"/>
          <w:szCs w:val="18"/>
        </w:rPr>
        <w:t>WSPR</w:t>
      </w:r>
      <w:r w:rsidRPr="003B0EF3">
        <w:rPr>
          <w:rFonts w:ascii="Arial" w:hAnsi="Arial" w:cs="Arial"/>
          <w:color w:val="000000"/>
          <w:sz w:val="18"/>
          <w:szCs w:val="18"/>
        </w:rPr>
        <w:t xml:space="preserve">, and </w:t>
      </w:r>
      <w:r w:rsidRPr="003B0EF3">
        <w:rPr>
          <w:rFonts w:ascii="Arial" w:hAnsi="Arial" w:cs="Arial"/>
          <w:i/>
          <w:color w:val="000000"/>
          <w:sz w:val="18"/>
          <w:szCs w:val="18"/>
        </w:rPr>
        <w:t>WSPR-X</w:t>
      </w:r>
      <w:r w:rsidRPr="003B0EF3">
        <w:rPr>
          <w:rFonts w:ascii="Arial" w:hAnsi="Arial" w:cs="Arial"/>
          <w:color w:val="000000"/>
          <w:sz w:val="18"/>
          <w:szCs w:val="18"/>
        </w:rPr>
        <w:t xml:space="preserve">) has been “open source”, all code being licensed under the </w:t>
      </w:r>
      <w:hyperlink r:id="rId37"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For </w:t>
      </w:r>
      <w:r w:rsidRPr="003B0EF3">
        <w:rPr>
          <w:rFonts w:ascii="Arial" w:hAnsi="Arial" w:cs="Arial"/>
          <w:i/>
          <w:color w:val="000000"/>
          <w:sz w:val="18"/>
          <w:szCs w:val="18"/>
        </w:rPr>
        <w:t>WSJT-X</w:t>
      </w:r>
      <w:r w:rsidRPr="003B0EF3">
        <w:rPr>
          <w:rFonts w:ascii="Arial" w:hAnsi="Arial" w:cs="Arial"/>
          <w:color w:val="000000"/>
          <w:sz w:val="18"/>
          <w:szCs w:val="18"/>
        </w:rPr>
        <w:t xml:space="preserve"> in particular, I wish to acknowledge contributions from AE4JY, PY2SDR, VK4BDJ, AC6SL, </w:t>
      </w:r>
      <w:r>
        <w:rPr>
          <w:rFonts w:ascii="Arial" w:hAnsi="Arial" w:cs="Arial"/>
          <w:color w:val="000000"/>
          <w:sz w:val="18"/>
          <w:szCs w:val="18"/>
        </w:rPr>
        <w:t xml:space="preserve">G4KLA, </w:t>
      </w:r>
      <w:r w:rsidRPr="003B0EF3">
        <w:rPr>
          <w:rFonts w:ascii="Arial" w:hAnsi="Arial" w:cs="Arial"/>
          <w:color w:val="000000"/>
          <w:sz w:val="18"/>
          <w:szCs w:val="18"/>
        </w:rPr>
        <w:t>and AF5X.  Each has helped to bring the program’s design, code, and documentation to its present state.</w:t>
      </w:r>
    </w:p>
    <w:p w:rsidR="00544BDD" w:rsidRPr="00F67B05" w:rsidRDefault="00544BDD" w:rsidP="00544BDD">
      <w:pPr>
        <w:spacing w:before="0" w:beforeAutospacing="0"/>
        <w:rPr>
          <w:rFonts w:ascii="Courier New" w:hAnsi="Courier New" w:cs="Courier New"/>
          <w:sz w:val="22"/>
          <w:szCs w:val="22"/>
        </w:rPr>
      </w:pPr>
    </w:p>
    <w:sectPr w:rsidR="00544BDD" w:rsidRPr="00F67B05" w:rsidSect="00D558CF">
      <w:footerReference w:type="default" r:id="rId38"/>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0CF" w:rsidRDefault="00C460CF" w:rsidP="00BC5C98">
      <w:pPr>
        <w:spacing w:before="0" w:after="0" w:line="240" w:lineRule="auto"/>
      </w:pPr>
      <w:r>
        <w:separator/>
      </w:r>
    </w:p>
  </w:endnote>
  <w:endnote w:type="continuationSeparator" w:id="0">
    <w:p w:rsidR="00C460CF" w:rsidRDefault="00C460CF"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A7577C" w:rsidRDefault="00A7577C">
        <w:pPr>
          <w:pStyle w:val="Footer"/>
          <w:jc w:val="center"/>
        </w:pPr>
        <w:r>
          <w:fldChar w:fldCharType="begin"/>
        </w:r>
        <w:r>
          <w:instrText xml:space="preserve"> PAGE   \* MERGEFORMAT </w:instrText>
        </w:r>
        <w:r>
          <w:fldChar w:fldCharType="separate"/>
        </w:r>
        <w:r w:rsidR="00FC08C3">
          <w:rPr>
            <w:noProof/>
          </w:rPr>
          <w:t>28</w:t>
        </w:r>
        <w:r>
          <w:rPr>
            <w:noProof/>
          </w:rPr>
          <w:fldChar w:fldCharType="end"/>
        </w:r>
      </w:p>
    </w:sdtContent>
  </w:sdt>
  <w:p w:rsidR="00A7577C" w:rsidRDefault="00A757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0CF" w:rsidRDefault="00C460CF" w:rsidP="00BC5C98">
      <w:pPr>
        <w:spacing w:before="0" w:after="0" w:line="240" w:lineRule="auto"/>
      </w:pPr>
      <w:r>
        <w:separator/>
      </w:r>
    </w:p>
  </w:footnote>
  <w:footnote w:type="continuationSeparator" w:id="0">
    <w:p w:rsidR="00C460CF" w:rsidRDefault="00C460CF" w:rsidP="00BC5C98">
      <w:pPr>
        <w:spacing w:before="0" w:after="0" w:line="240" w:lineRule="auto"/>
      </w:pPr>
      <w:r>
        <w:continuationSeparator/>
      </w:r>
    </w:p>
  </w:footnote>
  <w:footnote w:id="1">
    <w:p w:rsidR="00A7577C" w:rsidRDefault="00A7577C"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8D0ECE" w:rsidRDefault="008D0ECE"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A092F"/>
    <w:rsid w:val="001D1712"/>
    <w:rsid w:val="001D3114"/>
    <w:rsid w:val="001D439C"/>
    <w:rsid w:val="001E2713"/>
    <w:rsid w:val="001E658C"/>
    <w:rsid w:val="001F2D99"/>
    <w:rsid w:val="001F3FCD"/>
    <w:rsid w:val="00202841"/>
    <w:rsid w:val="00204B27"/>
    <w:rsid w:val="00205009"/>
    <w:rsid w:val="00207B9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53C"/>
    <w:rsid w:val="00336814"/>
    <w:rsid w:val="00337232"/>
    <w:rsid w:val="00347D83"/>
    <w:rsid w:val="00371E50"/>
    <w:rsid w:val="00372051"/>
    <w:rsid w:val="0037387E"/>
    <w:rsid w:val="00380700"/>
    <w:rsid w:val="003839EB"/>
    <w:rsid w:val="003862D6"/>
    <w:rsid w:val="003872F5"/>
    <w:rsid w:val="0039572C"/>
    <w:rsid w:val="003A56DB"/>
    <w:rsid w:val="003B0EF3"/>
    <w:rsid w:val="003B3DB5"/>
    <w:rsid w:val="003B4235"/>
    <w:rsid w:val="003B5993"/>
    <w:rsid w:val="003D0E7B"/>
    <w:rsid w:val="003D27B6"/>
    <w:rsid w:val="003D2BA4"/>
    <w:rsid w:val="003D2DA7"/>
    <w:rsid w:val="003D7576"/>
    <w:rsid w:val="003D7807"/>
    <w:rsid w:val="003E3640"/>
    <w:rsid w:val="003E4756"/>
    <w:rsid w:val="004036A2"/>
    <w:rsid w:val="004112D4"/>
    <w:rsid w:val="0041448A"/>
    <w:rsid w:val="004216DA"/>
    <w:rsid w:val="00425724"/>
    <w:rsid w:val="004313C9"/>
    <w:rsid w:val="004346ED"/>
    <w:rsid w:val="00434C98"/>
    <w:rsid w:val="00440636"/>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4BDD"/>
    <w:rsid w:val="005468AD"/>
    <w:rsid w:val="00551116"/>
    <w:rsid w:val="00563ED2"/>
    <w:rsid w:val="00577F88"/>
    <w:rsid w:val="005862FB"/>
    <w:rsid w:val="00590E7D"/>
    <w:rsid w:val="005975DF"/>
    <w:rsid w:val="005A1BA4"/>
    <w:rsid w:val="005B6A06"/>
    <w:rsid w:val="005C22AD"/>
    <w:rsid w:val="005C435F"/>
    <w:rsid w:val="005D12B2"/>
    <w:rsid w:val="005D417D"/>
    <w:rsid w:val="005E4E70"/>
    <w:rsid w:val="005F3E73"/>
    <w:rsid w:val="005F4A5B"/>
    <w:rsid w:val="00600AF6"/>
    <w:rsid w:val="00602D6D"/>
    <w:rsid w:val="0060358A"/>
    <w:rsid w:val="00607BE5"/>
    <w:rsid w:val="0061456C"/>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7BCD"/>
    <w:rsid w:val="00741538"/>
    <w:rsid w:val="007417F9"/>
    <w:rsid w:val="00743B4E"/>
    <w:rsid w:val="00743CA9"/>
    <w:rsid w:val="00744453"/>
    <w:rsid w:val="007628C8"/>
    <w:rsid w:val="00763EBE"/>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1043E"/>
    <w:rsid w:val="00914917"/>
    <w:rsid w:val="00916B18"/>
    <w:rsid w:val="00926C1B"/>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A0310"/>
    <w:rsid w:val="009A61D5"/>
    <w:rsid w:val="009B7DF0"/>
    <w:rsid w:val="009C6112"/>
    <w:rsid w:val="009C72CB"/>
    <w:rsid w:val="009D678B"/>
    <w:rsid w:val="009E2A01"/>
    <w:rsid w:val="009E721C"/>
    <w:rsid w:val="009F26A9"/>
    <w:rsid w:val="009F7341"/>
    <w:rsid w:val="009F7858"/>
    <w:rsid w:val="009F7BC6"/>
    <w:rsid w:val="00A044AA"/>
    <w:rsid w:val="00A0572C"/>
    <w:rsid w:val="00A102A1"/>
    <w:rsid w:val="00A105BE"/>
    <w:rsid w:val="00A12BD7"/>
    <w:rsid w:val="00A33D23"/>
    <w:rsid w:val="00A502C5"/>
    <w:rsid w:val="00A51654"/>
    <w:rsid w:val="00A55DCB"/>
    <w:rsid w:val="00A60917"/>
    <w:rsid w:val="00A60A51"/>
    <w:rsid w:val="00A61A03"/>
    <w:rsid w:val="00A62759"/>
    <w:rsid w:val="00A7414E"/>
    <w:rsid w:val="00A74B1B"/>
    <w:rsid w:val="00A74D05"/>
    <w:rsid w:val="00A7577C"/>
    <w:rsid w:val="00A775BF"/>
    <w:rsid w:val="00A80954"/>
    <w:rsid w:val="00A8658E"/>
    <w:rsid w:val="00A91748"/>
    <w:rsid w:val="00A9710F"/>
    <w:rsid w:val="00AB1B30"/>
    <w:rsid w:val="00AC5902"/>
    <w:rsid w:val="00AC7A35"/>
    <w:rsid w:val="00AD0C37"/>
    <w:rsid w:val="00AD280C"/>
    <w:rsid w:val="00AE0E08"/>
    <w:rsid w:val="00AE2BA1"/>
    <w:rsid w:val="00AE5CEF"/>
    <w:rsid w:val="00AF189B"/>
    <w:rsid w:val="00AF3FA4"/>
    <w:rsid w:val="00AF6EB2"/>
    <w:rsid w:val="00AF7E16"/>
    <w:rsid w:val="00B10FBB"/>
    <w:rsid w:val="00B25351"/>
    <w:rsid w:val="00B30CA2"/>
    <w:rsid w:val="00B330BF"/>
    <w:rsid w:val="00B36357"/>
    <w:rsid w:val="00B3664F"/>
    <w:rsid w:val="00B45065"/>
    <w:rsid w:val="00B66963"/>
    <w:rsid w:val="00B80C86"/>
    <w:rsid w:val="00B82E9A"/>
    <w:rsid w:val="00BA191F"/>
    <w:rsid w:val="00BA324D"/>
    <w:rsid w:val="00BB2238"/>
    <w:rsid w:val="00BC5C98"/>
    <w:rsid w:val="00BD1CE0"/>
    <w:rsid w:val="00BD44DD"/>
    <w:rsid w:val="00BD5DF3"/>
    <w:rsid w:val="00BE4811"/>
    <w:rsid w:val="00C05914"/>
    <w:rsid w:val="00C11C85"/>
    <w:rsid w:val="00C135FB"/>
    <w:rsid w:val="00C13E1A"/>
    <w:rsid w:val="00C1576F"/>
    <w:rsid w:val="00C16789"/>
    <w:rsid w:val="00C17020"/>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052E8"/>
    <w:rsid w:val="00E1433D"/>
    <w:rsid w:val="00E21114"/>
    <w:rsid w:val="00E21575"/>
    <w:rsid w:val="00E21E1E"/>
    <w:rsid w:val="00E423A3"/>
    <w:rsid w:val="00E51EFB"/>
    <w:rsid w:val="00E570A8"/>
    <w:rsid w:val="00E57975"/>
    <w:rsid w:val="00E57A26"/>
    <w:rsid w:val="00E63F12"/>
    <w:rsid w:val="00E7706D"/>
    <w:rsid w:val="00E81F55"/>
    <w:rsid w:val="00E8426B"/>
    <w:rsid w:val="00E85DA8"/>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B03E6"/>
    <w:rsid w:val="00FB1D4B"/>
    <w:rsid w:val="00FC08C3"/>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gnu.org/licenses/gpl.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veloper.berlios.de/projects/wsjt/"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gnu.org/copyleft/gp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382FF-9907-464D-B3D3-4D0E06B7F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6233</Words>
  <Characters>35531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2</cp:revision>
  <cp:lastPrinted>2013-07-03T16:06:00Z</cp:lastPrinted>
  <dcterms:created xsi:type="dcterms:W3CDTF">2013-07-12T17:29:00Z</dcterms:created>
  <dcterms:modified xsi:type="dcterms:W3CDTF">2013-07-12T17:29:00Z</dcterms:modified>
</cp:coreProperties>
</file>