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Viewpoint 3 - Catherine E. Beecher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Stalcup (34)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took part in 1833 AASS and played an active role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circulating petitions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publishing articles and books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delivering speeches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Americans believed it was improper/scandalous for women to publicly express their political opinions and take part in such movements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Catherine E. Beecher criticizes female reformers, particularly abolitionists: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Beecher (35-38)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sex is superior, the other is subordinate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Christianity: power which is lawful to a woman: kindly, generous, peaceful and benevolent principles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1837 General Association of Massachusetts Congregational Churches in their pastoral letter to ministers criticizes women who give public speeches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Women gain respect and win by peace and love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of Queen Esther is ok, but Abolition Society is not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Viewpoint 4 - Angelina Emily Grimké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Stalcup (39)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upper class slaveholder, in 1827 became a Quaker, in 1829 joined Female Anti-Slavery Society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and her sister Sarah in 1837 starting a speaking tour of New England attracting enormous attention because it was first where women lecture audiences of both sex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Grimké (40-45)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reply to prev. - point #1 is without proof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the Bible teach this? Doctrines of peace </w:t>
      </w:r>
      <w:r w:rsidDel="00000000" w:rsidR="00000000" w:rsidRPr="00000000">
        <w:rPr>
          <w:i w:val="1"/>
          <w:rtl w:val="0"/>
        </w:rPr>
        <w:t xml:space="preserve">only to women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Angry reply and shooting down of opposition, presents counter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Proclaims women’s role in Christianity and right to petition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Maria Stewart (free black from New England - first American-born woman to deliver public speeches) lectured on abolition but also on the right of black women to speak publicly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Refers to Christianity and biblical history for credibility and evidence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