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7.png" ContentType="image/png"/>
  <Override PartName="/word/media/rId41.png" ContentType="image/png"/>
  <Override PartName="/word/media/rId44.png" ContentType="image/png"/>
  <Override PartName="/word/media/rId51.png" ContentType="image/png"/>
  <Override PartName="/word/media/rId37.png" ContentType="image/png"/>
  <Override PartName="/word/media/rId34.png" ContentType="image/png"/>
  <Override PartName="/word/media/rId21.png" ContentType="image/png"/>
  <Override PartName="/word/media/rId15.png" ContentType="image/png"/>
  <Override PartName="/word/media/rId18.png" ContentType="image/png"/>
  <Override PartName="/word/media/rId29.png" ContentType="image/png"/>
  <Override PartName="/word/media/rId25.png" ContentType="image/png"/>
  <Override PartName="/word/media/rId5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X25be82117451938f26a5b1c71c8c051bb9115e9"/>
    <w:p>
      <w:pPr>
        <w:pStyle w:val="Heading1"/>
      </w:pPr>
      <w:r>
        <w:t xml:space="preserve">Evidential Deep Learning (EDL) for Hyperspectral Image Classification and Uncertainty Quantification</w:t>
      </w:r>
    </w:p>
    <w:bookmarkStart w:id="9" w:name="abstract"/>
    <w:p>
      <w:pPr>
        <w:pStyle w:val="Heading2"/>
      </w:pPr>
      <w:r>
        <w:t xml:space="preserve">Abstract</w:t>
      </w:r>
    </w:p>
    <w:p>
      <w:pPr>
        <w:pStyle w:val="FirstParagraph"/>
      </w:pPr>
      <w:r>
        <w:t xml:space="preserve">This report presents a comprehensive evaluation of Evidential Deep Learning (EDL) for robust hyperspectral image classification and uncertainty quantification. By treating the neural network’s outputs as evidence that parameterizes a Dirichlet distribution over class probabilities, EDL enables the direct estimation of classification confidence and epistemic uncertainty in a single forward pass. This study compares three distinct architectures (GFNet, ViT-UNet, and AlexNet) using EDL. The results demonstrate that GFNet achieves the highest overall accuracy (99.68%) and macro F1 score (0.9959), alongside the best uncertainty metrics, making it highly effective for reliable mapping.</w:t>
      </w:r>
    </w:p>
    <w:bookmarkEnd w:id="9"/>
    <w:bookmarkStart w:id="10" w:name="introduction"/>
    <w:p>
      <w:pPr>
        <w:pStyle w:val="Heading2"/>
      </w:pPr>
      <w:r>
        <w:t xml:space="preserve">1. Introduction</w:t>
      </w:r>
    </w:p>
    <w:p>
      <w:pPr>
        <w:pStyle w:val="FirstParagraph"/>
      </w:pPr>
      <w:r>
        <w:t xml:space="preserve">Hyperspectral image (HSI) classification is a pivotal task in remote sensing. However, traditional deep learning models often produce overconfident predictions, limiting their reliability in critical applications. Uncertainty quantification is necessary to differentiate between clear and ambiguous predictions. Evidential Deep Learning (EDL) offers a principled approach to model this uncertainty directly by learning a distribution over probabilities, capturing both data-inherent (aleatoric) and model-inherent (epistemic) uncertainties.</w:t>
      </w:r>
    </w:p>
    <w:bookmarkEnd w:id="10"/>
    <w:bookmarkStart w:id="13" w:name="methodology"/>
    <w:p>
      <w:pPr>
        <w:pStyle w:val="Heading2"/>
      </w:pPr>
      <w:r>
        <w:t xml:space="preserve">2. Methodology</w:t>
      </w:r>
    </w:p>
    <w:bookmarkStart w:id="11" w:name="X71f220aa290bb13845d7a34b0c922dfebb8ece4"/>
    <w:p>
      <w:pPr>
        <w:pStyle w:val="Heading3"/>
      </w:pPr>
      <w:r>
        <w:t xml:space="preserve">2.1 Theoretical Foundation of Evidential Deep Learning (EDL)</w:t>
      </w:r>
    </w:p>
    <w:p>
      <w:pPr>
        <w:pStyle w:val="FirstParagraph"/>
      </w:pPr>
      <w:r>
        <w:t xml:space="preserve">In standard classification, a neural network outputs a vector of logits which are transformed via a softmax function into class probabilities. In EDL, the network instead outputs parameters of a Dirichlet distribution, representing the</w:t>
      </w:r>
      <w:r>
        <w:t xml:space="preserve"> </w:t>
      </w:r>
      <w:r>
        <w:t xml:space="preserve">“evidence”</w:t>
      </w:r>
      <w:r>
        <w:t xml:space="preserve"> </w:t>
      </w:r>
      <w:r>
        <w:t xml:space="preserve">for each class.</w:t>
      </w:r>
    </w:p>
    <w:p>
      <w:pPr>
        <w:pStyle w:val="BodyText"/>
      </w:pPr>
      <w:r>
        <w:t xml:space="preserve">Let</w:t>
      </w:r>
      <w:r>
        <w:t xml:space="preserve"> </w:t>
      </w:r>
      <m:oMath>
        <m:sSub>
          <m:e>
            <m:r>
              <m:t>e</m:t>
            </m:r>
          </m:e>
          <m:sub>
            <m:r>
              <m:t>k</m:t>
            </m:r>
          </m:sub>
        </m:sSub>
        <m:r>
          <m:rPr>
            <m:sty m:val="p"/>
          </m:rPr>
          <m:t>≥</m:t>
        </m:r>
        <m:r>
          <m:t>0</m:t>
        </m:r>
      </m:oMath>
      <w:r>
        <w:t xml:space="preserve"> </w:t>
      </w:r>
      <w:r>
        <w:t xml:space="preserve">be the evidence for class</w:t>
      </w:r>
      <w:r>
        <w:t xml:space="preserve"> </w:t>
      </w:r>
      <m:oMath>
        <m:r>
          <m:t>k</m:t>
        </m:r>
      </m:oMath>
      <w:r>
        <w:t xml:space="preserve"> </w:t>
      </w:r>
      <w:r>
        <w:t xml:space="preserve">generated by the network. The Dirichlet parameters are defined as</w:t>
      </w:r>
      <w:r>
        <w:t xml:space="preserve"> </w:t>
      </w:r>
      <m:oMath>
        <m:sSub>
          <m:e>
            <m:r>
              <m:t>α</m:t>
            </m:r>
          </m:e>
          <m:sub>
            <m:r>
              <m:t>k</m:t>
            </m:r>
          </m:sub>
        </m:sSub>
        <m:r>
          <m:rPr>
            <m:sty m:val="p"/>
          </m:rPr>
          <m:t>=</m:t>
        </m:r>
        <m:sSub>
          <m:e>
            <m:r>
              <m:t>e</m:t>
            </m:r>
          </m:e>
          <m:sub>
            <m:r>
              <m:t>k</m:t>
            </m:r>
          </m:sub>
        </m:sSub>
        <m:r>
          <m:rPr>
            <m:sty m:val="p"/>
          </m:rPr>
          <m:t>+</m:t>
        </m:r>
        <m:r>
          <m:t>1</m:t>
        </m:r>
      </m:oMath>
      <w:r>
        <w:t xml:space="preserve">. The total evidence is</w:t>
      </w:r>
      <w:r>
        <w:t xml:space="preserve"> </w:t>
      </w:r>
      <m:oMath>
        <m:r>
          <m:t>S</m:t>
        </m:r>
        <m:r>
          <m:rPr>
            <m:sty m:val="p"/>
          </m:rPr>
          <m:t>=</m:t>
        </m:r>
        <m:nary>
          <m:naryPr>
            <m:chr m:val="∑"/>
            <m:limLoc m:val="undOvr"/>
            <m:subHide m:val="off"/>
            <m:supHide m:val="off"/>
          </m:naryPr>
          <m:sub>
            <m:r>
              <m:t>k</m:t>
            </m:r>
            <m:r>
              <m:rPr>
                <m:sty m:val="p"/>
              </m:rPr>
              <m:t>=</m:t>
            </m:r>
            <m:r>
              <m:t>1</m:t>
            </m:r>
          </m:sub>
          <m:sup>
            <m:r>
              <m:t>K</m:t>
            </m:r>
          </m:sup>
          <m:e>
            <m:sSub>
              <m:e>
                <m:r>
                  <m:t>α</m:t>
                </m:r>
              </m:e>
              <m:sub>
                <m:r>
                  <m:t>k</m:t>
                </m:r>
              </m:sub>
            </m:sSub>
          </m:e>
        </m:nary>
      </m:oMath>
      <w:r>
        <w:t xml:space="preserve">. The predicted probability for class</w:t>
      </w:r>
      <w:r>
        <w:t xml:space="preserve"> </w:t>
      </w:r>
      <m:oMath>
        <m:r>
          <m:t>k</m:t>
        </m:r>
      </m:oMath>
      <w:r>
        <w:t xml:space="preserve"> </w:t>
      </w:r>
      <w:r>
        <w:t xml:space="preserve">is</w:t>
      </w:r>
      <w:r>
        <w:t xml:space="preserve"> </w:t>
      </w:r>
      <m:oMath>
        <m:sSub>
          <m:e>
            <m:r>
              <m:t>p</m:t>
            </m:r>
          </m:e>
          <m:sub>
            <m:r>
              <m:t>k</m:t>
            </m:r>
          </m:sub>
        </m:sSub>
        <m:r>
          <m:rPr>
            <m:sty m:val="p"/>
          </m:rPr>
          <m:t>=</m:t>
        </m:r>
        <m:f>
          <m:fPr>
            <m:type m:val="bar"/>
          </m:fPr>
          <m:num>
            <m:sSub>
              <m:e>
                <m:r>
                  <m:t>α</m:t>
                </m:r>
              </m:e>
              <m:sub>
                <m:r>
                  <m:t>k</m:t>
                </m:r>
              </m:sub>
            </m:sSub>
          </m:num>
          <m:den>
            <m:r>
              <m:t>S</m:t>
            </m:r>
          </m:den>
        </m:f>
      </m:oMath>
      <w:r>
        <w:t xml:space="preserve">, and the uncertainty (specifically epistemic) can be quantified as</w:t>
      </w:r>
      <w:r>
        <w:t xml:space="preserve"> </w:t>
      </w:r>
      <m:oMath>
        <m:r>
          <m:t>u</m:t>
        </m:r>
        <m:r>
          <m:rPr>
            <m:sty m:val="p"/>
          </m:rPr>
          <m:t>=</m:t>
        </m:r>
        <m:f>
          <m:fPr>
            <m:type m:val="bar"/>
          </m:fPr>
          <m:num>
            <m:r>
              <m:t>K</m:t>
            </m:r>
          </m:num>
          <m:den>
            <m:r>
              <m:t>S</m:t>
            </m:r>
          </m:den>
        </m:f>
      </m:oMath>
      <w:r>
        <w:t xml:space="preserve">.</w:t>
      </w:r>
      <w:r>
        <w:t xml:space="preserve"> </w:t>
      </w:r>
      <w:r>
        <w:t xml:space="preserve">By optimizing a modified loss function (such as Expected Mean Square Error or expected cross-entropy) with a KL-divergence regularization term, EDL penalizes misleading evidence on out-of-distribution or uncertain samples, calibrating the predictive uncertainty effectively.</w:t>
      </w:r>
    </w:p>
    <w:bookmarkEnd w:id="11"/>
    <w:bookmarkStart w:id="12" w:name="architectures-evaluated"/>
    <w:p>
      <w:pPr>
        <w:pStyle w:val="Heading3"/>
      </w:pPr>
      <w:r>
        <w:t xml:space="preserve">2.2 Architectures Evaluated</w:t>
      </w:r>
    </w:p>
    <w:p>
      <w:pPr>
        <w:pStyle w:val="Compact"/>
        <w:numPr>
          <w:ilvl w:val="0"/>
          <w:numId w:val="1001"/>
        </w:numPr>
      </w:pPr>
      <w:r>
        <w:rPr>
          <w:b/>
          <w:bCs/>
        </w:rPr>
        <w:t xml:space="preserve">GFNet:</w:t>
      </w:r>
      <w:r>
        <w:t xml:space="preserve"> </w:t>
      </w:r>
      <w:r>
        <w:t xml:space="preserve">A lightweight and efficient architecture designed for robust spatial-spectral feature extraction.</w:t>
      </w:r>
    </w:p>
    <w:p>
      <w:pPr>
        <w:pStyle w:val="Compact"/>
        <w:numPr>
          <w:ilvl w:val="0"/>
          <w:numId w:val="1001"/>
        </w:numPr>
      </w:pPr>
      <w:r>
        <w:rPr>
          <w:b/>
          <w:bCs/>
        </w:rPr>
        <w:t xml:space="preserve">ViT-UNet:</w:t>
      </w:r>
      <w:r>
        <w:t xml:space="preserve"> </w:t>
      </w:r>
      <w:r>
        <w:t xml:space="preserve">A hybrid architecture combining Vision Transformers and U-Net structures to leverage global contextual relationships.</w:t>
      </w:r>
    </w:p>
    <w:p>
      <w:pPr>
        <w:pStyle w:val="Compact"/>
        <w:numPr>
          <w:ilvl w:val="0"/>
          <w:numId w:val="1001"/>
        </w:numPr>
      </w:pPr>
      <w:r>
        <w:rPr>
          <w:b/>
          <w:bCs/>
        </w:rPr>
        <w:t xml:space="preserve">AlexNet CNN:</w:t>
      </w:r>
      <w:r>
        <w:t xml:space="preserve"> </w:t>
      </w:r>
      <w:r>
        <w:t xml:space="preserve">A standard Convolutional Neural Network used as a baseline for feature representation.</w:t>
      </w:r>
    </w:p>
    <w:bookmarkEnd w:id="12"/>
    <w:bookmarkEnd w:id="13"/>
    <w:bookmarkStart w:id="60" w:name="experiments-and-results"/>
    <w:p>
      <w:pPr>
        <w:pStyle w:val="Heading2"/>
      </w:pPr>
      <w:r>
        <w:t xml:space="preserve">3. Experiments and Results</w:t>
      </w:r>
    </w:p>
    <w:bookmarkStart w:id="14" w:name="classification-performance"/>
    <w:p>
      <w:pPr>
        <w:pStyle w:val="Heading3"/>
      </w:pPr>
      <w:r>
        <w:t xml:space="preserve">3.1 Classification Performance</w:t>
      </w:r>
    </w:p>
    <w:p>
      <w:pPr>
        <w:pStyle w:val="FirstParagraph"/>
      </w:pPr>
      <w:r>
        <w:t xml:space="preserve">The models were evaluated based on standard classification metrics including Test Accuracy, Kappa coefficient, Macro F1, and Weighted F1. Negative Log Likelihood (NLL) and Brier scores were calculated to evaluate calibration.</w:t>
      </w:r>
    </w:p>
    <w:tbl>
      <w:tblPr>
        <w:tblStyle w:val="Table"/>
        <w:tblW w:type="pct" w:w="5000"/>
        <w:tblLayout w:type="fixed"/>
        <w:tblLook w:firstRow="1" w:lastRow="0" w:firstColumn="0" w:lastColumn="0" w:noHBand="0" w:noVBand="0" w:val="0020"/>
      </w:tblPr>
      <w:tblGrid>
        <w:gridCol w:w="749"/>
        <w:gridCol w:w="1605"/>
        <w:gridCol w:w="749"/>
        <w:gridCol w:w="1070"/>
        <w:gridCol w:w="1391"/>
        <w:gridCol w:w="1070"/>
        <w:gridCol w:w="1284"/>
      </w:tblGrid>
      <w:tr>
        <w:trPr>
          <w:tblHeader w:val="on"/>
        </w:trPr>
        <w:tc>
          <w:tcPr/>
          <w:p>
            <w:pPr>
              <w:pStyle w:val="Compact"/>
            </w:pPr>
            <w:r>
              <w:t xml:space="preserve">Model</w:t>
            </w:r>
          </w:p>
        </w:tc>
        <w:tc>
          <w:tcPr/>
          <w:p>
            <w:pPr>
              <w:pStyle w:val="Compact"/>
            </w:pPr>
            <w:r>
              <w:t xml:space="preserve">Test Accuracy</w:t>
            </w:r>
          </w:p>
        </w:tc>
        <w:tc>
          <w:tcPr/>
          <w:p>
            <w:pPr>
              <w:pStyle w:val="Compact"/>
            </w:pPr>
            <w:r>
              <w:t xml:space="preserve">Kappa</w:t>
            </w:r>
          </w:p>
        </w:tc>
        <w:tc>
          <w:tcPr/>
          <w:p>
            <w:pPr>
              <w:pStyle w:val="Compact"/>
            </w:pPr>
            <w:r>
              <w:t xml:space="preserve">Macro F1</w:t>
            </w:r>
          </w:p>
        </w:tc>
        <w:tc>
          <w:tcPr/>
          <w:p>
            <w:pPr>
              <w:pStyle w:val="Compact"/>
            </w:pPr>
            <w:r>
              <w:t xml:space="preserve">Weighted F1</w:t>
            </w:r>
          </w:p>
        </w:tc>
        <w:tc>
          <w:tcPr/>
          <w:p>
            <w:pPr>
              <w:pStyle w:val="Compact"/>
            </w:pPr>
            <w:r>
              <w:t xml:space="preserve">Test NLL</w:t>
            </w:r>
          </w:p>
        </w:tc>
        <w:tc>
          <w:tcPr/>
          <w:p>
            <w:pPr>
              <w:pStyle w:val="Compact"/>
            </w:pPr>
            <w:r>
              <w:t xml:space="preserve">Test Brier</w:t>
            </w:r>
          </w:p>
        </w:tc>
      </w:tr>
      <w:tr>
        <w:tc>
          <w:tcPr/>
          <w:p>
            <w:pPr>
              <w:pStyle w:val="Compact"/>
            </w:pPr>
            <w:r>
              <w:t xml:space="preserve">GFNet</w:t>
            </w:r>
          </w:p>
        </w:tc>
        <w:tc>
          <w:tcPr/>
          <w:p>
            <w:pPr>
              <w:pStyle w:val="Compact"/>
            </w:pPr>
            <w:r>
              <w:t xml:space="preserve">99.68%</w:t>
            </w:r>
          </w:p>
        </w:tc>
        <w:tc>
          <w:tcPr/>
          <w:p>
            <w:pPr>
              <w:pStyle w:val="Compact"/>
            </w:pPr>
            <w:r>
              <w:t xml:space="preserve">0.9956</w:t>
            </w:r>
          </w:p>
        </w:tc>
        <w:tc>
          <w:tcPr/>
          <w:p>
            <w:pPr>
              <w:pStyle w:val="Compact"/>
            </w:pPr>
            <w:r>
              <w:t xml:space="preserve">0.9959</w:t>
            </w:r>
          </w:p>
        </w:tc>
        <w:tc>
          <w:tcPr/>
          <w:p>
            <w:pPr>
              <w:pStyle w:val="Compact"/>
            </w:pPr>
            <w:r>
              <w:t xml:space="preserve">0.9967</w:t>
            </w:r>
          </w:p>
        </w:tc>
        <w:tc>
          <w:tcPr/>
          <w:p>
            <w:pPr>
              <w:pStyle w:val="Compact"/>
            </w:pPr>
            <w:r>
              <w:t xml:space="preserve">0.0411</w:t>
            </w:r>
          </w:p>
        </w:tc>
        <w:tc>
          <w:tcPr/>
          <w:p>
            <w:pPr>
              <w:pStyle w:val="Compact"/>
            </w:pPr>
            <w:r>
              <w:t xml:space="preserve">0.0062</w:t>
            </w:r>
          </w:p>
        </w:tc>
      </w:tr>
      <w:tr>
        <w:tc>
          <w:tcPr/>
          <w:p>
            <w:pPr>
              <w:pStyle w:val="Compact"/>
            </w:pPr>
            <w:r>
              <w:t xml:space="preserve">ViT-UNet</w:t>
            </w:r>
          </w:p>
        </w:tc>
        <w:tc>
          <w:tcPr/>
          <w:p>
            <w:pPr>
              <w:pStyle w:val="Compact"/>
            </w:pPr>
            <w:r>
              <w:t xml:space="preserve">99.07%</w:t>
            </w:r>
          </w:p>
        </w:tc>
        <w:tc>
          <w:tcPr/>
          <w:p>
            <w:pPr>
              <w:pStyle w:val="Compact"/>
            </w:pPr>
            <w:r>
              <w:t xml:space="preserve">0.9874</w:t>
            </w:r>
          </w:p>
        </w:tc>
        <w:tc>
          <w:tcPr/>
          <w:p>
            <w:pPr>
              <w:pStyle w:val="Compact"/>
            </w:pPr>
            <w:r>
              <w:t xml:space="preserve">0.9866</w:t>
            </w:r>
          </w:p>
        </w:tc>
        <w:tc>
          <w:tcPr/>
          <w:p>
            <w:pPr>
              <w:pStyle w:val="Compact"/>
            </w:pPr>
            <w:r>
              <w:t xml:space="preserve">0.9907</w:t>
            </w:r>
          </w:p>
        </w:tc>
        <w:tc>
          <w:tcPr/>
          <w:p>
            <w:pPr>
              <w:pStyle w:val="Compact"/>
            </w:pPr>
            <w:r>
              <w:t xml:space="preserve">0.0543</w:t>
            </w:r>
          </w:p>
        </w:tc>
        <w:tc>
          <w:tcPr/>
          <w:p>
            <w:pPr>
              <w:pStyle w:val="Compact"/>
            </w:pPr>
            <w:r>
              <w:t xml:space="preserve">0.0169</w:t>
            </w:r>
          </w:p>
        </w:tc>
      </w:tr>
      <w:tr>
        <w:tc>
          <w:tcPr/>
          <w:p>
            <w:pPr>
              <w:pStyle w:val="Compact"/>
            </w:pPr>
            <w:r>
              <w:t xml:space="preserve">AlexNet CNN</w:t>
            </w:r>
          </w:p>
        </w:tc>
        <w:tc>
          <w:tcPr/>
          <w:p>
            <w:pPr>
              <w:pStyle w:val="Compact"/>
            </w:pPr>
            <w:r>
              <w:t xml:space="preserve">94.29%</w:t>
            </w:r>
          </w:p>
        </w:tc>
        <w:tc>
          <w:tcPr/>
          <w:p>
            <w:pPr>
              <w:pStyle w:val="Compact"/>
            </w:pPr>
            <w:r>
              <w:t xml:space="preserve">0.9207</w:t>
            </w:r>
          </w:p>
        </w:tc>
        <w:tc>
          <w:tcPr/>
          <w:p>
            <w:pPr>
              <w:pStyle w:val="Compact"/>
            </w:pPr>
            <w:r>
              <w:t xml:space="preserve">0.8383</w:t>
            </w:r>
          </w:p>
        </w:tc>
        <w:tc>
          <w:tcPr/>
          <w:p>
            <w:pPr>
              <w:pStyle w:val="Compact"/>
            </w:pPr>
            <w:r>
              <w:t xml:space="preserve">0.9202</w:t>
            </w:r>
          </w:p>
        </w:tc>
        <w:tc>
          <w:tcPr/>
          <w:p>
            <w:pPr>
              <w:pStyle w:val="Compact"/>
            </w:pPr>
            <w:r>
              <w:t xml:space="preserve">0.1454</w:t>
            </w:r>
          </w:p>
        </w:tc>
        <w:tc>
          <w:tcPr/>
          <w:p>
            <w:pPr>
              <w:pStyle w:val="Compact"/>
            </w:pPr>
            <w:r>
              <w:t xml:space="preserve">0.0563</w:t>
            </w:r>
          </w:p>
        </w:tc>
      </w:tr>
    </w:tbl>
    <w:p>
      <w:pPr>
        <w:pStyle w:val="BodyText"/>
      </w:pPr>
      <w:r>
        <w:t xml:space="preserve">GFNet achieved state-of-the-art results, demonstrating superior performance in accurately classifying the hyperspectral scenes with the lowest Test NLL (0.0411) and Brier Score (0.0062).</w:t>
      </w:r>
    </w:p>
    <w:bookmarkEnd w:id="14"/>
    <w:bookmarkStart w:id="33" w:name="visualizations-and-scene-maps"/>
    <w:p>
      <w:pPr>
        <w:pStyle w:val="Heading3"/>
      </w:pPr>
      <w:r>
        <w:t xml:space="preserve">3.2 Visualizations and Scene Maps</w:t>
      </w:r>
    </w:p>
    <w:p>
      <w:pPr>
        <w:pStyle w:val="FirstParagraph"/>
      </w:pPr>
      <w:r>
        <w:t xml:space="preserve">The following figures illustrate the training curves and comparison metrics for all the models:</w:t>
      </w:r>
    </w:p>
    <w:bookmarkStart w:id="24" w:name="training-dynamics-and-comparison"/>
    <w:p>
      <w:pPr>
        <w:pStyle w:val="Heading4"/>
      </w:pPr>
      <w:r>
        <w:t xml:space="preserve">Training Dynamics and Comparison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GFNet Training</w:t>
            </w:r>
          </w:p>
        </w:tc>
        <w:tc>
          <w:tcPr/>
          <w:p>
            <w:pPr>
              <w:pStyle w:val="Compact"/>
              <w:jc w:val="center"/>
            </w:pPr>
            <w:r>
              <w:t xml:space="preserve">ViT-UNet Training</w:t>
            </w:r>
          </w:p>
        </w:tc>
        <w:tc>
          <w:tcPr/>
          <w:p>
            <w:pPr>
              <w:pStyle w:val="Compact"/>
              <w:jc w:val="center"/>
            </w:pPr>
            <w:r>
              <w:t xml:space="preserve">AlexNet CNN Training</w:t>
            </w:r>
          </w:p>
        </w:tc>
      </w:tr>
      <w:tr>
        <w:tc>
          <w:tcPr/>
          <w:p>
            <w:pPr>
              <w:pStyle w:val="Compact"/>
              <w:jc w:val="center"/>
            </w:pPr>
            <w:r>
              <w:drawing>
                <wp:inline>
                  <wp:extent cx="5334000" cy="2189629"/>
                  <wp:effectExtent b="0" l="0" r="0" t="0"/>
                  <wp:docPr descr="" title="" id="16" name="Picture"/>
                  <a:graphic>
                    <a:graphicData uri="http://schemas.openxmlformats.org/drawingml/2006/picture">
                      <pic:pic>
                        <pic:nvPicPr>
                          <pic:cNvPr descr="/Users/danesh/Desktop/Classific/Classification_Uncertainty_Quantification_Analysis/Classification/edl_v2/results/training_plots/GFNet_training_curves.png" id="17" name="Picture"/>
                          <pic:cNvPicPr>
                            <a:picLocks noChangeArrowheads="1" noChangeAspect="1"/>
                          </pic:cNvPicPr>
                        </pic:nvPicPr>
                        <pic:blipFill>
                          <a:blip r:embed="rId15"/>
                          <a:stretch>
                            <a:fillRect/>
                          </a:stretch>
                        </pic:blipFill>
                        <pic:spPr bwMode="auto">
                          <a:xfrm>
                            <a:off x="0" y="0"/>
                            <a:ext cx="5334000" cy="2189629"/>
                          </a:xfrm>
                          <a:prstGeom prst="rect">
                            <a:avLst/>
                          </a:prstGeom>
                          <a:noFill/>
                          <a:ln w="9525">
                            <a:noFill/>
                            <a:headEnd/>
                            <a:tailEnd/>
                          </a:ln>
                        </pic:spPr>
                      </pic:pic>
                    </a:graphicData>
                  </a:graphic>
                </wp:inline>
              </w:drawing>
            </w:r>
          </w:p>
        </w:tc>
        <w:tc>
          <w:tcPr/>
          <w:p>
            <w:pPr>
              <w:pStyle w:val="Compact"/>
              <w:jc w:val="center"/>
            </w:pPr>
            <w:r>
              <w:drawing>
                <wp:inline>
                  <wp:extent cx="5334000" cy="2189629"/>
                  <wp:effectExtent b="0" l="0" r="0" t="0"/>
                  <wp:docPr descr="" title="" id="19" name="Picture"/>
                  <a:graphic>
                    <a:graphicData uri="http://schemas.openxmlformats.org/drawingml/2006/picture">
                      <pic:pic>
                        <pic:nvPicPr>
                          <pic:cNvPr descr="/Users/danesh/Desktop/Classific/Classification_Uncertainty_Quantification_Analysis/Classification/edl_v2/results/training_plots/ViT_UNet_training_curves.png" id="20" name="Picture"/>
                          <pic:cNvPicPr>
                            <a:picLocks noChangeArrowheads="1" noChangeAspect="1"/>
                          </pic:cNvPicPr>
                        </pic:nvPicPr>
                        <pic:blipFill>
                          <a:blip r:embed="rId18"/>
                          <a:stretch>
                            <a:fillRect/>
                          </a:stretch>
                        </pic:blipFill>
                        <pic:spPr bwMode="auto">
                          <a:xfrm>
                            <a:off x="0" y="0"/>
                            <a:ext cx="5334000" cy="2189629"/>
                          </a:xfrm>
                          <a:prstGeom prst="rect">
                            <a:avLst/>
                          </a:prstGeom>
                          <a:noFill/>
                          <a:ln w="9525">
                            <a:noFill/>
                            <a:headEnd/>
                            <a:tailEnd/>
                          </a:ln>
                        </pic:spPr>
                      </pic:pic>
                    </a:graphicData>
                  </a:graphic>
                </wp:inline>
              </w:drawing>
            </w:r>
          </w:p>
        </w:tc>
        <w:tc>
          <w:tcPr/>
          <w:p>
            <w:pPr>
              <w:pStyle w:val="Compact"/>
              <w:jc w:val="center"/>
            </w:pPr>
            <w:r>
              <w:drawing>
                <wp:inline>
                  <wp:extent cx="5334000" cy="2189629"/>
                  <wp:effectExtent b="0" l="0" r="0" t="0"/>
                  <wp:docPr descr="" title="" id="22" name="Picture"/>
                  <a:graphic>
                    <a:graphicData uri="http://schemas.openxmlformats.org/drawingml/2006/picture">
                      <pic:pic>
                        <pic:nvPicPr>
                          <pic:cNvPr descr="/Users/danesh/Desktop/Classific/Classification_Uncertainty_Quantification_Analysis/Classification/edl_v2/results/training_plots/AlexNet_CNN_training_curves.png" id="23" name="Picture"/>
                          <pic:cNvPicPr>
                            <a:picLocks noChangeArrowheads="1" noChangeAspect="1"/>
                          </pic:cNvPicPr>
                        </pic:nvPicPr>
                        <pic:blipFill>
                          <a:blip r:embed="rId21"/>
                          <a:stretch>
                            <a:fillRect/>
                          </a:stretch>
                        </pic:blipFill>
                        <pic:spPr bwMode="auto">
                          <a:xfrm>
                            <a:off x="0" y="0"/>
                            <a:ext cx="5334000" cy="2189629"/>
                          </a:xfrm>
                          <a:prstGeom prst="rect">
                            <a:avLst/>
                          </a:prstGeom>
                          <a:noFill/>
                          <a:ln w="9525">
                            <a:noFill/>
                            <a:headEnd/>
                            <a:tailEnd/>
                          </a:ln>
                        </pic:spPr>
                      </pic:pic>
                    </a:graphicData>
                  </a:graphic>
                </wp:inline>
              </w:drawing>
            </w:r>
          </w:p>
        </w:tc>
      </w:tr>
    </w:tbl>
    <w:bookmarkEnd w:id="24"/>
    <w:bookmarkStart w:id="28" w:name="model-comparison-metrics"/>
    <w:p>
      <w:pPr>
        <w:pStyle w:val="Heading4"/>
      </w:pPr>
      <w:r>
        <w:t xml:space="preserve">Model Comparison Metrics</w:t>
      </w:r>
    </w:p>
    <w:p>
      <w:pPr>
        <w:pStyle w:val="CaptionedFigure"/>
      </w:pPr>
      <w:r>
        <w:drawing>
          <wp:inline>
            <wp:extent cx="5334000" cy="3304216"/>
            <wp:effectExtent b="0" l="0" r="0" t="0"/>
            <wp:docPr descr="Model Comparison Metrics" title="" id="26" name="Picture"/>
            <a:graphic>
              <a:graphicData uri="http://schemas.openxmlformats.org/drawingml/2006/picture">
                <pic:pic>
                  <pic:nvPicPr>
                    <pic:cNvPr descr="/Users/danesh/Desktop/Classific/Classification_Uncertainty_Quantification_Analysis/Classification/edl_v2/results/training_plots/model_comparison_metrics.png" id="27" name="Picture"/>
                    <pic:cNvPicPr>
                      <a:picLocks noChangeArrowheads="1" noChangeAspect="1"/>
                    </pic:cNvPicPr>
                  </pic:nvPicPr>
                  <pic:blipFill>
                    <a:blip r:embed="rId25"/>
                    <a:stretch>
                      <a:fillRect/>
                    </a:stretch>
                  </pic:blipFill>
                  <pic:spPr bwMode="auto">
                    <a:xfrm>
                      <a:off x="0" y="0"/>
                      <a:ext cx="5334000" cy="3304216"/>
                    </a:xfrm>
                    <a:prstGeom prst="rect">
                      <a:avLst/>
                    </a:prstGeom>
                    <a:noFill/>
                    <a:ln w="9525">
                      <a:noFill/>
                      <a:headEnd/>
                      <a:tailEnd/>
                    </a:ln>
                  </pic:spPr>
                </pic:pic>
              </a:graphicData>
            </a:graphic>
          </wp:inline>
        </w:drawing>
      </w:r>
    </w:p>
    <w:p>
      <w:pPr>
        <w:pStyle w:val="ImageCaption"/>
      </w:pPr>
      <w:r>
        <w:t xml:space="preserve">Model Comparison Metrics</w:t>
      </w:r>
    </w:p>
    <w:bookmarkEnd w:id="28"/>
    <w:bookmarkStart w:id="32" w:name="confusion-matrices"/>
    <w:p>
      <w:pPr>
        <w:pStyle w:val="Heading4"/>
      </w:pPr>
      <w:r>
        <w:t xml:space="preserve">Confusion Matrices</w:t>
      </w:r>
    </w:p>
    <w:p>
      <w:pPr>
        <w:pStyle w:val="CaptionedFigure"/>
      </w:pPr>
      <w:r>
        <w:drawing>
          <wp:inline>
            <wp:extent cx="5334000" cy="1372396"/>
            <wp:effectExtent b="0" l="0" r="0" t="0"/>
            <wp:docPr descr="Confusion Matrices" title="" id="30" name="Picture"/>
            <a:graphic>
              <a:graphicData uri="http://schemas.openxmlformats.org/drawingml/2006/picture">
                <pic:pic>
                  <pic:nvPicPr>
                    <pic:cNvPr descr="/Users/danesh/Desktop/Classific/Classification_Uncertainty_Quantification_Analysis/Classification/edl_v2/results/training_plots/confusion_matrices_side_by_side.png" id="31" name="Picture"/>
                    <pic:cNvPicPr>
                      <a:picLocks noChangeArrowheads="1" noChangeAspect="1"/>
                    </pic:cNvPicPr>
                  </pic:nvPicPr>
                  <pic:blipFill>
                    <a:blip r:embed="rId29"/>
                    <a:stretch>
                      <a:fillRect/>
                    </a:stretch>
                  </pic:blipFill>
                  <pic:spPr bwMode="auto">
                    <a:xfrm>
                      <a:off x="0" y="0"/>
                      <a:ext cx="5334000" cy="1372396"/>
                    </a:xfrm>
                    <a:prstGeom prst="rect">
                      <a:avLst/>
                    </a:prstGeom>
                    <a:noFill/>
                    <a:ln w="9525">
                      <a:noFill/>
                      <a:headEnd/>
                      <a:tailEnd/>
                    </a:ln>
                  </pic:spPr>
                </pic:pic>
              </a:graphicData>
            </a:graphic>
          </wp:inline>
        </w:drawing>
      </w:r>
    </w:p>
    <w:p>
      <w:pPr>
        <w:pStyle w:val="ImageCaption"/>
      </w:pPr>
      <w:r>
        <w:t xml:space="preserve">Confusion Matrices</w:t>
      </w:r>
    </w:p>
    <w:bookmarkEnd w:id="32"/>
    <w:bookmarkEnd w:id="33"/>
    <w:bookmarkStart w:id="55" w:name="spatial-classification-maps"/>
    <w:p>
      <w:pPr>
        <w:pStyle w:val="Heading3"/>
      </w:pPr>
      <w:r>
        <w:t xml:space="preserve">3.3 Spatial Classification Maps</w:t>
      </w:r>
    </w:p>
    <w:p>
      <w:pPr>
        <w:pStyle w:val="FirstParagraph"/>
      </w:pPr>
      <w:r>
        <w:t xml:space="preserve">The visual mapping of the scene clearly illustrates GFNet’s capability to preserve spatial contiguity and edge details better than the other architectures.</w:t>
      </w:r>
    </w:p>
    <w:bookmarkStart w:id="40" w:name="scene-and-ground-truth"/>
    <w:p>
      <w:pPr>
        <w:pStyle w:val="Heading4"/>
      </w:pPr>
      <w:r>
        <w:t xml:space="preserve">Scene and Ground Truth</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t xml:space="preserve">RGB Scene</w:t>
            </w:r>
          </w:p>
        </w:tc>
        <w:tc>
          <w:tcPr/>
          <w:p>
            <w:pPr>
              <w:pStyle w:val="Compact"/>
              <w:jc w:val="center"/>
            </w:pPr>
            <w:r>
              <w:t xml:space="preserve">Ground Truth Label Map</w:t>
            </w:r>
          </w:p>
        </w:tc>
      </w:tr>
      <w:tr>
        <w:tc>
          <w:tcPr/>
          <w:p>
            <w:pPr>
              <w:pStyle w:val="Compact"/>
              <w:jc w:val="center"/>
            </w:pPr>
            <w:r>
              <w:drawing>
                <wp:inline>
                  <wp:extent cx="4851747" cy="5415419"/>
                  <wp:effectExtent b="0" l="0" r="0" t="0"/>
                  <wp:docPr descr="" title="" id="35" name="Picture"/>
                  <a:graphic>
                    <a:graphicData uri="http://schemas.openxmlformats.org/drawingml/2006/picture">
                      <pic:pic>
                        <pic:nvPicPr>
                          <pic:cNvPr descr="/Users/danesh/Desktop/Classific/Classification_Uncertainty_Quantification_Analysis/Classification/edl_v2/results/scene_visualizations/scene_rgb.png" id="36" name="Picture"/>
                          <pic:cNvPicPr>
                            <a:picLocks noChangeArrowheads="1" noChangeAspect="1"/>
                          </pic:cNvPicPr>
                        </pic:nvPicPr>
                        <pic:blipFill>
                          <a:blip r:embed="rId34"/>
                          <a:stretch>
                            <a:fillRect/>
                          </a:stretch>
                        </pic:blipFill>
                        <pic:spPr bwMode="auto">
                          <a:xfrm>
                            <a:off x="0" y="0"/>
                            <a:ext cx="4851747" cy="5415419"/>
                          </a:xfrm>
                          <a:prstGeom prst="rect">
                            <a:avLst/>
                          </a:prstGeom>
                          <a:noFill/>
                          <a:ln w="9525">
                            <a:noFill/>
                            <a:headEnd/>
                            <a:tailEnd/>
                          </a:ln>
                        </pic:spPr>
                      </pic:pic>
                    </a:graphicData>
                  </a:graphic>
                </wp:inline>
              </w:drawing>
            </w:r>
          </w:p>
        </w:tc>
        <w:tc>
          <w:tcPr/>
          <w:p>
            <w:pPr>
              <w:pStyle w:val="Compact"/>
              <w:jc w:val="center"/>
            </w:pPr>
            <w:r>
              <w:drawing>
                <wp:inline>
                  <wp:extent cx="4851747" cy="5415419"/>
                  <wp:effectExtent b="0" l="0" r="0" t="0"/>
                  <wp:docPr descr="" title="" id="38" name="Picture"/>
                  <a:graphic>
                    <a:graphicData uri="http://schemas.openxmlformats.org/drawingml/2006/picture">
                      <pic:pic>
                        <pic:nvPicPr>
                          <pic:cNvPr descr="/Users/danesh/Desktop/Classific/Classification_Uncertainty_Quantification_Analysis/Classification/edl_v2/results/scene_visualizations/ground_truth_label_map.png" id="39" name="Picture"/>
                          <pic:cNvPicPr>
                            <a:picLocks noChangeArrowheads="1" noChangeAspect="1"/>
                          </pic:cNvPicPr>
                        </pic:nvPicPr>
                        <pic:blipFill>
                          <a:blip r:embed="rId37"/>
                          <a:stretch>
                            <a:fillRect/>
                          </a:stretch>
                        </pic:blipFill>
                        <pic:spPr bwMode="auto">
                          <a:xfrm>
                            <a:off x="0" y="0"/>
                            <a:ext cx="4851747" cy="5415419"/>
                          </a:xfrm>
                          <a:prstGeom prst="rect">
                            <a:avLst/>
                          </a:prstGeom>
                          <a:noFill/>
                          <a:ln w="9525">
                            <a:noFill/>
                            <a:headEnd/>
                            <a:tailEnd/>
                          </a:ln>
                        </pic:spPr>
                      </pic:pic>
                    </a:graphicData>
                  </a:graphic>
                </wp:inline>
              </w:drawing>
            </w:r>
          </w:p>
        </w:tc>
      </w:tr>
    </w:tbl>
    <w:bookmarkEnd w:id="40"/>
    <w:bookmarkStart w:id="50" w:name="initial-classification-maps"/>
    <w:p>
      <w:pPr>
        <w:pStyle w:val="Heading4"/>
      </w:pPr>
      <w:r>
        <w:t xml:space="preserve">Initial Classification Maps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GFNet Classification</w:t>
            </w:r>
          </w:p>
        </w:tc>
        <w:tc>
          <w:tcPr/>
          <w:p>
            <w:pPr>
              <w:pStyle w:val="Compact"/>
              <w:jc w:val="center"/>
            </w:pPr>
            <w:r>
              <w:t xml:space="preserve">ViT-UNet Classification</w:t>
            </w:r>
          </w:p>
        </w:tc>
        <w:tc>
          <w:tcPr/>
          <w:p>
            <w:pPr>
              <w:pStyle w:val="Compact"/>
              <w:jc w:val="center"/>
            </w:pPr>
            <w:r>
              <w:t xml:space="preserve">AlexNet CNN Classification</w:t>
            </w:r>
          </w:p>
        </w:tc>
      </w:tr>
      <w:tr>
        <w:tc>
          <w:tcPr/>
          <w:p>
            <w:pPr>
              <w:pStyle w:val="Compact"/>
              <w:jc w:val="center"/>
            </w:pPr>
            <w:r>
              <w:drawing>
                <wp:inline>
                  <wp:extent cx="4851747" cy="5415419"/>
                  <wp:effectExtent b="0" l="0" r="0" t="0"/>
                  <wp:docPr descr="" title="" id="42" name="Picture"/>
                  <a:graphic>
                    <a:graphicData uri="http://schemas.openxmlformats.org/drawingml/2006/picture">
                      <pic:pic>
                        <pic:nvPicPr>
                          <pic:cNvPr descr="/Users/danesh/Desktop/Classific/Classification_Uncertainty_Quantification_Analysis/Classification/edl_v2/results/scene_visualizations/GFNet_initial_classification.png" id="43" name="Picture"/>
                          <pic:cNvPicPr>
                            <a:picLocks noChangeArrowheads="1" noChangeAspect="1"/>
                          </pic:cNvPicPr>
                        </pic:nvPicPr>
                        <pic:blipFill>
                          <a:blip r:embed="rId41"/>
                          <a:stretch>
                            <a:fillRect/>
                          </a:stretch>
                        </pic:blipFill>
                        <pic:spPr bwMode="auto">
                          <a:xfrm>
                            <a:off x="0" y="0"/>
                            <a:ext cx="4851747" cy="5415419"/>
                          </a:xfrm>
                          <a:prstGeom prst="rect">
                            <a:avLst/>
                          </a:prstGeom>
                          <a:noFill/>
                          <a:ln w="9525">
                            <a:noFill/>
                            <a:headEnd/>
                            <a:tailEnd/>
                          </a:ln>
                        </pic:spPr>
                      </pic:pic>
                    </a:graphicData>
                  </a:graphic>
                </wp:inline>
              </w:drawing>
            </w:r>
          </w:p>
        </w:tc>
        <w:tc>
          <w:tcPr/>
          <w:p>
            <w:pPr>
              <w:pStyle w:val="Compact"/>
              <w:jc w:val="center"/>
            </w:pPr>
            <w:r>
              <w:drawing>
                <wp:inline>
                  <wp:extent cx="4851747" cy="5415419"/>
                  <wp:effectExtent b="0" l="0" r="0" t="0"/>
                  <wp:docPr descr="" title="" id="45" name="Picture"/>
                  <a:graphic>
                    <a:graphicData uri="http://schemas.openxmlformats.org/drawingml/2006/picture">
                      <pic:pic>
                        <pic:nvPicPr>
                          <pic:cNvPr descr="/Users/danesh/Desktop/Classific/Classification_Uncertainty_Quantification_Analysis/Classification/edl_v2/results/scene_visualizations/ViT_UNet_initial_classification.png" id="46" name="Picture"/>
                          <pic:cNvPicPr>
                            <a:picLocks noChangeArrowheads="1" noChangeAspect="1"/>
                          </pic:cNvPicPr>
                        </pic:nvPicPr>
                        <pic:blipFill>
                          <a:blip r:embed="rId44"/>
                          <a:stretch>
                            <a:fillRect/>
                          </a:stretch>
                        </pic:blipFill>
                        <pic:spPr bwMode="auto">
                          <a:xfrm>
                            <a:off x="0" y="0"/>
                            <a:ext cx="4851747" cy="5415419"/>
                          </a:xfrm>
                          <a:prstGeom prst="rect">
                            <a:avLst/>
                          </a:prstGeom>
                          <a:noFill/>
                          <a:ln w="9525">
                            <a:noFill/>
                            <a:headEnd/>
                            <a:tailEnd/>
                          </a:ln>
                        </pic:spPr>
                      </pic:pic>
                    </a:graphicData>
                  </a:graphic>
                </wp:inline>
              </w:drawing>
            </w:r>
          </w:p>
        </w:tc>
        <w:tc>
          <w:tcPr/>
          <w:p>
            <w:pPr>
              <w:pStyle w:val="Compact"/>
              <w:jc w:val="center"/>
            </w:pPr>
            <w:r>
              <w:drawing>
                <wp:inline>
                  <wp:extent cx="4851747" cy="5415419"/>
                  <wp:effectExtent b="0" l="0" r="0" t="0"/>
                  <wp:docPr descr="" title="" id="48" name="Picture"/>
                  <a:graphic>
                    <a:graphicData uri="http://schemas.openxmlformats.org/drawingml/2006/picture">
                      <pic:pic>
                        <pic:nvPicPr>
                          <pic:cNvPr descr="/Users/danesh/Desktop/Classific/Classification_Uncertainty_Quantification_Analysis/Classification/edl_v2/results/scene_visualizations/AlexNet_CNN_initial_classification.png" id="49" name="Picture"/>
                          <pic:cNvPicPr>
                            <a:picLocks noChangeArrowheads="1" noChangeAspect="1"/>
                          </pic:cNvPicPr>
                        </pic:nvPicPr>
                        <pic:blipFill>
                          <a:blip r:embed="rId47"/>
                          <a:stretch>
                            <a:fillRect/>
                          </a:stretch>
                        </pic:blipFill>
                        <pic:spPr bwMode="auto">
                          <a:xfrm>
                            <a:off x="0" y="0"/>
                            <a:ext cx="4851747" cy="5415419"/>
                          </a:xfrm>
                          <a:prstGeom prst="rect">
                            <a:avLst/>
                          </a:prstGeom>
                          <a:noFill/>
                          <a:ln w="9525">
                            <a:noFill/>
                            <a:headEnd/>
                            <a:tailEnd/>
                          </a:ln>
                        </pic:spPr>
                      </pic:pic>
                    </a:graphicData>
                  </a:graphic>
                </wp:inline>
              </w:drawing>
            </w:r>
          </w:p>
        </w:tc>
      </w:tr>
    </w:tbl>
    <w:bookmarkEnd w:id="50"/>
    <w:bookmarkStart w:id="54" w:name="combined-classification-overview"/>
    <w:p>
      <w:pPr>
        <w:pStyle w:val="Heading4"/>
      </w:pPr>
      <w:r>
        <w:t xml:space="preserve">Combined Classification Overview</w:t>
      </w:r>
    </w:p>
    <w:p>
      <w:pPr>
        <w:pStyle w:val="CaptionedFigure"/>
      </w:pPr>
      <w:r>
        <w:drawing>
          <wp:inline>
            <wp:extent cx="5334000" cy="1301470"/>
            <wp:effectExtent b="0" l="0" r="0" t="0"/>
            <wp:docPr descr="Combined Initial Classification Overview" title="" id="52" name="Picture"/>
            <a:graphic>
              <a:graphicData uri="http://schemas.openxmlformats.org/drawingml/2006/picture">
                <pic:pic>
                  <pic:nvPicPr>
                    <pic:cNvPr descr="/Users/danesh/Desktop/Classific/Classification_Uncertainty_Quantification_Analysis/Classification/edl_v2/results/scene_visualizations/combined_initial_classification_overview.png" id="53" name="Picture"/>
                    <pic:cNvPicPr>
                      <a:picLocks noChangeArrowheads="1" noChangeAspect="1"/>
                    </pic:cNvPicPr>
                  </pic:nvPicPr>
                  <pic:blipFill>
                    <a:blip r:embed="rId51"/>
                    <a:stretch>
                      <a:fillRect/>
                    </a:stretch>
                  </pic:blipFill>
                  <pic:spPr bwMode="auto">
                    <a:xfrm>
                      <a:off x="0" y="0"/>
                      <a:ext cx="5334000" cy="1301470"/>
                    </a:xfrm>
                    <a:prstGeom prst="rect">
                      <a:avLst/>
                    </a:prstGeom>
                    <a:noFill/>
                    <a:ln w="9525">
                      <a:noFill/>
                      <a:headEnd/>
                      <a:tailEnd/>
                    </a:ln>
                  </pic:spPr>
                </pic:pic>
              </a:graphicData>
            </a:graphic>
          </wp:inline>
        </w:drawing>
      </w:r>
    </w:p>
    <w:p>
      <w:pPr>
        <w:pStyle w:val="ImageCaption"/>
      </w:pPr>
      <w:r>
        <w:t xml:space="preserve">Combined Initial Classification Overview</w:t>
      </w:r>
    </w:p>
    <w:bookmarkEnd w:id="54"/>
    <w:bookmarkEnd w:id="55"/>
    <w:bookmarkStart w:id="59" w:name="uncertainty-quantification-results"/>
    <w:p>
      <w:pPr>
        <w:pStyle w:val="Heading3"/>
      </w:pPr>
      <w:r>
        <w:t xml:space="preserve">3.4 Uncertainty Quantification Results</w:t>
      </w:r>
    </w:p>
    <w:p>
      <w:pPr>
        <w:pStyle w:val="FirstParagraph"/>
      </w:pPr>
      <w:r>
        <w:t xml:space="preserve">EDL provides intrinsic uncertainty maps. Using the derived proxy metrics for uncertainty evaluation, we observe how well the models calibrate their confidence predictions:</w:t>
      </w:r>
    </w:p>
    <w:p>
      <w:pPr>
        <w:pStyle w:val="CaptionedFigure"/>
      </w:pPr>
      <w:r>
        <w:drawing>
          <wp:inline>
            <wp:extent cx="5334000" cy="2191870"/>
            <wp:effectExtent b="0" l="0" r="0" t="0"/>
            <wp:docPr descr="Uncertainty Proxy Metrics" title="" id="57" name="Picture"/>
            <a:graphic>
              <a:graphicData uri="http://schemas.openxmlformats.org/drawingml/2006/picture">
                <pic:pic>
                  <pic:nvPicPr>
                    <pic:cNvPr descr="/Users/danesh/Desktop/Classific/Classification_Uncertainty_Quantification_Analysis/Classification/edl_v2/results/training_plots/uncertainty_proxy_metrics.png" id="58" name="Picture"/>
                    <pic:cNvPicPr>
                      <a:picLocks noChangeArrowheads="1" noChangeAspect="1"/>
                    </pic:cNvPicPr>
                  </pic:nvPicPr>
                  <pic:blipFill>
                    <a:blip r:embed="rId56"/>
                    <a:stretch>
                      <a:fillRect/>
                    </a:stretch>
                  </pic:blipFill>
                  <pic:spPr bwMode="auto">
                    <a:xfrm>
                      <a:off x="0" y="0"/>
                      <a:ext cx="5334000" cy="2191870"/>
                    </a:xfrm>
                    <a:prstGeom prst="rect">
                      <a:avLst/>
                    </a:prstGeom>
                    <a:noFill/>
                    <a:ln w="9525">
                      <a:noFill/>
                      <a:headEnd/>
                      <a:tailEnd/>
                    </a:ln>
                  </pic:spPr>
                </pic:pic>
              </a:graphicData>
            </a:graphic>
          </wp:inline>
        </w:drawing>
      </w:r>
    </w:p>
    <w:p>
      <w:pPr>
        <w:pStyle w:val="ImageCaption"/>
      </w:pPr>
      <w:r>
        <w:t xml:space="preserve">Uncertainty Proxy Metrics</w:t>
      </w:r>
    </w:p>
    <w:p>
      <w:pPr>
        <w:pStyle w:val="BodyText"/>
      </w:pPr>
      <w:r>
        <w:rPr>
          <w:i/>
          <w:iCs/>
        </w:rPr>
        <w:t xml:space="preserve">Note: Models with better uncertainty quantification (e.g., GFNet) consistently show lower entropy in confident regions and accurately assign higher uncertainty mass to class boundaries and out-of-distribution samples.</w:t>
      </w:r>
    </w:p>
    <w:bookmarkEnd w:id="59"/>
    <w:bookmarkEnd w:id="60"/>
    <w:bookmarkStart w:id="61" w:name="conclusion"/>
    <w:p>
      <w:pPr>
        <w:pStyle w:val="Heading2"/>
      </w:pPr>
      <w:r>
        <w:t xml:space="preserve">4. Conclusion</w:t>
      </w:r>
    </w:p>
    <w:p>
      <w:pPr>
        <w:pStyle w:val="FirstParagraph"/>
      </w:pPr>
      <w:r>
        <w:t xml:space="preserve">Evidential Deep Learning offers a highly effective paradigm for concurrent classification and uncertainty quantification in hyperspectral imaging. Our experiments demonstrate that the GFNet architecture leverages EDL to produce exceptionally accurate classification maps (99.68% accuracy) while simultaneously outputting well-calibrated confidence bounds, significantly outperforming ViT-UNet and AlexNet CNN on all relevant metrics.</w:t>
      </w:r>
    </w:p>
    <w:bookmarkEnd w:id="61"/>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7" Target="media/rId47.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51" Target="media/rId51.png" /><Relationship Type="http://schemas.openxmlformats.org/officeDocument/2006/relationships/image" Id="rId37" Target="media/rId37.png" /><Relationship Type="http://schemas.openxmlformats.org/officeDocument/2006/relationships/image" Id="rId34" Target="media/rId34.png" /><Relationship Type="http://schemas.openxmlformats.org/officeDocument/2006/relationships/image" Id="rId21" Target="media/rId21.png" /><Relationship Type="http://schemas.openxmlformats.org/officeDocument/2006/relationships/image" Id="rId15" Target="media/rId15.png" /><Relationship Type="http://schemas.openxmlformats.org/officeDocument/2006/relationships/image" Id="rId18" Target="media/rId18.png" /><Relationship Type="http://schemas.openxmlformats.org/officeDocument/2006/relationships/image" Id="rId29" Target="media/rId29.png" /><Relationship Type="http://schemas.openxmlformats.org/officeDocument/2006/relationships/image" Id="rId25" Target="media/rId25.png" /><Relationship Type="http://schemas.openxmlformats.org/officeDocument/2006/relationships/image" Id="rId56" Target="media/rId5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2026-08-20T02:27:17Z</dcterms:created>
  <dcterms:modified xsi:type="dcterms:W3CDTF">2026-08-20T02:27:17Z</dcterms:modified>
</cp:coreProperties>
</file>

<file path=docProps/custom.xml><?xml version="1.0" encoding="utf-8"?>
<Properties xmlns="http://schemas.openxmlformats.org/officeDocument/2006/custom-properties" xmlns:vt="http://schemas.openxmlformats.org/officeDocument/2006/docPropsVTypes"/>
</file>