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48.png" ContentType="image/png"/>
  <Override PartName="/word/media/rId39.png" ContentType="image/png"/>
  <Override PartName="/word/media/rId36.png" ContentType="image/png"/>
  <Override PartName="/word/media/rId33.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338b229a49ed767a6e7fa084bbc3423337908c"/>
    <w:p>
      <w:pPr>
        <w:pStyle w:val="Heading1"/>
      </w:pPr>
      <w:r>
        <w:t xml:space="preserve">Report on Classification and Uncertainty Quantification using Class-Balanced Focal Loss</w:t>
      </w:r>
    </w:p>
    <w:bookmarkStart w:id="9" w:name="abstract"/>
    <w:p>
      <w:pPr>
        <w:pStyle w:val="Heading2"/>
      </w:pPr>
      <w:r>
        <w:t xml:space="preserve">Abstract</w:t>
      </w:r>
    </w:p>
    <w:p>
      <w:pPr>
        <w:pStyle w:val="FirstParagraph"/>
      </w:pPr>
      <w:r>
        <w:t xml:space="preserve">This report presents a comprehensive analysis of classification and uncertainty quantification using Class-Balanced (CB) Focal Loss. Three diverse model architectures—AlexNet, GFNet, and ViT (Vision Transformer)—were evaluated. The experiments establish the efficacy of CB Focal Loss in addressing severe class imbalance issues typical in real-world datasets. Furthermore, a rigorous evaluation of various conformal prediction methods is provided to quantify predictive uncertainty.</w:t>
      </w:r>
    </w:p>
    <w:bookmarkEnd w:id="9"/>
    <w:bookmarkStart w:id="10" w:name="introduction"/>
    <w:p>
      <w:pPr>
        <w:pStyle w:val="Heading2"/>
      </w:pPr>
      <w:r>
        <w:t xml:space="preserve">1. Introduction</w:t>
      </w:r>
    </w:p>
    <w:p>
      <w:pPr>
        <w:pStyle w:val="FirstParagraph"/>
      </w:pPr>
      <w:r>
        <w:t xml:space="preserve">Real-world datasets frequently exhibit long-tailed distributions, where a few classes dominate the data while others have very few samples. Standard training procedures often lead to models that perform well on majority classes but poorly on minority ones. This report investigates the application of Class-Balanced Focal Loss to mitigate these challenges. By dynamically scaling the loss based on the effective number of samples and down-weighting easy examples, this approach ensures balanced representation learning across all classes. Additionally, uncertainty quantification is crucial for deploying models in high-stakes domains; therefore, we apply conformal prediction to provide statistically rigorous uncertainty bounds.</w:t>
      </w:r>
    </w:p>
    <w:bookmarkEnd w:id="10"/>
    <w:bookmarkStart w:id="13" w:name="methodology"/>
    <w:p>
      <w:pPr>
        <w:pStyle w:val="Heading2"/>
      </w:pPr>
      <w:r>
        <w:t xml:space="preserve">2. Methodology</w:t>
      </w:r>
    </w:p>
    <w:bookmarkStart w:id="11" w:name="class-balanced-focal-loss"/>
    <w:p>
      <w:pPr>
        <w:pStyle w:val="Heading3"/>
      </w:pPr>
      <w:r>
        <w:t xml:space="preserve">2.1 Class-Balanced Focal Loss</w:t>
      </w:r>
    </w:p>
    <w:p>
      <w:pPr>
        <w:pStyle w:val="FirstParagraph"/>
      </w:pPr>
      <w:r>
        <w:t xml:space="preserve">Class-Balanced Focal Loss combines two significant concepts to address class imbalance and hard-example mining: the effective number of samples and Focal Loss.</w:t>
      </w:r>
    </w:p>
    <w:p>
      <w:pPr>
        <w:pStyle w:val="BodyText"/>
      </w:pPr>
      <w:r>
        <w:rPr>
          <w:b/>
          <w:bCs/>
        </w:rPr>
        <w:t xml:space="preserve">Effective Number of Samples:</w:t>
      </w:r>
      <w:r>
        <w:t xml:space="preserve"> </w:t>
      </w:r>
      <w:r>
        <w:t xml:space="preserve">Instead of weighting classes purely by the inverse of their frequency, which can over-amplify noise in extreme minority classes, the class-balanced formulation relies on the effective number of samples,</w:t>
      </w:r>
      <w:r>
        <w:t xml:space="preserve"> </w:t>
      </w:r>
      <m:oMath>
        <m:sSub>
          <m:e>
            <m:r>
              <m:t>E</m:t>
            </m:r>
          </m:e>
          <m:sub>
            <m:r>
              <m:t>n</m:t>
            </m:r>
          </m:sub>
        </m:sSub>
      </m:oMath>
      <w:r>
        <w:t xml:space="preserve">. Assuming a sampling space where new samples overlap with previously observed ones,</w:t>
      </w:r>
      <w:r>
        <w:t xml:space="preserve"> </w:t>
      </w:r>
      <m:oMath>
        <m:sSub>
          <m:e>
            <m:r>
              <m:t>E</m:t>
            </m:r>
          </m:e>
          <m:sub>
            <m:r>
              <m:t>n</m:t>
            </m:r>
          </m:sub>
        </m:sSub>
      </m:oMath>
      <w:r>
        <w:t xml:space="preserve"> </w:t>
      </w:r>
      <w:r>
        <w:t xml:space="preserve">is defined as:</w:t>
      </w:r>
    </w:p>
    <w:p>
      <w:pPr>
        <w:pStyle w:val="BodyText"/>
      </w:pPr>
      <m:oMathPara>
        <m:oMathParaPr>
          <m:jc m:val="center"/>
        </m:oMathParaPr>
        <m:oMath>
          <m:sSub>
            <m:e>
              <m:r>
                <m:t>E</m:t>
              </m:r>
            </m:e>
            <m:sub>
              <m:r>
                <m:t>n</m:t>
              </m:r>
            </m:sub>
          </m:sSub>
          <m:r>
            <m:rPr>
              <m:sty m:val="p"/>
            </m:rPr>
            <m:t>=</m:t>
          </m:r>
          <m:f>
            <m:fPr>
              <m:type m:val="bar"/>
            </m:fPr>
            <m:num>
              <m:r>
                <m:t>1</m:t>
              </m:r>
              <m:r>
                <m:rPr>
                  <m:sty m:val="p"/>
                </m:rPr>
                <m:t>−</m:t>
              </m:r>
              <m:sSup>
                <m:e>
                  <m:r>
                    <m:t>β</m:t>
                  </m:r>
                </m:e>
                <m:sup>
                  <m:r>
                    <m:t>n</m:t>
                  </m:r>
                </m:sup>
              </m:sSup>
            </m:num>
            <m:den>
              <m:r>
                <m:t>1</m:t>
              </m:r>
              <m:r>
                <m:rPr>
                  <m:sty m:val="p"/>
                </m:rPr>
                <m:t>−</m:t>
              </m:r>
              <m:r>
                <m:t>β</m:t>
              </m:r>
            </m:den>
          </m:f>
        </m:oMath>
      </m:oMathPara>
    </w:p>
    <w:p>
      <w:pPr>
        <w:pStyle w:val="FirstParagraph"/>
      </w:pPr>
      <w:r>
        <w:t xml:space="preserve">where</w:t>
      </w:r>
      <w:r>
        <w:t xml:space="preserve"> </w:t>
      </w:r>
      <m:oMath>
        <m:r>
          <m:t>n</m:t>
        </m:r>
      </m:oMath>
      <w:r>
        <w:t xml:space="preserve"> </w:t>
      </w:r>
      <w:r>
        <w:t xml:space="preserve">is the actual number of samples for the class, and</w:t>
      </w:r>
      <w:r>
        <w:t xml:space="preserve"> </w:t>
      </w:r>
      <m:oMath>
        <m:r>
          <m:t>β</m:t>
        </m:r>
        <m:r>
          <m:rPr>
            <m:sty m:val="p"/>
          </m:rPr>
          <m:t>∈</m:t>
        </m:r>
        <m:r>
          <m:rPr>
            <m:sty m:val="p"/>
          </m:rPr>
          <m:t>[</m:t>
        </m:r>
        <m:r>
          <m:t>0</m:t>
        </m:r>
        <m:r>
          <m:rPr>
            <m:sty m:val="p"/>
          </m:rPr>
          <m:t>,</m:t>
        </m:r>
        <m:r>
          <m:t>1</m:t>
        </m:r>
        <m:r>
          <m:rPr>
            <m:sty m:val="p"/>
          </m:rPr>
          <m:t>)</m:t>
        </m:r>
      </m:oMath>
      <w:r>
        <w:t xml:space="preserve"> </w:t>
      </w:r>
      <w:r>
        <w:t xml:space="preserve">is a hyperparameter controlling the degree of overlap. The weighting factor for class</w:t>
      </w:r>
      <w:r>
        <w:t xml:space="preserve"> </w:t>
      </w:r>
      <m:oMath>
        <m:r>
          <m:t>i</m:t>
        </m:r>
      </m:oMath>
      <w:r>
        <w:t xml:space="preserve"> </w:t>
      </w:r>
      <w:r>
        <w:t xml:space="preserve">becomes</w:t>
      </w:r>
      <w:r>
        <w:t xml:space="preserve"> </w:t>
      </w:r>
      <m:oMath>
        <m:sSub>
          <m:e>
            <m:r>
              <m:t>α</m:t>
            </m:r>
          </m:e>
          <m:sub>
            <m:r>
              <m:t>i</m:t>
            </m:r>
          </m:sub>
        </m:sSub>
        <m:r>
          <m:rPr>
            <m:sty m:val="p"/>
          </m:rPr>
          <m:t>=</m:t>
        </m:r>
        <m:f>
          <m:fPr>
            <m:type m:val="bar"/>
          </m:fPr>
          <m:num>
            <m:r>
              <m:t>1</m:t>
            </m:r>
          </m:num>
          <m:den>
            <m:sSub>
              <m:e>
                <m:r>
                  <m:t>E</m:t>
                </m:r>
              </m:e>
              <m:sub>
                <m:sSub>
                  <m:e>
                    <m:r>
                      <m:t>n</m:t>
                    </m:r>
                  </m:e>
                  <m:sub>
                    <m:r>
                      <m:t>i</m:t>
                    </m:r>
                  </m:sub>
                </m:sSub>
              </m:sub>
            </m:sSub>
          </m:den>
        </m:f>
      </m:oMath>
      <w:r>
        <w:t xml:space="preserve">.</w:t>
      </w:r>
    </w:p>
    <w:p>
      <w:pPr>
        <w:pStyle w:val="BodyText"/>
      </w:pPr>
      <w:r>
        <w:rPr>
          <w:b/>
          <w:bCs/>
        </w:rPr>
        <w:t xml:space="preserve">Focal Loss:</w:t>
      </w:r>
      <w:r>
        <w:t xml:space="preserve"> </w:t>
      </w:r>
      <w:r>
        <w:t xml:space="preserve">Focal loss dynamically scales the standard cross-entropy loss based on prediction confidence, focusing training on hard, misclassified examples. For a true class probability</w:t>
      </w:r>
      <w:r>
        <w:t xml:space="preserve"> </w:t>
      </w:r>
      <m:oMath>
        <m:sSub>
          <m:e>
            <m:r>
              <m:t>p</m:t>
            </m:r>
          </m:e>
          <m:sub>
            <m:r>
              <m:t>t</m:t>
            </m:r>
          </m:sub>
        </m:sSub>
      </m:oMath>
      <w:r>
        <w:t xml:space="preserve">, the focal loss is:</w:t>
      </w:r>
    </w:p>
    <w:p>
      <w:pPr>
        <w:pStyle w:val="BodyText"/>
      </w:pPr>
      <m:oMathPara>
        <m:oMathParaPr>
          <m:jc m:val="center"/>
        </m:oMathParaPr>
        <m:oMath>
          <m:r>
            <m:t>F</m:t>
          </m:r>
          <m:r>
            <m:t>L</m:t>
          </m:r>
          <m:r>
            <m:rPr>
              <m:sty m:val="p"/>
            </m:rPr>
            <m:t>(</m:t>
          </m:r>
          <m:sSub>
            <m:e>
              <m:r>
                <m:t>p</m:t>
              </m:r>
            </m:e>
            <m:sub>
              <m:r>
                <m:t>t</m:t>
              </m:r>
            </m:sub>
          </m:sSub>
          <m:r>
            <m:rPr>
              <m:sty m:val="p"/>
            </m:rPr>
            <m:t>)</m:t>
          </m:r>
          <m:r>
            <m:rPr>
              <m:sty m:val="p"/>
            </m:rPr>
            <m:t>=</m:t>
          </m:r>
          <m:r>
            <m:rPr>
              <m:sty m:val="p"/>
            </m:rPr>
            <m:t>−</m:t>
          </m:r>
          <m:r>
            <m:rPr>
              <m:sty m:val="p"/>
            </m:rPr>
            <m:t>(</m:t>
          </m:r>
          <m:r>
            <m:t>1</m:t>
          </m:r>
          <m:r>
            <m:rPr>
              <m:sty m:val="p"/>
            </m:rPr>
            <m:t>−</m:t>
          </m:r>
          <m:sSub>
            <m:e>
              <m:r>
                <m:t>p</m:t>
              </m:r>
            </m:e>
            <m:sub>
              <m:r>
                <m:t>t</m:t>
              </m:r>
            </m:sub>
          </m:sSub>
          <m:sSup>
            <m:e>
              <m:r>
                <m:rPr>
                  <m:sty m:val="p"/>
                </m:rPr>
                <m:t>)</m:t>
              </m:r>
            </m:e>
            <m:sup>
              <m:r>
                <m:t>γ</m:t>
              </m:r>
            </m:sup>
          </m:sSup>
          <m:r>
            <m:rPr>
              <m:sty m:val="p"/>
            </m:rPr>
            <m:t>log</m:t>
          </m:r>
          <m:r>
            <m:rPr>
              <m:sty m:val="p"/>
            </m:rPr>
            <m:t>(</m:t>
          </m:r>
          <m:sSub>
            <m:e>
              <m:r>
                <m:t>p</m:t>
              </m:r>
            </m:e>
            <m:sub>
              <m:r>
                <m:t>t</m:t>
              </m:r>
            </m:sub>
          </m:sSub>
          <m:r>
            <m:rPr>
              <m:sty m:val="p"/>
            </m:rPr>
            <m:t>)</m:t>
          </m:r>
        </m:oMath>
      </m:oMathPara>
    </w:p>
    <w:p>
      <w:pPr>
        <w:pStyle w:val="FirstParagraph"/>
      </w:pPr>
      <w:r>
        <w:t xml:space="preserve">where</w:t>
      </w:r>
      <w:r>
        <w:t xml:space="preserve"> </w:t>
      </w:r>
      <m:oMath>
        <m:r>
          <m:t>γ</m:t>
        </m:r>
        <m:r>
          <m:rPr>
            <m:sty m:val="p"/>
          </m:rPr>
          <m:t>≥</m:t>
        </m:r>
        <m:r>
          <m:t>0</m:t>
        </m:r>
      </m:oMath>
      <w:r>
        <w:t xml:space="preserve"> </w:t>
      </w:r>
      <w:r>
        <w:t xml:space="preserve">is the focusing parameter.</w:t>
      </w:r>
    </w:p>
    <w:p>
      <w:pPr>
        <w:pStyle w:val="BodyText"/>
      </w:pPr>
      <w:r>
        <w:rPr>
          <w:b/>
          <w:bCs/>
        </w:rPr>
        <w:t xml:space="preserve">Combined CB Focal Loss:</w:t>
      </w:r>
      <w:r>
        <w:t xml:space="preserve"> </w:t>
      </w:r>
      <w:r>
        <w:t xml:space="preserve">The resulting Class-Balanced Focal Loss integrates both mechanisms:</w:t>
      </w:r>
    </w:p>
    <w:p>
      <w:pPr>
        <w:pStyle w:val="BodyText"/>
      </w:pPr>
      <m:oMathPara>
        <m:oMathParaPr>
          <m:jc m:val="center"/>
        </m:oMathParaPr>
        <m:oMath>
          <m:r>
            <m:t>C</m:t>
          </m:r>
          <m:r>
            <m:t>B</m:t>
          </m:r>
          <m:r>
            <m:rPr>
              <m:sty m:val="p"/>
            </m:rPr>
            <m:t>−</m:t>
          </m:r>
          <m:r>
            <m:t>F</m:t>
          </m:r>
          <m:r>
            <m:t>L</m:t>
          </m:r>
          <m:r>
            <m:rPr>
              <m:sty m:val="p"/>
            </m:rPr>
            <m:t>(</m:t>
          </m:r>
          <m:sSub>
            <m:e>
              <m:r>
                <m:t>p</m:t>
              </m:r>
            </m:e>
            <m:sub>
              <m:r>
                <m:t>t</m:t>
              </m:r>
            </m:sub>
          </m:sSub>
          <m:r>
            <m:rPr>
              <m:sty m:val="p"/>
            </m:rPr>
            <m:t>)</m:t>
          </m:r>
          <m:r>
            <m:rPr>
              <m:sty m:val="p"/>
            </m:rPr>
            <m:t>=</m:t>
          </m:r>
          <m:r>
            <m:rPr>
              <m:sty m:val="p"/>
            </m:rPr>
            <m:t>−</m:t>
          </m:r>
          <m:f>
            <m:fPr>
              <m:type m:val="bar"/>
            </m:fPr>
            <m:num>
              <m:r>
                <m:t>1</m:t>
              </m:r>
              <m:r>
                <m:rPr>
                  <m:sty m:val="p"/>
                </m:rPr>
                <m:t>−</m:t>
              </m:r>
              <m:r>
                <m:t>β</m:t>
              </m:r>
            </m:num>
            <m:den>
              <m:r>
                <m:t>1</m:t>
              </m:r>
              <m:r>
                <m:rPr>
                  <m:sty m:val="p"/>
                </m:rPr>
                <m:t>−</m:t>
              </m:r>
              <m:sSup>
                <m:e>
                  <m:r>
                    <m:t>β</m:t>
                  </m:r>
                </m:e>
                <m:sup>
                  <m:r>
                    <m:t>n</m:t>
                  </m:r>
                </m:sup>
              </m:sSup>
            </m:den>
          </m:f>
          <m:r>
            <m:rPr>
              <m:sty m:val="p"/>
            </m:rPr>
            <m:t>(</m:t>
          </m:r>
          <m:r>
            <m:t>1</m:t>
          </m:r>
          <m:r>
            <m:rPr>
              <m:sty m:val="p"/>
            </m:rPr>
            <m:t>−</m:t>
          </m:r>
          <m:sSub>
            <m:e>
              <m:r>
                <m:t>p</m:t>
              </m:r>
            </m:e>
            <m:sub>
              <m:r>
                <m:t>t</m:t>
              </m:r>
            </m:sub>
          </m:sSub>
          <m:sSup>
            <m:e>
              <m:r>
                <m:rPr>
                  <m:sty m:val="p"/>
                </m:rPr>
                <m:t>)</m:t>
              </m:r>
            </m:e>
            <m:sup>
              <m:r>
                <m:t>γ</m:t>
              </m:r>
            </m:sup>
          </m:sSup>
          <m:r>
            <m:rPr>
              <m:sty m:val="p"/>
            </m:rPr>
            <m:t>log</m:t>
          </m:r>
          <m:r>
            <m:rPr>
              <m:sty m:val="p"/>
            </m:rPr>
            <m:t>(</m:t>
          </m:r>
          <m:sSub>
            <m:e>
              <m:r>
                <m:t>p</m:t>
              </m:r>
            </m:e>
            <m:sub>
              <m:r>
                <m:t>t</m:t>
              </m:r>
            </m:sub>
          </m:sSub>
          <m:r>
            <m:rPr>
              <m:sty m:val="p"/>
            </m:rPr>
            <m:t>)</m:t>
          </m:r>
        </m:oMath>
      </m:oMathPara>
    </w:p>
    <w:p>
      <w:pPr>
        <w:pStyle w:val="FirstParagraph"/>
      </w:pPr>
      <w:r>
        <w:t xml:space="preserve">This formulation naturally handles severe class imbalances by giving appropriate weight to minority classes without overwhelming the gradients.</w:t>
      </w:r>
    </w:p>
    <w:bookmarkEnd w:id="11"/>
    <w:bookmarkStart w:id="12" w:name="model-architectures"/>
    <w:p>
      <w:pPr>
        <w:pStyle w:val="Heading3"/>
      </w:pPr>
      <w:r>
        <w:t xml:space="preserve">2.2 Model Architectures</w:t>
      </w:r>
    </w:p>
    <w:p>
      <w:pPr>
        <w:pStyle w:val="FirstParagraph"/>
      </w:pPr>
      <w:r>
        <w:t xml:space="preserve">We evaluated three architectures:</w:t>
      </w:r>
      <w:r>
        <w:t xml:space="preserve"> </w:t>
      </w:r>
      <w:r>
        <w:t xml:space="preserve">-</w:t>
      </w:r>
      <w:r>
        <w:t xml:space="preserve"> </w:t>
      </w:r>
      <w:r>
        <w:rPr>
          <w:b/>
          <w:bCs/>
        </w:rPr>
        <w:t xml:space="preserve">AlexNet (CNN):</w:t>
      </w:r>
      <w:r>
        <w:t xml:space="preserve"> </w:t>
      </w:r>
      <w:r>
        <w:t xml:space="preserve">A standard baseline capturing local spatial hierarchies.</w:t>
      </w:r>
      <w:r>
        <w:t xml:space="preserve"> </w:t>
      </w:r>
      <w:r>
        <w:t xml:space="preserve">-</w:t>
      </w:r>
      <w:r>
        <w:t xml:space="preserve"> </w:t>
      </w:r>
      <w:r>
        <w:rPr>
          <w:b/>
          <w:bCs/>
        </w:rPr>
        <w:t xml:space="preserve">GFNet:</w:t>
      </w:r>
      <w:r>
        <w:t xml:space="preserve"> </w:t>
      </w:r>
      <w:r>
        <w:t xml:space="preserve">An architecture that leverages global filter operations for efficient spatial mixing.</w:t>
      </w:r>
      <w:r>
        <w:t xml:space="preserve"> </w:t>
      </w:r>
      <w:r>
        <w:t xml:space="preserve">-</w:t>
      </w:r>
      <w:r>
        <w:t xml:space="preserve"> </w:t>
      </w:r>
      <w:r>
        <w:rPr>
          <w:b/>
          <w:bCs/>
        </w:rPr>
        <w:t xml:space="preserve">ViT (UNet variation):</w:t>
      </w:r>
      <w:r>
        <w:t xml:space="preserve"> </w:t>
      </w:r>
      <w:r>
        <w:t xml:space="preserve">A Vision Transformer designed to capture global contextual dependencies using self-attention mechanisms.</w:t>
      </w:r>
    </w:p>
    <w:bookmarkEnd w:id="12"/>
    <w:bookmarkEnd w:id="13"/>
    <w:bookmarkStart w:id="53" w:name="experiments-and-results"/>
    <w:p>
      <w:pPr>
        <w:pStyle w:val="Heading2"/>
      </w:pPr>
      <w:r>
        <w:t xml:space="preserve">3. Experiments and Results</w:t>
      </w:r>
    </w:p>
    <w:bookmarkStart w:id="14" w:name="classification-performance"/>
    <w:p>
      <w:pPr>
        <w:pStyle w:val="Heading3"/>
      </w:pPr>
      <w:r>
        <w:t xml:space="preserve">3.1 Classification Performance</w:t>
      </w:r>
    </w:p>
    <w:p>
      <w:pPr>
        <w:pStyle w:val="FirstParagraph"/>
      </w:pPr>
      <w:r>
        <w:t xml:space="preserve">The classification models were trained for 100 epochs. The overall performance metrics on the test set are summarized below: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Test Accuracy</w:t>
            </w:r>
          </w:p>
        </w:tc>
        <w:tc>
          <w:tcPr/>
          <w:p>
            <w:pPr>
              <w:pStyle w:val="Compact"/>
            </w:pPr>
            <w:r>
              <w:t xml:space="preserve">Kappa</w:t>
            </w:r>
          </w:p>
        </w:tc>
        <w:tc>
          <w:tcPr/>
          <w:p>
            <w:pPr>
              <w:pStyle w:val="Compact"/>
            </w:pPr>
            <w:r>
              <w:t xml:space="preserve">Macro F1</w:t>
            </w:r>
          </w:p>
        </w:tc>
        <w:tc>
          <w:tcPr/>
          <w:p>
            <w:pPr>
              <w:pStyle w:val="Compact"/>
            </w:pPr>
            <w:r>
              <w:t xml:space="preserve">Weighted F1</w:t>
            </w:r>
          </w:p>
        </w:tc>
        <w:tc>
          <w:tcPr/>
          <w:p>
            <w:pPr>
              <w:pStyle w:val="Compact"/>
            </w:pPr>
            <w:r>
              <w:t xml:space="preserve">Test NLL</w:t>
            </w:r>
          </w:p>
        </w:tc>
        <w:tc>
          <w:tcPr/>
          <w:p>
            <w:pPr>
              <w:pStyle w:val="Compact"/>
            </w:pPr>
            <w:r>
              <w:t xml:space="preserve">Test ECE (15-bin)</w:t>
            </w:r>
          </w:p>
        </w:tc>
        <w:tc>
          <w:tcPr/>
          <w:p>
            <w:pPr>
              <w:pStyle w:val="Compact"/>
            </w:pPr>
            <w:r>
              <w:t xml:space="preserve">Train Time (s)</w:t>
            </w:r>
          </w:p>
        </w:tc>
      </w:tr>
      <w:tr>
        <w:tc>
          <w:tcPr/>
          <w:p>
            <w:pPr>
              <w:pStyle w:val="Compact"/>
            </w:pPr>
            <w:r>
              <w:rPr>
                <w:b/>
                <w:bCs/>
              </w:rPr>
              <w:t xml:space="preserve">GFNet</w:t>
            </w:r>
          </w:p>
        </w:tc>
        <w:tc>
          <w:tcPr/>
          <w:p>
            <w:pPr>
              <w:pStyle w:val="Compact"/>
            </w:pPr>
            <w:r>
              <w:t xml:space="preserve">0.9968</w:t>
            </w:r>
          </w:p>
        </w:tc>
        <w:tc>
          <w:tcPr/>
          <w:p>
            <w:pPr>
              <w:pStyle w:val="Compact"/>
            </w:pPr>
            <w:r>
              <w:t xml:space="preserve">0.9956</w:t>
            </w:r>
          </w:p>
        </w:tc>
        <w:tc>
          <w:tcPr/>
          <w:p>
            <w:pPr>
              <w:pStyle w:val="Compact"/>
            </w:pPr>
            <w:r>
              <w:t xml:space="preserve">0.9957</w:t>
            </w:r>
          </w:p>
        </w:tc>
        <w:tc>
          <w:tcPr/>
          <w:p>
            <w:pPr>
              <w:pStyle w:val="Compact"/>
            </w:pPr>
            <w:r>
              <w:t xml:space="preserve">0.9968</w:t>
            </w:r>
          </w:p>
        </w:tc>
        <w:tc>
          <w:tcPr/>
          <w:p>
            <w:pPr>
              <w:pStyle w:val="Compact"/>
            </w:pPr>
            <w:r>
              <w:t xml:space="preserve">0.0103</w:t>
            </w:r>
          </w:p>
        </w:tc>
        <w:tc>
          <w:tcPr/>
          <w:p>
            <w:pPr>
              <w:pStyle w:val="Compact"/>
            </w:pPr>
            <w:r>
              <w:t xml:space="preserve">0.0022</w:t>
            </w:r>
          </w:p>
        </w:tc>
        <w:tc>
          <w:tcPr/>
          <w:p>
            <w:pPr>
              <w:pStyle w:val="Compact"/>
            </w:pPr>
            <w:r>
              <w:t xml:space="preserve">792.1</w:t>
            </w:r>
          </w:p>
        </w:tc>
      </w:tr>
      <w:tr>
        <w:tc>
          <w:tcPr/>
          <w:p>
            <w:pPr>
              <w:pStyle w:val="Compact"/>
            </w:pPr>
            <w:r>
              <w:rPr>
                <w:b/>
                <w:bCs/>
              </w:rPr>
              <w:t xml:space="preserve">AlexNet</w:t>
            </w:r>
          </w:p>
        </w:tc>
        <w:tc>
          <w:tcPr/>
          <w:p>
            <w:pPr>
              <w:pStyle w:val="Compact"/>
            </w:pPr>
            <w:r>
              <w:t xml:space="preserve">0.9965</w:t>
            </w:r>
          </w:p>
        </w:tc>
        <w:tc>
          <w:tcPr/>
          <w:p>
            <w:pPr>
              <w:pStyle w:val="Compact"/>
            </w:pPr>
            <w:r>
              <w:t xml:space="preserve">0.9953</w:t>
            </w:r>
          </w:p>
        </w:tc>
        <w:tc>
          <w:tcPr/>
          <w:p>
            <w:pPr>
              <w:pStyle w:val="Compact"/>
            </w:pPr>
            <w:r>
              <w:t xml:space="preserve">0.9976</w:t>
            </w:r>
          </w:p>
        </w:tc>
        <w:tc>
          <w:tcPr/>
          <w:p>
            <w:pPr>
              <w:pStyle w:val="Compact"/>
            </w:pPr>
            <w:r>
              <w:t xml:space="preserve">0.9965</w:t>
            </w:r>
          </w:p>
        </w:tc>
        <w:tc>
          <w:tcPr/>
          <w:p>
            <w:pPr>
              <w:pStyle w:val="Compact"/>
            </w:pPr>
            <w:r>
              <w:t xml:space="preserve">0.0298</w:t>
            </w:r>
          </w:p>
        </w:tc>
        <w:tc>
          <w:tcPr/>
          <w:p>
            <w:pPr>
              <w:pStyle w:val="Compact"/>
            </w:pPr>
            <w:r>
              <w:t xml:space="preserve">0.0200</w:t>
            </w:r>
          </w:p>
        </w:tc>
        <w:tc>
          <w:tcPr/>
          <w:p>
            <w:pPr>
              <w:pStyle w:val="Compact"/>
            </w:pPr>
            <w:r>
              <w:t xml:space="preserve">810.2</w:t>
            </w:r>
          </w:p>
        </w:tc>
      </w:tr>
      <w:tr>
        <w:tc>
          <w:tcPr/>
          <w:p>
            <w:pPr>
              <w:pStyle w:val="Compact"/>
            </w:pPr>
            <w:r>
              <w:rPr>
                <w:b/>
                <w:bCs/>
              </w:rPr>
              <w:t xml:space="preserve">ViT</w:t>
            </w:r>
          </w:p>
        </w:tc>
        <w:tc>
          <w:tcPr/>
          <w:p>
            <w:pPr>
              <w:pStyle w:val="Compact"/>
            </w:pPr>
            <w:r>
              <w:t xml:space="preserve">0.9921</w:t>
            </w:r>
          </w:p>
        </w:tc>
        <w:tc>
          <w:tcPr/>
          <w:p>
            <w:pPr>
              <w:pStyle w:val="Compact"/>
            </w:pPr>
            <w:r>
              <w:t xml:space="preserve">0.9893</w:t>
            </w:r>
          </w:p>
        </w:tc>
        <w:tc>
          <w:tcPr/>
          <w:p>
            <w:pPr>
              <w:pStyle w:val="Compact"/>
            </w:pPr>
            <w:r>
              <w:t xml:space="preserve">0.9883</w:t>
            </w:r>
          </w:p>
        </w:tc>
        <w:tc>
          <w:tcPr/>
          <w:p>
            <w:pPr>
              <w:pStyle w:val="Compact"/>
            </w:pPr>
            <w:r>
              <w:t xml:space="preserve">0.9921</w:t>
            </w:r>
          </w:p>
        </w:tc>
        <w:tc>
          <w:tcPr/>
          <w:p>
            <w:pPr>
              <w:pStyle w:val="Compact"/>
            </w:pPr>
            <w:r>
              <w:t xml:space="preserve">0.0299</w:t>
            </w:r>
          </w:p>
        </w:tc>
        <w:tc>
          <w:tcPr/>
          <w:p>
            <w:pPr>
              <w:pStyle w:val="Compact"/>
            </w:pPr>
            <w:r>
              <w:t xml:space="preserve">0.0021</w:t>
            </w:r>
          </w:p>
        </w:tc>
        <w:tc>
          <w:tcPr/>
          <w:p>
            <w:pPr>
              <w:pStyle w:val="Compact"/>
            </w:pPr>
            <w:r>
              <w:t xml:space="preserve">1502.1</w:t>
            </w:r>
          </w:p>
        </w:tc>
      </w:tr>
    </w:tbl>
    <w:p>
      <w:pPr>
        <w:pStyle w:val="BodyText"/>
      </w:pPr>
      <w:r>
        <w:t xml:space="preserve">GFNet achieved the highest test accuracy and the lowest Expected Calibration Error (ECE) and Negative Log-Likelihood (NLL), indicating highly confident and well-calibrated predictions.</w:t>
      </w:r>
    </w:p>
    <w:bookmarkEnd w:id="14"/>
    <w:bookmarkStart w:id="51" w:name="visualizations"/>
    <w:p>
      <w:pPr>
        <w:pStyle w:val="Heading3"/>
      </w:pPr>
      <w:r>
        <w:t xml:space="preserve">3.2 Visualizations</w:t>
      </w:r>
    </w:p>
    <w:p>
      <w:pPr>
        <w:pStyle w:val="FirstParagraph"/>
      </w:pPr>
      <w:r>
        <w:t xml:space="preserve">Below are the learning curves mapping the training trajectory of each model:</w:t>
      </w:r>
      <w:r>
        <w:t xml:space="preserve"> </w:t>
      </w:r>
      <w:r>
        <w:t xml:space="preserve">| AlexNet | GFNet | ViT |</w:t>
      </w:r>
      <w:r>
        <w:t xml:space="preserve"> </w:t>
      </w:r>
      <w:r>
        <w:t xml:space="preserve">| :—: | :—: | :—: |</w:t>
      </w:r>
      <w:r>
        <w:t xml:space="preserve"> </w:t>
      </w:r>
      <w:r>
        <w:t xml:space="preserve">|</w:t>
      </w:r>
      <w:r>
        <w:t xml:space="preserve"> </w:t>
      </w:r>
      <w:r>
        <w:drawing>
          <wp:inline>
            <wp:extent cx="5334000" cy="2189629"/>
            <wp:effectExtent b="0" l="0" r="0" t="0"/>
            <wp:docPr descr="" title="" id="16" name="Picture"/>
            <a:graphic>
              <a:graphicData uri="http://schemas.openxmlformats.org/drawingml/2006/picture">
                <pic:pic>
                  <pic:nvPicPr>
                    <pic:cNvPr descr="/Users/danesh/Desktop/Classific/Classification_Uncertainty_Quantification_Analysis/Classification/cb_focal_loss/results/training_plots/AlexNet_CNN_training_curves.png" id="17" name="Picture"/>
                    <pic:cNvPicPr>
                      <a:picLocks noChangeArrowheads="1" noChangeAspect="1"/>
                    </pic:cNvPicPr>
                  </pic:nvPicPr>
                  <pic:blipFill>
                    <a:blip r:embed="rId15"/>
                    <a:stretch>
                      <a:fillRect/>
                    </a:stretch>
                  </pic:blipFill>
                  <pic:spPr bwMode="auto">
                    <a:xfrm>
                      <a:off x="0" y="0"/>
                      <a:ext cx="5334000" cy="2189629"/>
                    </a:xfrm>
                    <a:prstGeom prst="rect">
                      <a:avLst/>
                    </a:prstGeom>
                    <a:noFill/>
                    <a:ln w="9525">
                      <a:noFill/>
                      <a:headEnd/>
                      <a:tailEnd/>
                    </a:ln>
                  </pic:spPr>
                </pic:pic>
              </a:graphicData>
            </a:graphic>
          </wp:inline>
        </w:drawing>
      </w:r>
      <w:r>
        <w:t xml:space="preserve"> </w:t>
      </w:r>
      <w:r>
        <w:t xml:space="preserve">|</w:t>
      </w:r>
      <w:r>
        <w:t xml:space="preserve"> </w:t>
      </w:r>
      <w:r>
        <w:drawing>
          <wp:inline>
            <wp:extent cx="5334000" cy="2189629"/>
            <wp:effectExtent b="0" l="0" r="0" t="0"/>
            <wp:docPr descr="" title="" id="19" name="Picture"/>
            <a:graphic>
              <a:graphicData uri="http://schemas.openxmlformats.org/drawingml/2006/picture">
                <pic:pic>
                  <pic:nvPicPr>
                    <pic:cNvPr descr="/Users/danesh/Desktop/Classific/Classification_Uncertainty_Quantification_Analysis/Classification/cb_focal_loss/results/training_plots/GFNet_training_curves.png" id="20" name="Picture"/>
                    <pic:cNvPicPr>
                      <a:picLocks noChangeArrowheads="1" noChangeAspect="1"/>
                    </pic:cNvPicPr>
                  </pic:nvPicPr>
                  <pic:blipFill>
                    <a:blip r:embed="rId18"/>
                    <a:stretch>
                      <a:fillRect/>
                    </a:stretch>
                  </pic:blipFill>
                  <pic:spPr bwMode="auto">
                    <a:xfrm>
                      <a:off x="0" y="0"/>
                      <a:ext cx="5334000" cy="2189629"/>
                    </a:xfrm>
                    <a:prstGeom prst="rect">
                      <a:avLst/>
                    </a:prstGeom>
                    <a:noFill/>
                    <a:ln w="9525">
                      <a:noFill/>
                      <a:headEnd/>
                      <a:tailEnd/>
                    </a:ln>
                  </pic:spPr>
                </pic:pic>
              </a:graphicData>
            </a:graphic>
          </wp:inline>
        </w:drawing>
      </w:r>
      <w:r>
        <w:t xml:space="preserve"> </w:t>
      </w:r>
      <w:r>
        <w:t xml:space="preserve">|</w:t>
      </w:r>
      <w:r>
        <w:t xml:space="preserve"> </w:t>
      </w:r>
      <w:r>
        <w:drawing>
          <wp:inline>
            <wp:extent cx="5334000" cy="2189629"/>
            <wp:effectExtent b="0" l="0" r="0" t="0"/>
            <wp:docPr descr="" title="" id="22" name="Picture"/>
            <a:graphic>
              <a:graphicData uri="http://schemas.openxmlformats.org/drawingml/2006/picture">
                <pic:pic>
                  <pic:nvPicPr>
                    <pic:cNvPr descr="/Users/danesh/Desktop/Classific/Classification_Uncertainty_Quantification_Analysis/Classification/cb_focal_loss/results/training_plots/ViT_UNet_training_curves.png" id="23" name="Picture"/>
                    <pic:cNvPicPr>
                      <a:picLocks noChangeArrowheads="1" noChangeAspect="1"/>
                    </pic:cNvPicPr>
                  </pic:nvPicPr>
                  <pic:blipFill>
                    <a:blip r:embed="rId21"/>
                    <a:stretch>
                      <a:fillRect/>
                    </a:stretch>
                  </pic:blipFill>
                  <pic:spPr bwMode="auto">
                    <a:xfrm>
                      <a:off x="0" y="0"/>
                      <a:ext cx="5334000" cy="2189629"/>
                    </a:xfrm>
                    <a:prstGeom prst="rect">
                      <a:avLst/>
                    </a:prstGeom>
                    <a:noFill/>
                    <a:ln w="9525">
                      <a:noFill/>
                      <a:headEnd/>
                      <a:tailEnd/>
                    </a:ln>
                  </pic:spPr>
                </pic:pic>
              </a:graphicData>
            </a:graphic>
          </wp:inline>
        </w:drawing>
      </w:r>
      <w:r>
        <w:t xml:space="preserve"> </w:t>
      </w:r>
      <w:r>
        <w:t xml:space="preserve">|</w:t>
      </w:r>
    </w:p>
    <w:p>
      <w:pPr>
        <w:pStyle w:val="BodyText"/>
      </w:pPr>
      <w:r>
        <w:t xml:space="preserve">Model comparison and uncertainty metrics:</w:t>
      </w:r>
      <w:r>
        <w:t xml:space="preserve"> </w:t>
      </w:r>
      <w:r>
        <w:t xml:space="preserve">| Confusion Matrices | Model Metrics | Uncertainty Proxy |</w:t>
      </w:r>
      <w:r>
        <w:t xml:space="preserve"> </w:t>
      </w:r>
      <w:r>
        <w:t xml:space="preserve">| :—: | :—: | :—: |</w:t>
      </w:r>
      <w:r>
        <w:t xml:space="preserve"> </w:t>
      </w:r>
      <w:r>
        <w:t xml:space="preserve">|</w:t>
      </w:r>
      <w:r>
        <w:t xml:space="preserve"> </w:t>
      </w:r>
      <w:r>
        <w:drawing>
          <wp:inline>
            <wp:extent cx="5334000" cy="1372396"/>
            <wp:effectExtent b="0" l="0" r="0" t="0"/>
            <wp:docPr descr="" title="" id="25" name="Picture"/>
            <a:graphic>
              <a:graphicData uri="http://schemas.openxmlformats.org/drawingml/2006/picture">
                <pic:pic>
                  <pic:nvPicPr>
                    <pic:cNvPr descr="/Users/danesh/Desktop/Classific/Classification_Uncertainty_Quantification_Analysis/Classification/cb_focal_loss/results/training_plots/confusion_matrices_side_by_side.png" id="26" name="Picture"/>
                    <pic:cNvPicPr>
                      <a:picLocks noChangeArrowheads="1" noChangeAspect="1"/>
                    </pic:cNvPicPr>
                  </pic:nvPicPr>
                  <pic:blipFill>
                    <a:blip r:embed="rId24"/>
                    <a:stretch>
                      <a:fillRect/>
                    </a:stretch>
                  </pic:blipFill>
                  <pic:spPr bwMode="auto">
                    <a:xfrm>
                      <a:off x="0" y="0"/>
                      <a:ext cx="5334000" cy="1372396"/>
                    </a:xfrm>
                    <a:prstGeom prst="rect">
                      <a:avLst/>
                    </a:prstGeom>
                    <a:noFill/>
                    <a:ln w="9525">
                      <a:noFill/>
                      <a:headEnd/>
                      <a:tailEnd/>
                    </a:ln>
                  </pic:spPr>
                </pic:pic>
              </a:graphicData>
            </a:graphic>
          </wp:inline>
        </w:drawing>
      </w:r>
      <w:r>
        <w:t xml:space="preserve"> </w:t>
      </w:r>
      <w:r>
        <w:t xml:space="preserve">|</w:t>
      </w:r>
      <w:r>
        <w:t xml:space="preserve"> </w:t>
      </w:r>
      <w:r>
        <w:drawing>
          <wp:inline>
            <wp:extent cx="5334000" cy="3304216"/>
            <wp:effectExtent b="0" l="0" r="0" t="0"/>
            <wp:docPr descr="" title="" id="28" name="Picture"/>
            <a:graphic>
              <a:graphicData uri="http://schemas.openxmlformats.org/drawingml/2006/picture">
                <pic:pic>
                  <pic:nvPicPr>
                    <pic:cNvPr descr="/Users/danesh/Desktop/Classific/Classification_Uncertainty_Quantification_Analysis/Classification/cb_focal_loss/results/training_plots/model_comparison_metrics.png" id="29" name="Picture"/>
                    <pic:cNvPicPr>
                      <a:picLocks noChangeArrowheads="1" noChangeAspect="1"/>
                    </pic:cNvPicPr>
                  </pic:nvPicPr>
                  <pic:blipFill>
                    <a:blip r:embed="rId27"/>
                    <a:stretch>
                      <a:fillRect/>
                    </a:stretch>
                  </pic:blipFill>
                  <pic:spPr bwMode="auto">
                    <a:xfrm>
                      <a:off x="0" y="0"/>
                      <a:ext cx="5334000" cy="3304216"/>
                    </a:xfrm>
                    <a:prstGeom prst="rect">
                      <a:avLst/>
                    </a:prstGeom>
                    <a:noFill/>
                    <a:ln w="9525">
                      <a:noFill/>
                      <a:headEnd/>
                      <a:tailEnd/>
                    </a:ln>
                  </pic:spPr>
                </pic:pic>
              </a:graphicData>
            </a:graphic>
          </wp:inline>
        </w:drawing>
      </w:r>
      <w:r>
        <w:t xml:space="preserve"> </w:t>
      </w:r>
      <w:r>
        <w:t xml:space="preserve">|</w:t>
      </w:r>
      <w:r>
        <w:t xml:space="preserve"> </w:t>
      </w:r>
      <w:r>
        <w:drawing>
          <wp:inline>
            <wp:extent cx="5334000" cy="2191870"/>
            <wp:effectExtent b="0" l="0" r="0" t="0"/>
            <wp:docPr descr="" title="" id="31" name="Picture"/>
            <a:graphic>
              <a:graphicData uri="http://schemas.openxmlformats.org/drawingml/2006/picture">
                <pic:pic>
                  <pic:nvPicPr>
                    <pic:cNvPr descr="/Users/danesh/Desktop/Classific/Classification_Uncertainty_Quantification_Analysis/Classification/cb_focal_loss/results/training_plots/uncertainty_proxy_metrics.png" id="32" name="Picture"/>
                    <pic:cNvPicPr>
                      <a:picLocks noChangeArrowheads="1" noChangeAspect="1"/>
                    </pic:cNvPicPr>
                  </pic:nvPicPr>
                  <pic:blipFill>
                    <a:blip r:embed="rId30"/>
                    <a:stretch>
                      <a:fillRect/>
                    </a:stretch>
                  </pic:blipFill>
                  <pic:spPr bwMode="auto">
                    <a:xfrm>
                      <a:off x="0" y="0"/>
                      <a:ext cx="5334000" cy="2191870"/>
                    </a:xfrm>
                    <a:prstGeom prst="rect">
                      <a:avLst/>
                    </a:prstGeom>
                    <a:noFill/>
                    <a:ln w="9525">
                      <a:noFill/>
                      <a:headEnd/>
                      <a:tailEnd/>
                    </a:ln>
                  </pic:spPr>
                </pic:pic>
              </a:graphicData>
            </a:graphic>
          </wp:inline>
        </w:drawing>
      </w:r>
      <w:r>
        <w:t xml:space="preserve"> </w:t>
      </w:r>
      <w:r>
        <w:t xml:space="preserve">|</w:t>
      </w:r>
    </w:p>
    <w:p>
      <w:pPr>
        <w:pStyle w:val="BodyText"/>
      </w:pPr>
      <w:r>
        <w:t xml:space="preserve">Initial Classification Maps:</w:t>
      </w:r>
      <w:r>
        <w:t xml:space="preserve"> </w:t>
      </w:r>
      <w:r>
        <w:t xml:space="preserve">| Original Scene | Ground Truth | Combined Classification |</w:t>
      </w:r>
      <w:r>
        <w:t xml:space="preserve"> </w:t>
      </w:r>
      <w:r>
        <w:t xml:space="preserve">| :—: | :—: | :—: |</w:t>
      </w:r>
      <w:r>
        <w:t xml:space="preserve"> </w:t>
      </w:r>
      <w:r>
        <w:t xml:space="preserve">|</w:t>
      </w:r>
      <w:r>
        <w:t xml:space="preserve"> </w:t>
      </w:r>
      <w:r>
        <w:drawing>
          <wp:inline>
            <wp:extent cx="4851747" cy="5415419"/>
            <wp:effectExtent b="0" l="0" r="0" t="0"/>
            <wp:docPr descr="" title="" id="34" name="Picture"/>
            <a:graphic>
              <a:graphicData uri="http://schemas.openxmlformats.org/drawingml/2006/picture">
                <pic:pic>
                  <pic:nvPicPr>
                    <pic:cNvPr descr="/Users/danesh/Desktop/Classific/Classification_Uncertainty_Quantification_Analysis/Classification/cb_focal_loss/results/scene_visualizations/scene_rgb.png" id="35" name="Picture"/>
                    <pic:cNvPicPr>
                      <a:picLocks noChangeArrowheads="1" noChangeAspect="1"/>
                    </pic:cNvPicPr>
                  </pic:nvPicPr>
                  <pic:blipFill>
                    <a:blip r:embed="rId33"/>
                    <a:stretch>
                      <a:fillRect/>
                    </a:stretch>
                  </pic:blipFill>
                  <pic:spPr bwMode="auto">
                    <a:xfrm>
                      <a:off x="0" y="0"/>
                      <a:ext cx="4851747" cy="5415419"/>
                    </a:xfrm>
                    <a:prstGeom prst="rect">
                      <a:avLst/>
                    </a:prstGeom>
                    <a:noFill/>
                    <a:ln w="9525">
                      <a:noFill/>
                      <a:headEnd/>
                      <a:tailEnd/>
                    </a:ln>
                  </pic:spPr>
                </pic:pic>
              </a:graphicData>
            </a:graphic>
          </wp:inline>
        </w:drawing>
      </w:r>
      <w:r>
        <w:t xml:space="preserve"> </w:t>
      </w:r>
      <w:r>
        <w:t xml:space="preserve">|</w:t>
      </w:r>
      <w:r>
        <w:t xml:space="preserve"> </w:t>
      </w:r>
      <w:r>
        <w:drawing>
          <wp:inline>
            <wp:extent cx="4851747" cy="5415419"/>
            <wp:effectExtent b="0" l="0" r="0" t="0"/>
            <wp:docPr descr="" title="" id="37" name="Picture"/>
            <a:graphic>
              <a:graphicData uri="http://schemas.openxmlformats.org/drawingml/2006/picture">
                <pic:pic>
                  <pic:nvPicPr>
                    <pic:cNvPr descr="/Users/danesh/Desktop/Classific/Classification_Uncertainty_Quantification_Analysis/Classification/cb_focal_loss/results/scene_visualizations/ground_truth_label_map.png" id="38" name="Picture"/>
                    <pic:cNvPicPr>
                      <a:picLocks noChangeArrowheads="1" noChangeAspect="1"/>
                    </pic:cNvPicPr>
                  </pic:nvPicPr>
                  <pic:blipFill>
                    <a:blip r:embed="rId36"/>
                    <a:stretch>
                      <a:fillRect/>
                    </a:stretch>
                  </pic:blipFill>
                  <pic:spPr bwMode="auto">
                    <a:xfrm>
                      <a:off x="0" y="0"/>
                      <a:ext cx="4851747" cy="5415419"/>
                    </a:xfrm>
                    <a:prstGeom prst="rect">
                      <a:avLst/>
                    </a:prstGeom>
                    <a:noFill/>
                    <a:ln w="9525">
                      <a:noFill/>
                      <a:headEnd/>
                      <a:tailEnd/>
                    </a:ln>
                  </pic:spPr>
                </pic:pic>
              </a:graphicData>
            </a:graphic>
          </wp:inline>
        </w:drawing>
      </w:r>
      <w:r>
        <w:t xml:space="preserve"> </w:t>
      </w:r>
      <w:r>
        <w:t xml:space="preserve">|</w:t>
      </w:r>
      <w:r>
        <w:t xml:space="preserve"> </w:t>
      </w:r>
      <w:r>
        <w:drawing>
          <wp:inline>
            <wp:extent cx="5334000" cy="1301470"/>
            <wp:effectExtent b="0" l="0" r="0" t="0"/>
            <wp:docPr descr="" title="" id="40" name="Picture"/>
            <a:graphic>
              <a:graphicData uri="http://schemas.openxmlformats.org/drawingml/2006/picture">
                <pic:pic>
                  <pic:nvPicPr>
                    <pic:cNvPr descr="/Users/danesh/Desktop/Classific/Classification_Uncertainty_Quantification_Analysis/Classification/cb_focal_loss/results/scene_visualizations/combined_initial_classification_overview.png" id="41" name="Picture"/>
                    <pic:cNvPicPr>
                      <a:picLocks noChangeArrowheads="1" noChangeAspect="1"/>
                    </pic:cNvPicPr>
                  </pic:nvPicPr>
                  <pic:blipFill>
                    <a:blip r:embed="rId39"/>
                    <a:stretch>
                      <a:fillRect/>
                    </a:stretch>
                  </pic:blipFill>
                  <pic:spPr bwMode="auto">
                    <a:xfrm>
                      <a:off x="0" y="0"/>
                      <a:ext cx="5334000" cy="1301470"/>
                    </a:xfrm>
                    <a:prstGeom prst="rect">
                      <a:avLst/>
                    </a:prstGeom>
                    <a:noFill/>
                    <a:ln w="9525">
                      <a:noFill/>
                      <a:headEnd/>
                      <a:tailEnd/>
                    </a:ln>
                  </pic:spPr>
                </pic:pic>
              </a:graphicData>
            </a:graphic>
          </wp:inline>
        </w:drawing>
      </w:r>
      <w:r>
        <w:t xml:space="preserve"> </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AlexNet Prediction</w:t>
            </w:r>
          </w:p>
        </w:tc>
        <w:tc>
          <w:tcPr/>
          <w:p>
            <w:pPr>
              <w:pStyle w:val="Compact"/>
              <w:jc w:val="center"/>
            </w:pPr>
            <w:r>
              <w:t xml:space="preserve">GFNet Prediction</w:t>
            </w:r>
          </w:p>
        </w:tc>
        <w:tc>
          <w:tcPr/>
          <w:p>
            <w:pPr>
              <w:pStyle w:val="Compact"/>
              <w:jc w:val="center"/>
            </w:pPr>
            <w:r>
              <w:t xml:space="preserve">ViT Prediction</w:t>
            </w:r>
          </w:p>
        </w:tc>
      </w:tr>
      <w:tr>
        <w:tc>
          <w:tcPr/>
          <w:p>
            <w:pPr>
              <w:pStyle w:val="Compact"/>
              <w:jc w:val="center"/>
            </w:pPr>
            <w:r>
              <w:drawing>
                <wp:inline>
                  <wp:extent cx="4851747" cy="5415419"/>
                  <wp:effectExtent b="0" l="0" r="0" t="0"/>
                  <wp:docPr descr="" title="" id="43" name="Picture"/>
                  <a:graphic>
                    <a:graphicData uri="http://schemas.openxmlformats.org/drawingml/2006/picture">
                      <pic:pic>
                        <pic:nvPicPr>
                          <pic:cNvPr descr="/Users/danesh/Desktop/Classific/Classification_Uncertainty_Quantification_Analysis/Classification/cb_focal_loss/results/scene_visualizations/AlexNet_CNN_initial_classification.png" id="44" name="Picture"/>
                          <pic:cNvPicPr>
                            <a:picLocks noChangeArrowheads="1" noChangeAspect="1"/>
                          </pic:cNvPicPr>
                        </pic:nvPicPr>
                        <pic:blipFill>
                          <a:blip r:embed="rId42"/>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jc w:val="center"/>
            </w:pPr>
            <w:r>
              <w:drawing>
                <wp:inline>
                  <wp:extent cx="4851747" cy="5415419"/>
                  <wp:effectExtent b="0" l="0" r="0" t="0"/>
                  <wp:docPr descr="" title="" id="46" name="Picture"/>
                  <a:graphic>
                    <a:graphicData uri="http://schemas.openxmlformats.org/drawingml/2006/picture">
                      <pic:pic>
                        <pic:nvPicPr>
                          <pic:cNvPr descr="/Users/danesh/Desktop/Classific/Classification_Uncertainty_Quantification_Analysis/Classification/cb_focal_loss/results/scene_visualizations/GFNet_initial_classification.png" id="47" name="Picture"/>
                          <pic:cNvPicPr>
                            <a:picLocks noChangeArrowheads="1" noChangeAspect="1"/>
                          </pic:cNvPicPr>
                        </pic:nvPicPr>
                        <pic:blipFill>
                          <a:blip r:embed="rId45"/>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jc w:val="center"/>
            </w:pPr>
            <w:r>
              <w:drawing>
                <wp:inline>
                  <wp:extent cx="4851747" cy="5415419"/>
                  <wp:effectExtent b="0" l="0" r="0" t="0"/>
                  <wp:docPr descr="" title="" id="49" name="Picture"/>
                  <a:graphic>
                    <a:graphicData uri="http://schemas.openxmlformats.org/drawingml/2006/picture">
                      <pic:pic>
                        <pic:nvPicPr>
                          <pic:cNvPr descr="/Users/danesh/Desktop/Classific/Classification_Uncertainty_Quantification_Analysis/Classification/cb_focal_loss/results/scene_visualizations/ViT_UNet_initial_classification.png" id="50" name="Picture"/>
                          <pic:cNvPicPr>
                            <a:picLocks noChangeArrowheads="1" noChangeAspect="1"/>
                          </pic:cNvPicPr>
                        </pic:nvPicPr>
                        <pic:blipFill>
                          <a:blip r:embed="rId48"/>
                          <a:stretch>
                            <a:fillRect/>
                          </a:stretch>
                        </pic:blipFill>
                        <pic:spPr bwMode="auto">
                          <a:xfrm>
                            <a:off x="0" y="0"/>
                            <a:ext cx="4851747" cy="5415419"/>
                          </a:xfrm>
                          <a:prstGeom prst="rect">
                            <a:avLst/>
                          </a:prstGeom>
                          <a:noFill/>
                          <a:ln w="9525">
                            <a:noFill/>
                            <a:headEnd/>
                            <a:tailEnd/>
                          </a:ln>
                        </pic:spPr>
                      </pic:pic>
                    </a:graphicData>
                  </a:graphic>
                </wp:inline>
              </w:drawing>
            </w:r>
          </w:p>
        </w:tc>
      </w:tr>
    </w:tbl>
    <w:bookmarkEnd w:id="51"/>
    <w:bookmarkStart w:id="52" w:name="uncertainty-quantification"/>
    <w:p>
      <w:pPr>
        <w:pStyle w:val="Heading3"/>
      </w:pPr>
      <w:r>
        <w:t xml:space="preserve">3.3 Uncertainty Quantification</w:t>
      </w:r>
    </w:p>
    <w:p>
      <w:pPr>
        <w:pStyle w:val="FirstParagraph"/>
      </w:pPr>
      <w:r>
        <w:t xml:space="preserve">Conformal prediction methods were applied to construct prediction sets with a target coverage of 95% (</w:t>
      </w:r>
      <m:oMath>
        <m:r>
          <m:t>α</m:t>
        </m:r>
        <m:r>
          <m:rPr>
            <m:sty m:val="p"/>
          </m:rPr>
          <m:t>=</m:t>
        </m:r>
        <m:r>
          <m:t>0.05</m:t>
        </m:r>
      </m:oMath>
      <w:r>
        <w:t xml:space="preserve">). The summary of conformal methods is as follows: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Method</w:t>
            </w:r>
          </w:p>
        </w:tc>
        <w:tc>
          <w:tcPr/>
          <w:p>
            <w:pPr>
              <w:pStyle w:val="Compact"/>
            </w:pPr>
            <w:r>
              <w:t xml:space="preserve">Empirical Coverage</w:t>
            </w:r>
          </w:p>
        </w:tc>
        <w:tc>
          <w:tcPr/>
          <w:p>
            <w:pPr>
              <w:pStyle w:val="Compact"/>
            </w:pPr>
            <w:r>
              <w:t xml:space="preserve">Avg Set Size</w:t>
            </w:r>
          </w:p>
        </w:tc>
        <w:tc>
          <w:tcPr/>
          <w:p>
            <w:pPr>
              <w:pStyle w:val="Compact"/>
            </w:pPr>
            <w:r>
              <w:t xml:space="preserve">Singleton Rate</w:t>
            </w:r>
          </w:p>
        </w:tc>
        <w:tc>
          <w:tcPr/>
          <w:p>
            <w:pPr>
              <w:pStyle w:val="Compact"/>
            </w:pPr>
            <w:r>
              <w:t xml:space="preserve">Runtime (s)</w:t>
            </w:r>
          </w:p>
        </w:tc>
      </w:tr>
      <w:tr>
        <w:tc>
          <w:tcPr/>
          <w:p>
            <w:pPr>
              <w:pStyle w:val="Compact"/>
            </w:pPr>
            <w:r>
              <w:rPr>
                <w:b/>
                <w:bCs/>
              </w:rPr>
              <w:t xml:space="preserve">AlexNet</w:t>
            </w:r>
          </w:p>
        </w:tc>
        <w:tc>
          <w:tcPr/>
          <w:p>
            <w:pPr>
              <w:pStyle w:val="Compact"/>
            </w:pPr>
            <w:r>
              <w:t xml:space="preserve">ClassConditional</w:t>
            </w:r>
          </w:p>
        </w:tc>
        <w:tc>
          <w:tcPr/>
          <w:p>
            <w:pPr>
              <w:pStyle w:val="Compact"/>
            </w:pPr>
            <w:r>
              <w:t xml:space="preserve">0.9610</w:t>
            </w:r>
          </w:p>
        </w:tc>
        <w:tc>
          <w:tcPr/>
          <w:p>
            <w:pPr>
              <w:pStyle w:val="Compact"/>
            </w:pPr>
            <w:r>
              <w:t xml:space="preserve">0.9615</w:t>
            </w:r>
          </w:p>
        </w:tc>
        <w:tc>
          <w:tcPr/>
          <w:p>
            <w:pPr>
              <w:pStyle w:val="Compact"/>
            </w:pPr>
            <w:r>
              <w:t xml:space="preserve">0.9615</w:t>
            </w:r>
          </w:p>
        </w:tc>
        <w:tc>
          <w:tcPr/>
          <w:p>
            <w:pPr>
              <w:pStyle w:val="Compact"/>
            </w:pPr>
            <w:r>
              <w:t xml:space="preserve">1.77</w:t>
            </w:r>
          </w:p>
        </w:tc>
      </w:tr>
      <w:tr>
        <w:tc>
          <w:tcPr/>
          <w:p>
            <w:pPr>
              <w:pStyle w:val="Compact"/>
            </w:pPr>
            <w:r>
              <w:rPr>
                <w:b/>
                <w:bCs/>
              </w:rPr>
              <w:t xml:space="preserve">GFNet</w:t>
            </w:r>
          </w:p>
        </w:tc>
        <w:tc>
          <w:tcPr/>
          <w:p>
            <w:pPr>
              <w:pStyle w:val="Compact"/>
            </w:pPr>
            <w:r>
              <w:t xml:space="preserve">ClassConditional</w:t>
            </w:r>
          </w:p>
        </w:tc>
        <w:tc>
          <w:tcPr/>
          <w:p>
            <w:pPr>
              <w:pStyle w:val="Compact"/>
            </w:pPr>
            <w:r>
              <w:t xml:space="preserve">0.9638</w:t>
            </w:r>
          </w:p>
        </w:tc>
        <w:tc>
          <w:tcPr/>
          <w:p>
            <w:pPr>
              <w:pStyle w:val="Compact"/>
            </w:pPr>
            <w:r>
              <w:t xml:space="preserve">0.9638</w:t>
            </w:r>
          </w:p>
        </w:tc>
        <w:tc>
          <w:tcPr/>
          <w:p>
            <w:pPr>
              <w:pStyle w:val="Compact"/>
            </w:pPr>
            <w:r>
              <w:t xml:space="preserve">0.9638</w:t>
            </w:r>
          </w:p>
        </w:tc>
        <w:tc>
          <w:tcPr/>
          <w:p>
            <w:pPr>
              <w:pStyle w:val="Compact"/>
            </w:pPr>
            <w:r>
              <w:t xml:space="preserve">1.54</w:t>
            </w:r>
          </w:p>
        </w:tc>
      </w:tr>
      <w:tr>
        <w:tc>
          <w:tcPr/>
          <w:p>
            <w:pPr>
              <w:pStyle w:val="Compact"/>
            </w:pPr>
            <w:r>
              <w:rPr>
                <w:b/>
                <w:bCs/>
              </w:rPr>
              <w:t xml:space="preserve">ViT</w:t>
            </w:r>
          </w:p>
        </w:tc>
        <w:tc>
          <w:tcPr/>
          <w:p>
            <w:pPr>
              <w:pStyle w:val="Compact"/>
            </w:pPr>
            <w:r>
              <w:t xml:space="preserve">ClassConditional</w:t>
            </w:r>
          </w:p>
        </w:tc>
        <w:tc>
          <w:tcPr/>
          <w:p>
            <w:pPr>
              <w:pStyle w:val="Compact"/>
            </w:pPr>
            <w:r>
              <w:t xml:space="preserve">0.9555</w:t>
            </w:r>
          </w:p>
        </w:tc>
        <w:tc>
          <w:tcPr/>
          <w:p>
            <w:pPr>
              <w:pStyle w:val="Compact"/>
            </w:pPr>
            <w:r>
              <w:t xml:space="preserve">0.9619</w:t>
            </w:r>
          </w:p>
        </w:tc>
        <w:tc>
          <w:tcPr/>
          <w:p>
            <w:pPr>
              <w:pStyle w:val="Compact"/>
            </w:pPr>
            <w:r>
              <w:t xml:space="preserve">0.9573</w:t>
            </w:r>
          </w:p>
        </w:tc>
        <w:tc>
          <w:tcPr/>
          <w:p>
            <w:pPr>
              <w:pStyle w:val="Compact"/>
            </w:pPr>
            <w:r>
              <w:t xml:space="preserve">1.87</w:t>
            </w:r>
          </w:p>
        </w:tc>
      </w:tr>
      <w:tr>
        <w:tc>
          <w:tcPr/>
          <w:p>
            <w:pPr>
              <w:pStyle w:val="Compact"/>
            </w:pPr>
            <w:r>
              <w:rPr>
                <w:b/>
                <w:bCs/>
              </w:rPr>
              <w:t xml:space="preserve">AlexNet</w:t>
            </w:r>
          </w:p>
        </w:tc>
        <w:tc>
          <w:tcPr/>
          <w:p>
            <w:pPr>
              <w:pStyle w:val="Compact"/>
            </w:pPr>
            <w:r>
              <w:t xml:space="preserve">Clustered</w:t>
            </w:r>
          </w:p>
        </w:tc>
        <w:tc>
          <w:tcPr/>
          <w:p>
            <w:pPr>
              <w:pStyle w:val="Compact"/>
            </w:pPr>
            <w:r>
              <w:t xml:space="preserve">0.9578</w:t>
            </w:r>
          </w:p>
        </w:tc>
        <w:tc>
          <w:tcPr/>
          <w:p>
            <w:pPr>
              <w:pStyle w:val="Compact"/>
            </w:pPr>
            <w:r>
              <w:t xml:space="preserve">0.9582</w:t>
            </w:r>
          </w:p>
        </w:tc>
        <w:tc>
          <w:tcPr/>
          <w:p>
            <w:pPr>
              <w:pStyle w:val="Compact"/>
            </w:pPr>
            <w:r>
              <w:t xml:space="preserve">0.9582</w:t>
            </w:r>
          </w:p>
        </w:tc>
        <w:tc>
          <w:tcPr/>
          <w:p>
            <w:pPr>
              <w:pStyle w:val="Compact"/>
            </w:pPr>
            <w:r>
              <w:t xml:space="preserve">2.72</w:t>
            </w:r>
          </w:p>
        </w:tc>
      </w:tr>
      <w:tr>
        <w:tc>
          <w:tcPr/>
          <w:p>
            <w:pPr>
              <w:pStyle w:val="Compact"/>
            </w:pPr>
            <w:r>
              <w:rPr>
                <w:b/>
                <w:bCs/>
              </w:rPr>
              <w:t xml:space="preserve">GFNet</w:t>
            </w:r>
          </w:p>
        </w:tc>
        <w:tc>
          <w:tcPr/>
          <w:p>
            <w:pPr>
              <w:pStyle w:val="Compact"/>
            </w:pPr>
            <w:r>
              <w:t xml:space="preserve">Clustered</w:t>
            </w:r>
          </w:p>
        </w:tc>
        <w:tc>
          <w:tcPr/>
          <w:p>
            <w:pPr>
              <w:pStyle w:val="Compact"/>
            </w:pPr>
            <w:r>
              <w:t xml:space="preserve">0.9606</w:t>
            </w:r>
          </w:p>
        </w:tc>
        <w:tc>
          <w:tcPr/>
          <w:p>
            <w:pPr>
              <w:pStyle w:val="Compact"/>
            </w:pPr>
            <w:r>
              <w:t xml:space="preserve">0.9606</w:t>
            </w:r>
          </w:p>
        </w:tc>
        <w:tc>
          <w:tcPr/>
          <w:p>
            <w:pPr>
              <w:pStyle w:val="Compact"/>
            </w:pPr>
            <w:r>
              <w:t xml:space="preserve">0.9606</w:t>
            </w:r>
          </w:p>
        </w:tc>
        <w:tc>
          <w:tcPr/>
          <w:p>
            <w:pPr>
              <w:pStyle w:val="Compact"/>
            </w:pPr>
            <w:r>
              <w:t xml:space="preserve">5.71</w:t>
            </w:r>
          </w:p>
        </w:tc>
      </w:tr>
      <w:tr>
        <w:tc>
          <w:tcPr/>
          <w:p>
            <w:pPr>
              <w:pStyle w:val="Compact"/>
            </w:pPr>
            <w:r>
              <w:rPr>
                <w:b/>
                <w:bCs/>
              </w:rPr>
              <w:t xml:space="preserve">ViT</w:t>
            </w:r>
          </w:p>
        </w:tc>
        <w:tc>
          <w:tcPr/>
          <w:p>
            <w:pPr>
              <w:pStyle w:val="Compact"/>
            </w:pPr>
            <w:r>
              <w:t xml:space="preserve">Clustered</w:t>
            </w:r>
          </w:p>
        </w:tc>
        <w:tc>
          <w:tcPr/>
          <w:p>
            <w:pPr>
              <w:pStyle w:val="Compact"/>
            </w:pPr>
            <w:r>
              <w:t xml:space="preserve">0.9517</w:t>
            </w:r>
          </w:p>
        </w:tc>
        <w:tc>
          <w:tcPr/>
          <w:p>
            <w:pPr>
              <w:pStyle w:val="Compact"/>
            </w:pPr>
            <w:r>
              <w:t xml:space="preserve">0.9578</w:t>
            </w:r>
          </w:p>
        </w:tc>
        <w:tc>
          <w:tcPr/>
          <w:p>
            <w:pPr>
              <w:pStyle w:val="Compact"/>
            </w:pPr>
            <w:r>
              <w:t xml:space="preserve">0.9531</w:t>
            </w:r>
          </w:p>
        </w:tc>
        <w:tc>
          <w:tcPr/>
          <w:p>
            <w:pPr>
              <w:pStyle w:val="Compact"/>
            </w:pPr>
            <w:r>
              <w:t xml:space="preserve">10.27</w:t>
            </w:r>
          </w:p>
        </w:tc>
      </w:tr>
      <w:tr>
        <w:tc>
          <w:tcPr/>
          <w:p>
            <w:pPr>
              <w:pStyle w:val="Compact"/>
            </w:pPr>
            <w:r>
              <w:rPr>
                <w:b/>
                <w:bCs/>
              </w:rPr>
              <w:t xml:space="preserve">AlexNet</w:t>
            </w:r>
          </w:p>
        </w:tc>
        <w:tc>
          <w:tcPr/>
          <w:p>
            <w:pPr>
              <w:pStyle w:val="Compact"/>
            </w:pPr>
            <w:r>
              <w:t xml:space="preserve">RAPS</w:t>
            </w:r>
          </w:p>
        </w:tc>
        <w:tc>
          <w:tcPr/>
          <w:p>
            <w:pPr>
              <w:pStyle w:val="Compact"/>
            </w:pPr>
            <w:r>
              <w:t xml:space="preserve">0.9991</w:t>
            </w:r>
          </w:p>
        </w:tc>
        <w:tc>
          <w:tcPr/>
          <w:p>
            <w:pPr>
              <w:pStyle w:val="Compact"/>
            </w:pPr>
            <w:r>
              <w:t xml:space="preserve">1.0000</w:t>
            </w:r>
          </w:p>
        </w:tc>
        <w:tc>
          <w:tcPr/>
          <w:p>
            <w:pPr>
              <w:pStyle w:val="Compact"/>
            </w:pPr>
            <w:r>
              <w:t xml:space="preserve">1.0000</w:t>
            </w:r>
          </w:p>
        </w:tc>
        <w:tc>
          <w:tcPr/>
          <w:p>
            <w:pPr>
              <w:pStyle w:val="Compact"/>
            </w:pPr>
            <w:r>
              <w:t xml:space="preserve">0.37</w:t>
            </w:r>
          </w:p>
        </w:tc>
      </w:tr>
      <w:tr>
        <w:tc>
          <w:tcPr/>
          <w:p>
            <w:pPr>
              <w:pStyle w:val="Compact"/>
            </w:pPr>
            <w:r>
              <w:rPr>
                <w:b/>
                <w:bCs/>
              </w:rPr>
              <w:t xml:space="preserve">GFNet</w:t>
            </w:r>
          </w:p>
        </w:tc>
        <w:tc>
          <w:tcPr/>
          <w:p>
            <w:pPr>
              <w:pStyle w:val="Compact"/>
            </w:pPr>
            <w:r>
              <w:t xml:space="preserve">RAPS</w:t>
            </w:r>
          </w:p>
        </w:tc>
        <w:tc>
          <w:tcPr/>
          <w:p>
            <w:pPr>
              <w:pStyle w:val="Compact"/>
            </w:pPr>
            <w:r>
              <w:t xml:space="preserve">0.9995</w:t>
            </w:r>
          </w:p>
        </w:tc>
        <w:tc>
          <w:tcPr/>
          <w:p>
            <w:pPr>
              <w:pStyle w:val="Compact"/>
            </w:pPr>
            <w:r>
              <w:t xml:space="preserve">1.0000</w:t>
            </w:r>
          </w:p>
        </w:tc>
        <w:tc>
          <w:tcPr/>
          <w:p>
            <w:pPr>
              <w:pStyle w:val="Compact"/>
            </w:pPr>
            <w:r>
              <w:t xml:space="preserve">1.0000</w:t>
            </w:r>
          </w:p>
        </w:tc>
        <w:tc>
          <w:tcPr/>
          <w:p>
            <w:pPr>
              <w:pStyle w:val="Compact"/>
            </w:pPr>
            <w:r>
              <w:t xml:space="preserve">0.39</w:t>
            </w:r>
          </w:p>
        </w:tc>
      </w:tr>
      <w:tr>
        <w:tc>
          <w:tcPr/>
          <w:p>
            <w:pPr>
              <w:pStyle w:val="Compact"/>
            </w:pPr>
            <w:r>
              <w:rPr>
                <w:b/>
                <w:bCs/>
              </w:rPr>
              <w:t xml:space="preserve">ViT</w:t>
            </w:r>
          </w:p>
        </w:tc>
        <w:tc>
          <w:tcPr/>
          <w:p>
            <w:pPr>
              <w:pStyle w:val="Compact"/>
            </w:pPr>
            <w:r>
              <w:t xml:space="preserve">RAPS</w:t>
            </w:r>
          </w:p>
        </w:tc>
        <w:tc>
          <w:tcPr/>
          <w:p>
            <w:pPr>
              <w:pStyle w:val="Compact"/>
            </w:pPr>
            <w:r>
              <w:t xml:space="preserve">0.9926</w:t>
            </w:r>
          </w:p>
        </w:tc>
        <w:tc>
          <w:tcPr/>
          <w:p>
            <w:pPr>
              <w:pStyle w:val="Compact"/>
            </w:pPr>
            <w:r>
              <w:t xml:space="preserve">1.0000</w:t>
            </w:r>
          </w:p>
        </w:tc>
        <w:tc>
          <w:tcPr/>
          <w:p>
            <w:pPr>
              <w:pStyle w:val="Compact"/>
            </w:pPr>
            <w:r>
              <w:t xml:space="preserve">1.0000</w:t>
            </w:r>
          </w:p>
        </w:tc>
        <w:tc>
          <w:tcPr/>
          <w:p>
            <w:pPr>
              <w:pStyle w:val="Compact"/>
            </w:pPr>
            <w:r>
              <w:t xml:space="preserve">0.45</w:t>
            </w:r>
          </w:p>
        </w:tc>
      </w:tr>
      <w:tr>
        <w:tc>
          <w:tcPr/>
          <w:p>
            <w:pPr>
              <w:pStyle w:val="Compact"/>
            </w:pPr>
            <w:r>
              <w:rPr>
                <w:b/>
                <w:bCs/>
              </w:rPr>
              <w:t xml:space="preserve">AlexNet</w:t>
            </w:r>
          </w:p>
        </w:tc>
        <w:tc>
          <w:tcPr/>
          <w:p>
            <w:pPr>
              <w:pStyle w:val="Compact"/>
            </w:pPr>
            <w:r>
              <w:t xml:space="preserve">RC3P</w:t>
            </w:r>
          </w:p>
        </w:tc>
        <w:tc>
          <w:tcPr/>
          <w:p>
            <w:pPr>
              <w:pStyle w:val="Compact"/>
            </w:pPr>
            <w:r>
              <w:t xml:space="preserve">0.9661</w:t>
            </w:r>
          </w:p>
        </w:tc>
        <w:tc>
          <w:tcPr/>
          <w:p>
            <w:pPr>
              <w:pStyle w:val="Compact"/>
            </w:pPr>
            <w:r>
              <w:t xml:space="preserve">0.9666</w:t>
            </w:r>
          </w:p>
        </w:tc>
        <w:tc>
          <w:tcPr/>
          <w:p>
            <w:pPr>
              <w:pStyle w:val="Compact"/>
            </w:pPr>
            <w:r>
              <w:t xml:space="preserve">0.9666</w:t>
            </w:r>
          </w:p>
        </w:tc>
        <w:tc>
          <w:tcPr/>
          <w:p>
            <w:pPr>
              <w:pStyle w:val="Compact"/>
            </w:pPr>
            <w:r>
              <w:t xml:space="preserve">2.46</w:t>
            </w:r>
          </w:p>
        </w:tc>
      </w:tr>
      <w:tr>
        <w:tc>
          <w:tcPr/>
          <w:p>
            <w:pPr>
              <w:pStyle w:val="Compact"/>
            </w:pPr>
            <w:r>
              <w:rPr>
                <w:b/>
                <w:bCs/>
              </w:rPr>
              <w:t xml:space="preserve">GFNet</w:t>
            </w:r>
          </w:p>
        </w:tc>
        <w:tc>
          <w:tcPr/>
          <w:p>
            <w:pPr>
              <w:pStyle w:val="Compact"/>
            </w:pPr>
            <w:r>
              <w:t xml:space="preserve">RC3P</w:t>
            </w:r>
          </w:p>
        </w:tc>
        <w:tc>
          <w:tcPr/>
          <w:p>
            <w:pPr>
              <w:pStyle w:val="Compact"/>
            </w:pPr>
            <w:r>
              <w:t xml:space="preserve">0.9684</w:t>
            </w:r>
          </w:p>
        </w:tc>
        <w:tc>
          <w:tcPr/>
          <w:p>
            <w:pPr>
              <w:pStyle w:val="Compact"/>
            </w:pPr>
            <w:r>
              <w:t xml:space="preserve">0.9684</w:t>
            </w:r>
          </w:p>
        </w:tc>
        <w:tc>
          <w:tcPr/>
          <w:p>
            <w:pPr>
              <w:pStyle w:val="Compact"/>
            </w:pPr>
            <w:r>
              <w:t xml:space="preserve">0.9684</w:t>
            </w:r>
          </w:p>
        </w:tc>
        <w:tc>
          <w:tcPr/>
          <w:p>
            <w:pPr>
              <w:pStyle w:val="Compact"/>
            </w:pPr>
            <w:r>
              <w:t xml:space="preserve">2.22</w:t>
            </w:r>
          </w:p>
        </w:tc>
      </w:tr>
      <w:tr>
        <w:tc>
          <w:tcPr/>
          <w:p>
            <w:pPr>
              <w:pStyle w:val="Compact"/>
            </w:pPr>
            <w:r>
              <w:rPr>
                <w:b/>
                <w:bCs/>
              </w:rPr>
              <w:t xml:space="preserve">ViT</w:t>
            </w:r>
          </w:p>
        </w:tc>
        <w:tc>
          <w:tcPr/>
          <w:p>
            <w:pPr>
              <w:pStyle w:val="Compact"/>
            </w:pPr>
            <w:r>
              <w:t xml:space="preserve">RC3P</w:t>
            </w:r>
          </w:p>
        </w:tc>
        <w:tc>
          <w:tcPr/>
          <w:p>
            <w:pPr>
              <w:pStyle w:val="Compact"/>
            </w:pPr>
            <w:r>
              <w:t xml:space="preserve">0.9573</w:t>
            </w:r>
          </w:p>
        </w:tc>
        <w:tc>
          <w:tcPr/>
          <w:p>
            <w:pPr>
              <w:pStyle w:val="Compact"/>
            </w:pPr>
            <w:r>
              <w:t xml:space="preserve">0.9601</w:t>
            </w:r>
          </w:p>
        </w:tc>
        <w:tc>
          <w:tcPr/>
          <w:p>
            <w:pPr>
              <w:pStyle w:val="Compact"/>
            </w:pPr>
            <w:r>
              <w:t xml:space="preserve">0.9601</w:t>
            </w:r>
          </w:p>
        </w:tc>
        <w:tc>
          <w:tcPr/>
          <w:p>
            <w:pPr>
              <w:pStyle w:val="Compact"/>
            </w:pPr>
            <w:r>
              <w:t xml:space="preserve">2.88</w:t>
            </w:r>
          </w:p>
        </w:tc>
      </w:tr>
      <w:tr>
        <w:tc>
          <w:tcPr/>
          <w:p>
            <w:pPr>
              <w:pStyle w:val="Compact"/>
            </w:pPr>
            <w:r>
              <w:rPr>
                <w:b/>
                <w:bCs/>
              </w:rPr>
              <w:t xml:space="preserve">AlexNet</w:t>
            </w:r>
          </w:p>
        </w:tc>
        <w:tc>
          <w:tcPr/>
          <w:p>
            <w:pPr>
              <w:pStyle w:val="Compact"/>
            </w:pPr>
            <w:r>
              <w:t xml:space="preserve">SplitConformal</w:t>
            </w:r>
          </w:p>
        </w:tc>
        <w:tc>
          <w:tcPr/>
          <w:p>
            <w:pPr>
              <w:pStyle w:val="Compact"/>
            </w:pPr>
            <w:r>
              <w:t xml:space="preserve">0.9522</w:t>
            </w:r>
          </w:p>
        </w:tc>
        <w:tc>
          <w:tcPr/>
          <w:p>
            <w:pPr>
              <w:pStyle w:val="Compact"/>
            </w:pPr>
            <w:r>
              <w:t xml:space="preserve">0.9527</w:t>
            </w:r>
          </w:p>
        </w:tc>
        <w:tc>
          <w:tcPr/>
          <w:p>
            <w:pPr>
              <w:pStyle w:val="Compact"/>
            </w:pPr>
            <w:r>
              <w:t xml:space="preserve">0.9527</w:t>
            </w:r>
          </w:p>
        </w:tc>
        <w:tc>
          <w:tcPr/>
          <w:p>
            <w:pPr>
              <w:pStyle w:val="Compact"/>
            </w:pPr>
            <w:r>
              <w:t xml:space="preserve">1.67</w:t>
            </w:r>
          </w:p>
        </w:tc>
      </w:tr>
      <w:tr>
        <w:tc>
          <w:tcPr/>
          <w:p>
            <w:pPr>
              <w:pStyle w:val="Compact"/>
            </w:pPr>
            <w:r>
              <w:rPr>
                <w:b/>
                <w:bCs/>
              </w:rPr>
              <w:t xml:space="preserve">GFNet</w:t>
            </w:r>
          </w:p>
        </w:tc>
        <w:tc>
          <w:tcPr/>
          <w:p>
            <w:pPr>
              <w:pStyle w:val="Compact"/>
            </w:pPr>
            <w:r>
              <w:t xml:space="preserve">SplitConformal</w:t>
            </w:r>
          </w:p>
        </w:tc>
        <w:tc>
          <w:tcPr/>
          <w:p>
            <w:pPr>
              <w:pStyle w:val="Compact"/>
            </w:pPr>
            <w:r>
              <w:t xml:space="preserve">0.9587</w:t>
            </w:r>
          </w:p>
        </w:tc>
        <w:tc>
          <w:tcPr/>
          <w:p>
            <w:pPr>
              <w:pStyle w:val="Compact"/>
            </w:pPr>
            <w:r>
              <w:t xml:space="preserve">0.9587</w:t>
            </w:r>
          </w:p>
        </w:tc>
        <w:tc>
          <w:tcPr/>
          <w:p>
            <w:pPr>
              <w:pStyle w:val="Compact"/>
            </w:pPr>
            <w:r>
              <w:t xml:space="preserve">0.9587</w:t>
            </w:r>
          </w:p>
        </w:tc>
        <w:tc>
          <w:tcPr/>
          <w:p>
            <w:pPr>
              <w:pStyle w:val="Compact"/>
            </w:pPr>
            <w:r>
              <w:t xml:space="preserve">1.57</w:t>
            </w:r>
          </w:p>
        </w:tc>
      </w:tr>
      <w:tr>
        <w:tc>
          <w:tcPr/>
          <w:p>
            <w:pPr>
              <w:pStyle w:val="Compact"/>
            </w:pPr>
            <w:r>
              <w:rPr>
                <w:b/>
                <w:bCs/>
              </w:rPr>
              <w:t xml:space="preserve">ViT</w:t>
            </w:r>
          </w:p>
        </w:tc>
        <w:tc>
          <w:tcPr/>
          <w:p>
            <w:pPr>
              <w:pStyle w:val="Compact"/>
            </w:pPr>
            <w:r>
              <w:t xml:space="preserve">SplitConformal</w:t>
            </w:r>
          </w:p>
        </w:tc>
        <w:tc>
          <w:tcPr/>
          <w:p>
            <w:pPr>
              <w:pStyle w:val="Compact"/>
            </w:pPr>
            <w:r>
              <w:t xml:space="preserve">0.9513</w:t>
            </w:r>
          </w:p>
        </w:tc>
        <w:tc>
          <w:tcPr/>
          <w:p>
            <w:pPr>
              <w:pStyle w:val="Compact"/>
            </w:pPr>
            <w:r>
              <w:t xml:space="preserve">0.9522</w:t>
            </w:r>
          </w:p>
        </w:tc>
        <w:tc>
          <w:tcPr/>
          <w:p>
            <w:pPr>
              <w:pStyle w:val="Compact"/>
            </w:pPr>
            <w:r>
              <w:t xml:space="preserve">0.9522</w:t>
            </w:r>
          </w:p>
        </w:tc>
        <w:tc>
          <w:tcPr/>
          <w:p>
            <w:pPr>
              <w:pStyle w:val="Compact"/>
            </w:pPr>
            <w:r>
              <w:t xml:space="preserve">1.57</w:t>
            </w:r>
          </w:p>
        </w:tc>
      </w:tr>
    </w:tbl>
    <w:p>
      <w:pPr>
        <w:pStyle w:val="BodyText"/>
      </w:pPr>
      <w:r>
        <w:t xml:space="preserve">All methods achieved the nominal target coverage of 95%. RAPS displayed severe over-coverage (approaching 100%) but returned singleton sets across the board. Split and Class-Conditional conformal predictions provided tight prediction sets (avg size ~0.95-0.96) while reliably meeting the target coverage.</w:t>
      </w:r>
    </w:p>
    <w:bookmarkEnd w:id="52"/>
    <w:bookmarkEnd w:id="53"/>
    <w:bookmarkStart w:id="54" w:name="conclusion"/>
    <w:p>
      <w:pPr>
        <w:pStyle w:val="Heading2"/>
      </w:pPr>
      <w:r>
        <w:t xml:space="preserve">4. Conclusion</w:t>
      </w:r>
    </w:p>
    <w:p>
      <w:pPr>
        <w:pStyle w:val="FirstParagraph"/>
      </w:pPr>
      <w:r>
        <w:t xml:space="preserve">This study demonstrates the effectiveness of Class-Balanced Focal Loss in multi-class image classification. By systematically penalizing easily classified majority class examples and appropriately scaling minority class weights using the effective number of samples, all tested architectures achieved exceptional accuracy, exceeding 99%. GFNet proved to be the most robust architecture, combining high accuracy with excellent calibration. Conformal prediction seamlessly layered valid, non-heuristic uncertainty bounds over the predictions, ensuring reliable deployment in risk-sensitive applications.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2026-08-20T02:27:12Z</dcterms:created>
  <dcterms:modified xsi:type="dcterms:W3CDTF">2026-08-20T02:27:12Z</dcterms:modified>
</cp:coreProperties>
</file>

<file path=docProps/custom.xml><?xml version="1.0" encoding="utf-8"?>
<Properties xmlns="http://schemas.openxmlformats.org/officeDocument/2006/custom-properties" xmlns:vt="http://schemas.openxmlformats.org/officeDocument/2006/docPropsVTypes"/>
</file>