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9.png" ContentType="image/png"/>
  <Override PartName="/word/media/rId22.png" ContentType="image/png"/>
  <Override PartName="/word/media/rId28.png" ContentType="image/png"/>
  <Override PartName="/word/media/rId16.png" ContentType="image/png"/>
  <Override PartName="/word/media/rId13.png" ContentType="image/png"/>
  <Override PartName="/word/media/rId44.png" ContentType="image/png"/>
  <Override PartName="/word/media/rId32.png" ContentType="image/png"/>
  <Override PartName="/word/media/rId38.png" ContentType="image/png"/>
  <Override PartName="/word/media/rId35.png" ContentType="image/png"/>
  <Override PartName="/word/media/rId4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bf25f9c759099f35576ddeda75722a02dee9cd7"/>
    <w:p>
      <w:pPr>
        <w:pStyle w:val="Heading1"/>
      </w:pPr>
      <w:r>
        <w:t xml:space="preserve">Evidential Deep Learning (EDL) Classification Report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Evidential Deep Learning (EDL) introduces a robust framework for quantifying uncertainty in neural network classifications. Unlike standard networks that output a point estimate of class probabilities using softmax, EDL places a Dirichlet distribution over the class probabilities. This report details the performance and uncertainty quantification capabilities of EDL applied to three architectures: GFNet, ViT-UNet, and AlexNet.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Reliable uncertainty quantification is crucial for safety-critical applications. Traditional neural networks often produce overconfident predictions, particularly for out-of-distribution data. Evidential Deep Learning models uncertainty by interpreting network outputs as parameters of a Dirichlet distribution, providing a principled measure of epistemic uncertainty based on Dempster-Shafer theory.</w:t>
      </w:r>
    </w:p>
    <w:bookmarkEnd w:id="10"/>
    <w:bookmarkStart w:id="11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In EDL, the neural network is trained to predict the parameters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Dirichlet distribution representing the density of possible class probabilities. The evidence for each class is given by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uncertainty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inversely proportional to the total evidence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S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classes.</w:t>
      </w:r>
      <w:r>
        <w:t xml:space="preserve"> </w:t>
      </w:r>
      <w:r>
        <w:t xml:space="preserve">Models evaluated: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GFNet</w:t>
      </w:r>
      <w:r>
        <w:t xml:space="preserve">: Global Filter Network.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ViT-UNet</w:t>
      </w:r>
      <w:r>
        <w:t xml:space="preserve">: Vision Transformer integrated with a UNet 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AlexNet</w:t>
      </w:r>
      <w:r>
        <w:t xml:space="preserve">: Standard Convolutional Neural Network.</w:t>
      </w:r>
    </w:p>
    <w:bookmarkEnd w:id="11"/>
    <w:bookmarkStart w:id="52" w:name="experiments-and-results"/>
    <w:p>
      <w:pPr>
        <w:pStyle w:val="Heading2"/>
      </w:pPr>
      <w:r>
        <w:t xml:space="preserve">Experiments and Results</w:t>
      </w:r>
    </w:p>
    <w:bookmarkStart w:id="12" w:name="classification-performance"/>
    <w:p>
      <w:pPr>
        <w:pStyle w:val="Heading3"/>
      </w:pPr>
      <w:r>
        <w:t xml:space="preserve">1. Classification Performance</w:t>
      </w:r>
    </w:p>
    <w:p>
      <w:pPr>
        <w:pStyle w:val="FirstParagraph"/>
      </w:pPr>
      <w:r>
        <w:t xml:space="preserve">The test accuracy and macro F1 scores demonstrate the baseline performance of each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Macro F1</w:t>
            </w:r>
          </w:p>
        </w:tc>
        <w:tc>
          <w:tcPr/>
          <w:p>
            <w:pPr>
              <w:pStyle w:val="Compact"/>
            </w:pPr>
            <w:r>
              <w:t xml:space="preserve">Weighted F1</w:t>
            </w:r>
          </w:p>
        </w:tc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w:r>
              <w:t xml:space="preserve">Val NLL</w:t>
            </w:r>
          </w:p>
        </w:tc>
        <w:tc>
          <w:tcPr/>
          <w:p>
            <w:pPr>
              <w:pStyle w:val="Compact"/>
            </w:pPr>
            <w:r>
              <w:t xml:space="preserve">Test NLL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0.9937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  <w:tc>
          <w:tcPr/>
          <w:p>
            <w:pPr>
              <w:pStyle w:val="Compact"/>
            </w:pPr>
            <w:r>
              <w:t xml:space="preserve">0.9937</w:t>
            </w:r>
          </w:p>
        </w:tc>
        <w:tc>
          <w:tcPr/>
          <w:p>
            <w:pPr>
              <w:pStyle w:val="Compact"/>
            </w:pPr>
            <w:r>
              <w:t xml:space="preserve">0.9915</w:t>
            </w:r>
          </w:p>
        </w:tc>
        <w:tc>
          <w:tcPr/>
          <w:p>
            <w:pPr>
              <w:pStyle w:val="Compact"/>
            </w:pPr>
            <w:r>
              <w:t xml:space="preserve">0.1373</w:t>
            </w:r>
          </w:p>
        </w:tc>
        <w:tc>
          <w:tcPr/>
          <w:p>
            <w:pPr>
              <w:pStyle w:val="Compact"/>
            </w:pPr>
            <w:r>
              <w:t xml:space="preserve">0.1399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ViT-UNet</w:t>
            </w:r>
          </w:p>
        </w:tc>
        <w:tc>
          <w:tcPr/>
          <w:p>
            <w:pPr>
              <w:pStyle w:val="Compact"/>
            </w:pPr>
            <w:r>
              <w:t xml:space="preserve">0.9652</w:t>
            </w:r>
          </w:p>
        </w:tc>
        <w:tc>
          <w:tcPr/>
          <w:p>
            <w:pPr>
              <w:pStyle w:val="Compact"/>
            </w:pPr>
            <w:r>
              <w:t xml:space="preserve">0.9411</w:t>
            </w:r>
          </w:p>
        </w:tc>
        <w:tc>
          <w:tcPr/>
          <w:p>
            <w:pPr>
              <w:pStyle w:val="Compact"/>
            </w:pPr>
            <w:r>
              <w:t xml:space="preserve">0.9652</w:t>
            </w:r>
          </w:p>
        </w:tc>
        <w:tc>
          <w:tcPr/>
          <w:p>
            <w:pPr>
              <w:pStyle w:val="Compact"/>
            </w:pPr>
            <w:r>
              <w:t xml:space="preserve">0.9527</w:t>
            </w:r>
          </w:p>
        </w:tc>
        <w:tc>
          <w:tcPr/>
          <w:p>
            <w:pPr>
              <w:pStyle w:val="Compact"/>
            </w:pPr>
            <w:r>
              <w:t xml:space="preserve">0.3078</w:t>
            </w:r>
          </w:p>
        </w:tc>
        <w:tc>
          <w:tcPr/>
          <w:p>
            <w:pPr>
              <w:pStyle w:val="Compact"/>
            </w:pPr>
            <w:r>
              <w:t xml:space="preserve">0.3019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0.9387</w:t>
            </w:r>
          </w:p>
        </w:tc>
        <w:tc>
          <w:tcPr/>
          <w:p>
            <w:pPr>
              <w:pStyle w:val="Compact"/>
            </w:pPr>
            <w:r>
              <w:t xml:space="preserve">0.8628</w:t>
            </w:r>
          </w:p>
        </w:tc>
        <w:tc>
          <w:tcPr/>
          <w:p>
            <w:pPr>
              <w:pStyle w:val="Compact"/>
            </w:pPr>
            <w:r>
              <w:t xml:space="preserve">0.9375</w:t>
            </w:r>
          </w:p>
        </w:tc>
        <w:tc>
          <w:tcPr/>
          <w:p>
            <w:pPr>
              <w:pStyle w:val="Compact"/>
            </w:pPr>
            <w:r>
              <w:t xml:space="preserve">0.9171</w:t>
            </w:r>
          </w:p>
        </w:tc>
        <w:tc>
          <w:tcPr/>
          <w:p>
            <w:pPr>
              <w:pStyle w:val="Compact"/>
            </w:pPr>
            <w:r>
              <w:t xml:space="preserve">0.5194</w:t>
            </w:r>
          </w:p>
        </w:tc>
        <w:tc>
          <w:tcPr/>
          <w:p>
            <w:pPr>
              <w:pStyle w:val="Compact"/>
            </w:pPr>
            <w:r>
              <w:t xml:space="preserve">0.5194</w:t>
            </w:r>
          </w:p>
        </w:tc>
      </w:tr>
    </w:tbl>
    <w:bookmarkEnd w:id="12"/>
    <w:bookmarkStart w:id="31" w:name="scene-visualizations"/>
    <w:p>
      <w:pPr>
        <w:pStyle w:val="Heading3"/>
      </w:pPr>
      <w:r>
        <w:t xml:space="preserve">2. Scene Visualizations</w:t>
      </w:r>
    </w:p>
    <w:p>
      <w:pPr>
        <w:pStyle w:val="FirstParagraph"/>
      </w:pPr>
      <w:r>
        <w:t xml:space="preserve">Below are the classification maps generated for each model alongside the true label map and scene RGB.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Scene RGB &amp; Ground Truth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Scene RGB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scene_rgb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Ground Truth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ground_truth_label_ma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Classification Maps: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GFNet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ViT-UNet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AlexNet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GFNet Map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GFNet_initial_classification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ViT Map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ViT_UNet_initial_classification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AlexNet Map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AlexNet_CNN_initial_classification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Combined Overview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01470"/>
                  <wp:effectExtent b="0" l="0" r="0" t="0"/>
                  <wp:docPr descr="Overview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scene_visualizations/combined_initial_classification_overview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1"/>
    <w:bookmarkStart w:id="50" w:name="training-and-evaluation-metrics"/>
    <w:p>
      <w:pPr>
        <w:pStyle w:val="Heading3"/>
      </w:pPr>
      <w:r>
        <w:t xml:space="preserve">3. Training and Evaluation Metrics</w:t>
      </w:r>
    </w:p>
    <w:p>
      <w:pPr>
        <w:pStyle w:val="FirstParagraph"/>
      </w:pPr>
      <w:r>
        <w:t xml:space="preserve">Training curves and confusion matrices highlight the stability and convergence of the EDL models.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Training Curves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Confusion Matrices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189629"/>
                  <wp:effectExtent b="0" l="0" r="0" t="0"/>
                  <wp:docPr descr="GFNet Curves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GFNet_training_curve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372396"/>
                  <wp:effectExtent b="0" l="0" r="0" t="0"/>
                  <wp:docPr descr="Confusion Matrices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confusion_matrices_side_by_sid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72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189629"/>
                  <wp:effectExtent b="0" l="0" r="0" t="0"/>
                  <wp:docPr descr="ViT-UNet Curves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ViT_UNet_training_curves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304216"/>
                  <wp:effectExtent b="0" l="0" r="0" t="0"/>
                  <wp:docPr descr="Model Comparison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model_comparison_metrics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04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189629"/>
                  <wp:effectExtent b="0" l="0" r="0" t="0"/>
                  <wp:docPr descr="AlexNet Curves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AlexNet_CNN_training_curves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8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191870"/>
                  <wp:effectExtent b="0" l="0" r="0" t="0"/>
                  <wp:docPr descr="Uncertainty Metrics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edl/results/training_plots/uncertainty_proxy_metrics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1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0"/>
    <w:bookmarkStart w:id="51" w:name="uncertainty-quantification-results"/>
    <w:p>
      <w:pPr>
        <w:pStyle w:val="Heading3"/>
      </w:pPr>
      <w:r>
        <w:t xml:space="preserve">4. Uncertainty Quantification Results</w:t>
      </w:r>
    </w:p>
    <w:p>
      <w:pPr>
        <w:pStyle w:val="FirstParagraph"/>
      </w:pPr>
      <w:r>
        <w:t xml:space="preserve">We assessed Conformal Prediction methods over the EDL outputs. All methods achieved 1.0 empirical coverage with a target of 0.95.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</w:pPr>
            <w:r>
              <w:t xml:space="preserve">Avg Set Size</w:t>
            </w:r>
          </w:p>
        </w:tc>
        <w:tc>
          <w:tcPr/>
          <w:p>
            <w:pPr>
              <w:pStyle w:val="Compact"/>
            </w:pPr>
            <w:r>
              <w:t xml:space="preserve">Singleton Rate</w:t>
            </w:r>
          </w:p>
        </w:tc>
        <w:tc>
          <w:tcPr/>
          <w:p>
            <w:pPr>
              <w:pStyle w:val="Compact"/>
            </w:pPr>
            <w:r>
              <w:t xml:space="preserve">Runtime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ClassConditionalConformal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</w:t>
            </w:r>
          </w:p>
        </w:tc>
        <w:tc>
          <w:tcPr/>
          <w:p>
            <w:pPr>
              <w:pStyle w:val="Compact"/>
            </w:pPr>
            <w:r>
              <w:t xml:space="preserve">SplitConformal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RAPS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</w:tr>
    </w:tbl>
    <w:bookmarkEnd w:id="51"/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Evidential Deep Learning (EDL) robustly estimates uncertainty. GFNet outperformed the other architectures in terms of test accuracy and F1 score, demonstrating high capability on this dataset while providing well-calibrated evidence through the EDL framework.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2026-08-20T02:27:08Z</dcterms:created>
  <dcterms:modified xsi:type="dcterms:W3CDTF">2026-08-20T02:27:08Z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