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7.png" ContentType="image/png"/>
  <Override PartName="/word/media/rId50.png" ContentType="image/png"/>
  <Override PartName="/word/media/rId41.png" ContentType="image/png"/>
  <Override PartName="/word/media/rId38.png" ContentType="image/png"/>
  <Override PartName="/word/media/rId35.png" ContentType="image/png"/>
  <Override PartName="/word/media/rId22.png" ContentType="image/png"/>
  <Override PartName="/word/media/rId25.png" ContentType="image/png"/>
  <Override PartName="/word/media/rId28.png" ContentType="image/png"/>
  <Override PartName="/word/media/rId31.png" ContentType="image/png"/>
  <Override PartName="/word/media/rId16.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1312bdeac55a7638ce7dbd7b7d51ca3646970b"/>
    <w:p>
      <w:pPr>
        <w:pStyle w:val="Heading1"/>
      </w:pPr>
      <w:r>
        <w:t xml:space="preserve">Comprehensive Report on Image Classification with Focal Loss and Uncertainty Quantification</w:t>
      </w:r>
    </w:p>
    <w:bookmarkStart w:id="9" w:name="abstract"/>
    <w:p>
      <w:pPr>
        <w:pStyle w:val="Heading2"/>
      </w:pPr>
      <w:r>
        <w:t xml:space="preserve">Abstract</w:t>
      </w:r>
    </w:p>
    <w:p>
      <w:pPr>
        <w:pStyle w:val="FirstParagraph"/>
      </w:pPr>
      <w:r>
        <w:t xml:space="preserve">This report details the implementation, theoretical background, and experimental evaluation of classification models trained with Focal Loss. We quantify classification performance across AlexNet, GFNet, and ViT-UNet architectures, while rigorously assessing uncertainty using state-of-the-art conformal prediction techniques. Our results indicate that Focal Loss successfully mitigates class imbalance, achieving competitive macro F1-scores, while the associated conformal prediction frameworks produce highly reliable predictive sets.</w:t>
      </w:r>
    </w:p>
    <w:bookmarkEnd w:id="9"/>
    <w:bookmarkStart w:id="10" w:name="introduction"/>
    <w:p>
      <w:pPr>
        <w:pStyle w:val="Heading2"/>
      </w:pPr>
      <w:r>
        <w:t xml:space="preserve">1. Introduction</w:t>
      </w:r>
    </w:p>
    <w:p>
      <w:pPr>
        <w:pStyle w:val="FirstParagraph"/>
      </w:pPr>
      <w:r>
        <w:t xml:space="preserve">Handling class imbalance in dense prediction and image classification tasks remains a prominent challenge. Models typically become biased towards majority classes, leading to suboptimal performance on minority classes. Focal Loss was introduced to address this by dynamically scaling the cross-entropy loss based on the prediction confidence. In this study, we investigate the efficacy of Focal Loss across three varied architectures (AlexNet, GFNet, and ViT-UNet) and further apply rigorous conformal prediction techniques to quantify model uncertainty and guarantee coverage bounds.</w:t>
      </w:r>
    </w:p>
    <w:bookmarkEnd w:id="10"/>
    <w:bookmarkStart w:id="13" w:name="methodology"/>
    <w:p>
      <w:pPr>
        <w:pStyle w:val="Heading2"/>
      </w:pPr>
      <w:r>
        <w:t xml:space="preserve">2. Methodology</w:t>
      </w:r>
    </w:p>
    <w:bookmarkStart w:id="11" w:name="theoretical-foundations-of-focal-loss"/>
    <w:p>
      <w:pPr>
        <w:pStyle w:val="Heading3"/>
      </w:pPr>
      <w:r>
        <w:t xml:space="preserve">2.1 Theoretical Foundations of Focal Loss</w:t>
      </w:r>
    </w:p>
    <w:p>
      <w:pPr>
        <w:pStyle w:val="FirstParagraph"/>
      </w:pPr>
      <w:r>
        <w:t xml:space="preserve">Focal Loss is an extension of standard Cross-Entropy (CE) loss designed to address extreme class imbalance. For binary classification, the standard CE loss is defined as:</w:t>
      </w:r>
    </w:p>
    <w:p>
      <w:pPr>
        <w:pStyle w:val="BodyText"/>
      </w:pPr>
      <m:oMathPara>
        <m:oMathParaPr>
          <m:jc m:val="center"/>
        </m:oMathParaPr>
        <m:oMath>
          <m:r>
            <m:t>C</m:t>
          </m:r>
          <m:r>
            <m:t>E</m:t>
          </m:r>
          <m:r>
            <m:rPr>
              <m:sty m:val="p"/>
            </m:rPr>
            <m:t>(</m:t>
          </m:r>
          <m:r>
            <m:t>p</m:t>
          </m:r>
          <m:r>
            <m:rPr>
              <m:sty m:val="p"/>
            </m:rPr>
            <m:t>,</m:t>
          </m:r>
          <m:r>
            <m:t>y</m:t>
          </m:r>
          <m:r>
            <m:rPr>
              <m:sty m:val="p"/>
            </m:rPr>
            <m:t>)</m:t>
          </m:r>
          <m:r>
            <m:rPr>
              <m:sty m:val="p"/>
            </m:rPr>
            <m:t>=</m:t>
          </m:r>
          <m:r>
            <m:rPr>
              <m:sty m:val="p"/>
            </m:rPr>
            <m:t>−</m:t>
          </m:r>
          <m:r>
            <m:t>y</m:t>
          </m:r>
          <m:r>
            <m:rPr>
              <m:sty m:val="p"/>
            </m:rPr>
            <m:t>log</m:t>
          </m:r>
          <m:r>
            <m:rPr>
              <m:sty m:val="p"/>
            </m:rPr>
            <m:t>(</m:t>
          </m:r>
          <m:r>
            <m:t>p</m:t>
          </m:r>
          <m:r>
            <m:rPr>
              <m:sty m:val="p"/>
            </m:rPr>
            <m:t>)</m:t>
          </m:r>
          <m:r>
            <m:rPr>
              <m:sty m:val="p"/>
            </m:rPr>
            <m:t>−</m:t>
          </m:r>
          <m:r>
            <m:rPr>
              <m:sty m:val="p"/>
            </m:rPr>
            <m:t>(</m:t>
          </m:r>
          <m:r>
            <m:t>1</m:t>
          </m:r>
          <m:r>
            <m:rPr>
              <m:sty m:val="p"/>
            </m:rPr>
            <m:t>−</m:t>
          </m:r>
          <m:r>
            <m:t>y</m:t>
          </m:r>
          <m:r>
            <m:rPr>
              <m:sty m:val="p"/>
            </m:rPr>
            <m:t>)</m:t>
          </m:r>
          <m:r>
            <m:rPr>
              <m:sty m:val="p"/>
            </m:rPr>
            <m:t>log</m:t>
          </m:r>
          <m:r>
            <m:rPr>
              <m:sty m:val="p"/>
            </m:rPr>
            <m:t>(</m:t>
          </m:r>
          <m:r>
            <m:t>1</m:t>
          </m:r>
          <m:r>
            <m:rPr>
              <m:sty m:val="p"/>
            </m:rPr>
            <m:t>−</m:t>
          </m:r>
          <m:r>
            <m:t>p</m:t>
          </m:r>
          <m:r>
            <m:rPr>
              <m:sty m:val="p"/>
            </m:rPr>
            <m:t>)</m:t>
          </m:r>
        </m:oMath>
      </m:oMathPara>
    </w:p>
    <w:p>
      <w:pPr>
        <w:pStyle w:val="FirstParagraph"/>
      </w:pPr>
      <w:r>
        <w:t xml:space="preserve">where</w:t>
      </w:r>
      <w:r>
        <w:t xml:space="preserve"> </w:t>
      </w:r>
      <m:oMath>
        <m:r>
          <m:t>y</m:t>
        </m:r>
        <m:r>
          <m:rPr>
            <m:sty m:val="p"/>
          </m:rPr>
          <m:t>∈</m:t>
        </m:r>
        <m:r>
          <m:rPr>
            <m:sty m:val="p"/>
          </m:rPr>
          <m:t>{</m:t>
        </m:r>
        <m:r>
          <m:t>0</m:t>
        </m:r>
        <m:r>
          <m:rPr>
            <m:sty m:val="p"/>
          </m:rPr>
          <m:t>,</m:t>
        </m:r>
        <m:r>
          <m:t>1</m:t>
        </m:r>
        <m:r>
          <m:rPr>
            <m:sty m:val="p"/>
          </m:rPr>
          <m:t>}</m:t>
        </m:r>
      </m:oMath>
      <w:r>
        <w:t xml:space="preserve"> </w:t>
      </w:r>
      <w:r>
        <w:t xml:space="preserve">is the ground truth class and</w:t>
      </w:r>
      <w:r>
        <w:t xml:space="preserve"> </w:t>
      </w:r>
      <m:oMath>
        <m:r>
          <m:t>p</m:t>
        </m:r>
        <m:r>
          <m:rPr>
            <m:sty m:val="p"/>
          </m:rPr>
          <m:t>∈</m:t>
        </m:r>
        <m:r>
          <m:rPr>
            <m:sty m:val="p"/>
          </m:rPr>
          <m:t>[</m:t>
        </m:r>
        <m:r>
          <m:t>0</m:t>
        </m:r>
        <m:r>
          <m:rPr>
            <m:sty m:val="p"/>
          </m:rPr>
          <m:t>,</m:t>
        </m:r>
        <m:r>
          <m:t>1</m:t>
        </m:r>
        <m:r>
          <m:rPr>
            <m:sty m:val="p"/>
          </m:rPr>
          <m:t>]</m:t>
        </m:r>
      </m:oMath>
      <w:r>
        <w:t xml:space="preserve"> </w:t>
      </w:r>
      <w:r>
        <w:t xml:space="preserve">is the model’s estimated probability for the class with label</w:t>
      </w:r>
      <w:r>
        <w:t xml:space="preserve"> </w:t>
      </w:r>
      <m:oMath>
        <m:r>
          <m:t>y</m:t>
        </m:r>
        <m:r>
          <m:rPr>
            <m:sty m:val="p"/>
          </m:rPr>
          <m:t>=</m:t>
        </m:r>
        <m:r>
          <m:t>1</m:t>
        </m:r>
      </m:oMath>
      <w:r>
        <w:t xml:space="preserve">. Let</w:t>
      </w:r>
      <w:r>
        <w:t xml:space="preserve"> </w:t>
      </w:r>
      <m:oMath>
        <m:sSub>
          <m:e>
            <m:r>
              <m:t>p</m:t>
            </m:r>
          </m:e>
          <m:sub>
            <m:r>
              <m:t>t</m:t>
            </m:r>
          </m:sub>
        </m:sSub>
      </m:oMath>
      <w:r>
        <w:t xml:space="preserve"> </w:t>
      </w:r>
      <w:r>
        <w:t xml:space="preserve">be the probability of the true class.</w:t>
      </w:r>
    </w:p>
    <w:p>
      <w:pPr>
        <w:pStyle w:val="BodyText"/>
      </w:pPr>
      <w:r>
        <w:t xml:space="preserve">Focal Loss introduces a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to the CE loss, with a tunable focusing parameter</w:t>
      </w:r>
      <w:r>
        <w:t xml:space="preserve"> </w:t>
      </w:r>
      <m:oMath>
        <m:r>
          <m:t>γ</m:t>
        </m:r>
        <m:r>
          <m:rPr>
            <m:sty m:val="p"/>
          </m:rPr>
          <m:t>≥</m:t>
        </m:r>
        <m:r>
          <m:t>0</m:t>
        </m:r>
      </m:oMath>
      <w:r>
        <w:t xml:space="preserve">. It is formally defined as:</w:t>
      </w:r>
    </w:p>
    <w:p>
      <w:pPr>
        <w:pStyle w:val="BodyText"/>
      </w:pPr>
      <m:oMathPara>
        <m:oMathParaPr>
          <m:jc m:val="center"/>
        </m:oMathParaPr>
        <m:oMath>
          <m:r>
            <m:t>F</m:t>
          </m:r>
          <m:r>
            <m:t>L</m:t>
          </m:r>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sty m:val="p"/>
            </m:rPr>
            <m:t>log</m:t>
          </m:r>
          <m:r>
            <m:rPr>
              <m:sty m:val="p"/>
            </m:rPr>
            <m:t>(</m:t>
          </m:r>
          <m:sSub>
            <m:e>
              <m:r>
                <m:t>p</m:t>
              </m:r>
            </m:e>
            <m:sub>
              <m:r>
                <m:t>t</m:t>
              </m:r>
            </m:sub>
          </m:sSub>
          <m:r>
            <m:rPr>
              <m:sty m:val="p"/>
            </m:rPr>
            <m:t>)</m:t>
          </m:r>
        </m:oMath>
      </m:oMathPara>
    </w:p>
    <w:p>
      <w:pPr>
        <w:pStyle w:val="FirstParagraph"/>
      </w:pPr>
      <w:r>
        <w:rPr>
          <w:b/>
          <w:bCs/>
        </w:rPr>
        <w:t xml:space="preserve">Motivation:</w:t>
      </w:r>
      <w:r>
        <w:t xml:space="preserve"> </w:t>
      </w:r>
      <w:r>
        <w:t xml:space="preserve">1.</w:t>
      </w:r>
      <w:r>
        <w:t xml:space="preserve"> </w:t>
      </w:r>
      <w:r>
        <w:rPr>
          <w:b/>
          <w:bCs/>
        </w:rPr>
        <w:t xml:space="preserve">Down-weighting Easy Examples:</w:t>
      </w:r>
      <w:r>
        <w:t xml:space="preserve"> </w:t>
      </w:r>
      <w:r>
        <w:t xml:space="preserve">The modulating factor</w:t>
      </w:r>
      <w:r>
        <w:t xml:space="preserve"> </w:t>
      </w:r>
      <m:oMath>
        <m:r>
          <m:rPr>
            <m:sty m:val="p"/>
          </m:rPr>
          <m:t>(</m:t>
        </m:r>
        <m:r>
          <m:t>1</m:t>
        </m:r>
        <m:r>
          <m:rPr>
            <m:sty m:val="p"/>
          </m:rPr>
          <m:t>−</m:t>
        </m:r>
        <m:sSub>
          <m:e>
            <m:r>
              <m:t>p</m:t>
            </m:r>
          </m:e>
          <m:sub>
            <m:r>
              <m:t>t</m:t>
            </m:r>
          </m:sub>
        </m:sSub>
        <m:sSup>
          <m:e>
            <m:r>
              <m:rPr>
                <m:sty m:val="p"/>
              </m:rPr>
              <m:t>)</m:t>
            </m:r>
          </m:e>
          <m:sup>
            <m:r>
              <m:t>γ</m:t>
            </m:r>
          </m:sup>
        </m:sSup>
      </m:oMath>
      <w:r>
        <w:t xml:space="preserve"> </w:t>
      </w:r>
      <w:r>
        <w:t xml:space="preserve">reduces the loss contribution of well-classified (easy) examples, focusing the training process on hard examples.</w:t>
      </w:r>
      <w:r>
        <w:t xml:space="preserve"> </w:t>
      </w:r>
      <w:r>
        <w:t xml:space="preserve">2.</w:t>
      </w:r>
      <w:r>
        <w:t xml:space="preserve"> </w:t>
      </w:r>
      <w:r>
        <w:rPr>
          <w:b/>
          <w:bCs/>
        </w:rPr>
        <w:t xml:space="preserve">Balancing Factor:</w:t>
      </w:r>
      <w:r>
        <w:t xml:space="preserve"> </w:t>
      </w:r>
      <w:r>
        <w:t xml:space="preserve">The weighting factor</w:t>
      </w:r>
      <w:r>
        <w:t xml:space="preserve"> </w:t>
      </w:r>
      <m:oMath>
        <m:sSub>
          <m:e>
            <m:r>
              <m:t>α</m:t>
            </m:r>
          </m:e>
          <m:sub>
            <m:r>
              <m:t>t</m:t>
            </m:r>
          </m:sub>
        </m:sSub>
        <m:r>
          <m:rPr>
            <m:sty m:val="p"/>
          </m:rPr>
          <m:t>∈</m:t>
        </m:r>
        <m:r>
          <m:rPr>
            <m:sty m:val="p"/>
          </m:rPr>
          <m:t>[</m:t>
        </m:r>
        <m:r>
          <m:t>0</m:t>
        </m:r>
        <m:r>
          <m:rPr>
            <m:sty m:val="p"/>
          </m:rPr>
          <m:t>,</m:t>
        </m:r>
        <m:r>
          <m:t>1</m:t>
        </m:r>
        <m:r>
          <m:rPr>
            <m:sty m:val="p"/>
          </m:rPr>
          <m:t>]</m:t>
        </m:r>
      </m:oMath>
      <w:r>
        <w:t xml:space="preserve"> </w:t>
      </w:r>
      <w:r>
        <w:t xml:space="preserve">acts to balance the importance of positive and negative classes, ensuring that the gradient is not overwhelmed by the frequent classes.</w:t>
      </w:r>
    </w:p>
    <w:bookmarkEnd w:id="11"/>
    <w:bookmarkStart w:id="12" w:name="X8a885bc4a0f9b223f477515daa7a3729884994c"/>
    <w:p>
      <w:pPr>
        <w:pStyle w:val="Heading3"/>
      </w:pPr>
      <w:r>
        <w:t xml:space="preserve">2.2 Uncertainty Quantification and Conformal Prediction</w:t>
      </w:r>
    </w:p>
    <w:p>
      <w:pPr>
        <w:pStyle w:val="FirstParagraph"/>
      </w:pPr>
      <w:r>
        <w:t xml:space="preserve">Beyond point predictions, uncertainty quantification provides a mathematically rigorous way of defining reliability. We applied several Conformal Prediction strategies—including Split Conformal, Class-Conditional Conformal, Regularized Adaptive Predictive Sets (RAPS), Clustered Conformal, and RC3P. These techniques produce prediction sets</w:t>
      </w:r>
      <w:r>
        <w:t xml:space="preserve"> </w:t>
      </w:r>
      <m:oMath>
        <m:r>
          <m:t>C</m:t>
        </m:r>
        <m:r>
          <m:rPr>
            <m:sty m:val="p"/>
          </m:rPr>
          <m:t>(</m:t>
        </m:r>
        <m:r>
          <m:t>X</m:t>
        </m:r>
        <m:r>
          <m:rPr>
            <m:sty m:val="p"/>
          </m:rPr>
          <m:t>)</m:t>
        </m:r>
      </m:oMath>
      <w:r>
        <w:t xml:space="preserve"> </w:t>
      </w:r>
      <w:r>
        <w:t xml:space="preserve">that guarantee a user-specified marginal coverage</w:t>
      </w:r>
      <w:r>
        <w:t xml:space="preserve"> </w:t>
      </w:r>
      <m:oMath>
        <m:r>
          <m:t>1</m:t>
        </m:r>
        <m:r>
          <m:rPr>
            <m:sty m:val="p"/>
          </m:rPr>
          <m:t>−</m:t>
        </m:r>
        <m:r>
          <m:t>α</m:t>
        </m:r>
      </m:oMath>
      <w:r>
        <w:t xml:space="preserve">, such that</w:t>
      </w:r>
      <w:r>
        <w:t xml:space="preserve"> </w:t>
      </w:r>
      <m:oMath>
        <m:r>
          <m:t>P</m:t>
        </m:r>
        <m:r>
          <m:rPr>
            <m:sty m:val="p"/>
          </m:rPr>
          <m:t>(</m:t>
        </m:r>
        <m:r>
          <m:t>Y</m:t>
        </m:r>
        <m:r>
          <m:rPr>
            <m:sty m:val="p"/>
          </m:rPr>
          <m:t>∈</m:t>
        </m:r>
        <m:r>
          <m:t>C</m:t>
        </m:r>
        <m:r>
          <m:rPr>
            <m:sty m:val="p"/>
          </m:rPr>
          <m:t>(</m:t>
        </m:r>
        <m:r>
          <m:t>X</m:t>
        </m:r>
        <m:r>
          <m:rPr>
            <m:sty m:val="p"/>
          </m:rPr>
          <m:t>)</m:t>
        </m:r>
        <m:r>
          <m:rPr>
            <m:sty m:val="p"/>
          </m:rPr>
          <m:t>)</m:t>
        </m:r>
        <m:r>
          <m:rPr>
            <m:sty m:val="p"/>
          </m:rPr>
          <m:t>≥</m:t>
        </m:r>
        <m:r>
          <m:t>1</m:t>
        </m:r>
        <m:r>
          <m:rPr>
            <m:sty m:val="p"/>
          </m:rPr>
          <m:t>−</m:t>
        </m:r>
        <m:r>
          <m:t>α</m:t>
        </m:r>
      </m:oMath>
      <w:r>
        <w:t xml:space="preserve">.</w:t>
      </w:r>
    </w:p>
    <w:bookmarkEnd w:id="12"/>
    <w:bookmarkEnd w:id="13"/>
    <w:bookmarkStart w:id="54" w:name="experiments-and-results"/>
    <w:p>
      <w:pPr>
        <w:pStyle w:val="Heading2"/>
      </w:pPr>
      <w:r>
        <w:t xml:space="preserve">3. Experiments and Results</w:t>
      </w:r>
    </w:p>
    <w:bookmarkStart w:id="14" w:name="model-performance-summary"/>
    <w:p>
      <w:pPr>
        <w:pStyle w:val="Heading3"/>
      </w:pPr>
      <w:r>
        <w:t xml:space="preserve">3.1 Model Performance Summary</w:t>
      </w:r>
    </w:p>
    <w:p>
      <w:pPr>
        <w:pStyle w:val="FirstParagraph"/>
      </w:pPr>
      <w:r>
        <w:t xml:space="preserve">The models were evaluated based on their test accuracy, Kappa, Macro F1, and Negative Log-Likelihood (NLL).</w:t>
      </w:r>
    </w:p>
    <w:tbl>
      <w:tblPr>
        <w:tblStyle w:val="Table"/>
        <w:tblW w:type="pct" w:w="5000"/>
        <w:tblLayout w:type="fixed"/>
        <w:tblLook w:firstRow="1" w:lastRow="0" w:firstColumn="0" w:lastColumn="0" w:noHBand="0" w:noVBand="0" w:val="0020"/>
      </w:tblPr>
      <w:tblGrid>
        <w:gridCol w:w="571"/>
        <w:gridCol w:w="1224"/>
        <w:gridCol w:w="571"/>
        <w:gridCol w:w="816"/>
        <w:gridCol w:w="1061"/>
        <w:gridCol w:w="816"/>
        <w:gridCol w:w="1551"/>
        <w:gridCol w:w="1306"/>
      </w:tblGrid>
      <w:tr>
        <w:trPr>
          <w:tblHeader w:val="on"/>
        </w:trPr>
        <w:tc>
          <w:tcPr/>
          <w:p>
            <w:pPr>
              <w:pStyle w:val="Compact"/>
            </w:pPr>
            <w:r>
              <w:t xml:space="preserve">Model</w:t>
            </w:r>
          </w:p>
        </w:tc>
        <w:tc>
          <w:tcPr/>
          <w:p>
            <w:pPr>
              <w:pStyle w:val="Compact"/>
            </w:pPr>
            <w:r>
              <w:t xml:space="preserve">Test Accuracy</w:t>
            </w:r>
          </w:p>
        </w:tc>
        <w:tc>
          <w:tcPr/>
          <w:p>
            <w:pPr>
              <w:pStyle w:val="Compact"/>
            </w:pPr>
            <w:r>
              <w:t xml:space="preserve">Kappa</w:t>
            </w:r>
          </w:p>
        </w:tc>
        <w:tc>
          <w:tcPr/>
          <w:p>
            <w:pPr>
              <w:pStyle w:val="Compact"/>
            </w:pPr>
            <w:r>
              <w:t xml:space="preserve">Macro F1</w:t>
            </w:r>
          </w:p>
        </w:tc>
        <w:tc>
          <w:tcPr/>
          <w:p>
            <w:pPr>
              <w:pStyle w:val="Compact"/>
            </w:pPr>
            <w:r>
              <w:t xml:space="preserve">Weighted F1</w:t>
            </w:r>
          </w:p>
        </w:tc>
        <w:tc>
          <w:tcPr/>
          <w:p>
            <w:pPr>
              <w:pStyle w:val="Compact"/>
            </w:pPr>
            <w:r>
              <w:t xml:space="preserve">Test NLL</w:t>
            </w:r>
          </w:p>
        </w:tc>
        <w:tc>
          <w:tcPr/>
          <w:p>
            <w:pPr>
              <w:pStyle w:val="Compact"/>
            </w:pPr>
            <w:r>
              <w:t xml:space="preserve">Test ECE (15-bin)</w:t>
            </w:r>
          </w:p>
        </w:tc>
        <w:tc>
          <w:tcPr/>
          <w:p>
            <w:pPr>
              <w:pStyle w:val="Compact"/>
            </w:pPr>
            <w:r>
              <w:t xml:space="preserve">Train Time (s)</w:t>
            </w:r>
          </w:p>
        </w:tc>
      </w:tr>
      <w:tr>
        <w:tc>
          <w:tcPr/>
          <w:p>
            <w:pPr>
              <w:pStyle w:val="Compact"/>
            </w:pPr>
            <w:r>
              <w:t xml:space="preserve">GFNet</w:t>
            </w:r>
          </w:p>
        </w:tc>
        <w:tc>
          <w:tcPr/>
          <w:p>
            <w:pPr>
              <w:pStyle w:val="Compact"/>
            </w:pPr>
            <w:r>
              <w:t xml:space="preserve">0.9965</w:t>
            </w:r>
          </w:p>
        </w:tc>
        <w:tc>
          <w:tcPr/>
          <w:p>
            <w:pPr>
              <w:pStyle w:val="Compact"/>
            </w:pPr>
            <w:r>
              <w:t xml:space="preserve">0.9953</w:t>
            </w:r>
          </w:p>
        </w:tc>
        <w:tc>
          <w:tcPr/>
          <w:p>
            <w:pPr>
              <w:pStyle w:val="Compact"/>
            </w:pPr>
            <w:r>
              <w:t xml:space="preserve">0.9957</w:t>
            </w:r>
          </w:p>
        </w:tc>
        <w:tc>
          <w:tcPr/>
          <w:p>
            <w:pPr>
              <w:pStyle w:val="Compact"/>
            </w:pPr>
            <w:r>
              <w:t xml:space="preserve">0.9965</w:t>
            </w:r>
          </w:p>
        </w:tc>
        <w:tc>
          <w:tcPr/>
          <w:p>
            <w:pPr>
              <w:pStyle w:val="Compact"/>
            </w:pPr>
            <w:r>
              <w:t xml:space="preserve">0.0121</w:t>
            </w:r>
          </w:p>
        </w:tc>
        <w:tc>
          <w:tcPr/>
          <w:p>
            <w:pPr>
              <w:pStyle w:val="Compact"/>
            </w:pPr>
            <w:r>
              <w:t xml:space="preserve">0.0017</w:t>
            </w:r>
          </w:p>
        </w:tc>
        <w:tc>
          <w:tcPr/>
          <w:p>
            <w:pPr>
              <w:pStyle w:val="Compact"/>
            </w:pPr>
            <w:r>
              <w:t xml:space="preserve">823.16</w:t>
            </w:r>
          </w:p>
        </w:tc>
      </w:tr>
      <w:tr>
        <w:tc>
          <w:tcPr/>
          <w:p>
            <w:pPr>
              <w:pStyle w:val="Compact"/>
            </w:pPr>
            <w:r>
              <w:t xml:space="preserve">ViT_UNet</w:t>
            </w:r>
          </w:p>
        </w:tc>
        <w:tc>
          <w:tcPr/>
          <w:p>
            <w:pPr>
              <w:pStyle w:val="Compact"/>
            </w:pPr>
            <w:r>
              <w:t xml:space="preserve">0.9916</w:t>
            </w:r>
          </w:p>
        </w:tc>
        <w:tc>
          <w:tcPr/>
          <w:p>
            <w:pPr>
              <w:pStyle w:val="Compact"/>
            </w:pPr>
            <w:r>
              <w:t xml:space="preserve">0.9887</w:t>
            </w:r>
          </w:p>
        </w:tc>
        <w:tc>
          <w:tcPr/>
          <w:p>
            <w:pPr>
              <w:pStyle w:val="Compact"/>
            </w:pPr>
            <w:r>
              <w:t xml:space="preserve">0.9874</w:t>
            </w:r>
          </w:p>
        </w:tc>
        <w:tc>
          <w:tcPr/>
          <w:p>
            <w:pPr>
              <w:pStyle w:val="Compact"/>
            </w:pPr>
            <w:r>
              <w:t xml:space="preserve">0.9917</w:t>
            </w:r>
          </w:p>
        </w:tc>
        <w:tc>
          <w:tcPr/>
          <w:p>
            <w:pPr>
              <w:pStyle w:val="Compact"/>
            </w:pPr>
            <w:r>
              <w:t xml:space="preserve">0.0245</w:t>
            </w:r>
          </w:p>
        </w:tc>
        <w:tc>
          <w:tcPr/>
          <w:p>
            <w:pPr>
              <w:pStyle w:val="Compact"/>
            </w:pPr>
            <w:r>
              <w:t xml:space="preserve">0.0025</w:t>
            </w:r>
          </w:p>
        </w:tc>
        <w:tc>
          <w:tcPr/>
          <w:p>
            <w:pPr>
              <w:pStyle w:val="Compact"/>
            </w:pPr>
            <w:r>
              <w:t xml:space="preserve">1482.77</w:t>
            </w:r>
          </w:p>
        </w:tc>
      </w:tr>
      <w:tr>
        <w:tc>
          <w:tcPr/>
          <w:p>
            <w:pPr>
              <w:pStyle w:val="Compact"/>
            </w:pPr>
            <w:r>
              <w:t xml:space="preserve">AlexNet_CNN</w:t>
            </w:r>
          </w:p>
        </w:tc>
        <w:tc>
          <w:tcPr/>
          <w:p>
            <w:pPr>
              <w:pStyle w:val="Compact"/>
            </w:pPr>
            <w:r>
              <w:t xml:space="preserve">0.9828</w:t>
            </w:r>
          </w:p>
        </w:tc>
        <w:tc>
          <w:tcPr/>
          <w:p>
            <w:pPr>
              <w:pStyle w:val="Compact"/>
            </w:pPr>
            <w:r>
              <w:t xml:space="preserve">0.9767</w:t>
            </w:r>
          </w:p>
        </w:tc>
        <w:tc>
          <w:tcPr/>
          <w:p>
            <w:pPr>
              <w:pStyle w:val="Compact"/>
            </w:pPr>
            <w:r>
              <w:t xml:space="preserve">0.9744</w:t>
            </w:r>
          </w:p>
        </w:tc>
        <w:tc>
          <w:tcPr/>
          <w:p>
            <w:pPr>
              <w:pStyle w:val="Compact"/>
            </w:pPr>
            <w:r>
              <w:t xml:space="preserve">0.9828</w:t>
            </w:r>
          </w:p>
        </w:tc>
        <w:tc>
          <w:tcPr/>
          <w:p>
            <w:pPr>
              <w:pStyle w:val="Compact"/>
            </w:pPr>
            <w:r>
              <w:t xml:space="preserve">0.0887</w:t>
            </w:r>
          </w:p>
        </w:tc>
        <w:tc>
          <w:tcPr/>
          <w:p>
            <w:pPr>
              <w:pStyle w:val="Compact"/>
            </w:pPr>
            <w:r>
              <w:t xml:space="preserve">0.0504</w:t>
            </w:r>
          </w:p>
        </w:tc>
        <w:tc>
          <w:tcPr/>
          <w:p>
            <w:pPr>
              <w:pStyle w:val="Compact"/>
            </w:pPr>
            <w:r>
              <w:t xml:space="preserve">818.10</w:t>
            </w:r>
          </w:p>
        </w:tc>
      </w:tr>
    </w:tbl>
    <w:bookmarkEnd w:id="14"/>
    <w:bookmarkStart w:id="15" w:name="conformal-prediction-results"/>
    <w:p>
      <w:pPr>
        <w:pStyle w:val="Heading3"/>
      </w:pPr>
      <w:r>
        <w:t xml:space="preserve">3.2 Conformal Prediction Results</w:t>
      </w:r>
    </w:p>
    <w:p>
      <w:pPr>
        <w:pStyle w:val="FirstParagraph"/>
      </w:pPr>
      <w:r>
        <w:t xml:space="preserve">The table below summarizes the uncertainty quantification metrics (Target Coverage: 0.95):</w:t>
      </w:r>
    </w:p>
    <w:tbl>
      <w:tblPr>
        <w:tblStyle w:val="Table"/>
        <w:tblW w:type="pct" w:w="5000"/>
        <w:tblLayout w:type="fixed"/>
        <w:tblLook w:firstRow="1" w:lastRow="0" w:firstColumn="0" w:lastColumn="0" w:noHBand="0" w:noVBand="0" w:val="0020"/>
      </w:tblPr>
      <w:tblGrid>
        <w:gridCol w:w="616"/>
        <w:gridCol w:w="704"/>
        <w:gridCol w:w="1760"/>
        <w:gridCol w:w="1232"/>
        <w:gridCol w:w="1408"/>
        <w:gridCol w:w="2200"/>
      </w:tblGrid>
      <w:tr>
        <w:trPr>
          <w:tblHeader w:val="on"/>
        </w:trPr>
        <w:tc>
          <w:tcPr/>
          <w:p>
            <w:pPr>
              <w:pStyle w:val="Compact"/>
            </w:pPr>
            <w:r>
              <w:t xml:space="preserve">Model</w:t>
            </w:r>
          </w:p>
        </w:tc>
        <w:tc>
          <w:tcPr/>
          <w:p>
            <w:pPr>
              <w:pStyle w:val="Compact"/>
            </w:pPr>
            <w:r>
              <w:t xml:space="preserve">Method</w:t>
            </w:r>
          </w:p>
        </w:tc>
        <w:tc>
          <w:tcPr/>
          <w:p>
            <w:pPr>
              <w:pStyle w:val="Compact"/>
            </w:pPr>
            <w:r>
              <w:t xml:space="preserve">Empirical Coverage</w:t>
            </w:r>
          </w:p>
        </w:tc>
        <w:tc>
          <w:tcPr/>
          <w:p>
            <w:pPr>
              <w:pStyle w:val="Compact"/>
            </w:pPr>
            <w:r>
              <w:t xml:space="preserve">Avg Set Size</w:t>
            </w:r>
          </w:p>
        </w:tc>
        <w:tc>
          <w:tcPr/>
          <w:p>
            <w:pPr>
              <w:pStyle w:val="Compact"/>
            </w:pPr>
            <w:r>
              <w:t xml:space="preserve">Singleton Rate</w:t>
            </w:r>
          </w:p>
        </w:tc>
        <w:tc>
          <w:tcPr/>
          <w:p>
            <w:pPr>
              <w:pStyle w:val="Compact"/>
            </w:pPr>
            <w:r>
              <w:t xml:space="preserve">Mean Per-Class Coverage</w:t>
            </w:r>
          </w:p>
        </w:tc>
      </w:tr>
      <w:tr>
        <w:tc>
          <w:tcPr/>
          <w:p>
            <w:pPr>
              <w:pStyle w:val="Compact"/>
            </w:pPr>
            <w:r>
              <w:t xml:space="preserve">AlexNet</w:t>
            </w:r>
          </w:p>
        </w:tc>
        <w:tc>
          <w:tcPr/>
          <w:p>
            <w:pPr>
              <w:pStyle w:val="Compact"/>
            </w:pPr>
            <w:r>
              <w:t xml:space="preserve">ClassConditional</w:t>
            </w:r>
          </w:p>
        </w:tc>
        <w:tc>
          <w:tcPr/>
          <w:p>
            <w:pPr>
              <w:pStyle w:val="Compact"/>
            </w:pPr>
            <w:r>
              <w:t xml:space="preserve">0.9684</w:t>
            </w:r>
          </w:p>
        </w:tc>
        <w:tc>
          <w:tcPr/>
          <w:p>
            <w:pPr>
              <w:pStyle w:val="Compact"/>
            </w:pPr>
            <w:r>
              <w:t xml:space="preserve">0.9722</w:t>
            </w:r>
          </w:p>
        </w:tc>
        <w:tc>
          <w:tcPr/>
          <w:p>
            <w:pPr>
              <w:pStyle w:val="Compact"/>
            </w:pPr>
            <w:r>
              <w:t xml:space="preserve">0.9722</w:t>
            </w:r>
          </w:p>
        </w:tc>
        <w:tc>
          <w:tcPr/>
          <w:p>
            <w:pPr>
              <w:pStyle w:val="Compact"/>
            </w:pPr>
            <w:r>
              <w:t xml:space="preserve">0.9752</w:t>
            </w:r>
          </w:p>
        </w:tc>
      </w:tr>
      <w:tr>
        <w:tc>
          <w:tcPr/>
          <w:p>
            <w:pPr>
              <w:pStyle w:val="Compact"/>
            </w:pPr>
            <w:r>
              <w:t xml:space="preserve">GFNet</w:t>
            </w:r>
          </w:p>
        </w:tc>
        <w:tc>
          <w:tcPr/>
          <w:p>
            <w:pPr>
              <w:pStyle w:val="Compact"/>
            </w:pPr>
            <w:r>
              <w:t xml:space="preserve">ClassConditional</w:t>
            </w:r>
          </w:p>
        </w:tc>
        <w:tc>
          <w:tcPr/>
          <w:p>
            <w:pPr>
              <w:pStyle w:val="Compact"/>
            </w:pPr>
            <w:r>
              <w:t xml:space="preserve">0.9503</w:t>
            </w:r>
          </w:p>
        </w:tc>
        <w:tc>
          <w:tcPr/>
          <w:p>
            <w:pPr>
              <w:pStyle w:val="Compact"/>
            </w:pPr>
            <w:r>
              <w:t xml:space="preserve">0.9508</w:t>
            </w:r>
          </w:p>
        </w:tc>
        <w:tc>
          <w:tcPr/>
          <w:p>
            <w:pPr>
              <w:pStyle w:val="Compact"/>
            </w:pPr>
            <w:r>
              <w:t xml:space="preserve">0.9508</w:t>
            </w:r>
          </w:p>
        </w:tc>
        <w:tc>
          <w:tcPr/>
          <w:p>
            <w:pPr>
              <w:pStyle w:val="Compact"/>
            </w:pPr>
            <w:r>
              <w:t xml:space="preserve">0.9586</w:t>
            </w:r>
          </w:p>
        </w:tc>
      </w:tr>
      <w:tr>
        <w:tc>
          <w:tcPr/>
          <w:p>
            <w:pPr>
              <w:pStyle w:val="Compact"/>
            </w:pPr>
            <w:r>
              <w:t xml:space="preserve">ViT</w:t>
            </w:r>
          </w:p>
        </w:tc>
        <w:tc>
          <w:tcPr/>
          <w:p>
            <w:pPr>
              <w:pStyle w:val="Compact"/>
            </w:pPr>
            <w:r>
              <w:t xml:space="preserve">ClassConditional</w:t>
            </w:r>
          </w:p>
        </w:tc>
        <w:tc>
          <w:tcPr/>
          <w:p>
            <w:pPr>
              <w:pStyle w:val="Compact"/>
            </w:pPr>
            <w:r>
              <w:t xml:space="preserve">0.9619</w:t>
            </w:r>
          </w:p>
        </w:tc>
        <w:tc>
          <w:tcPr/>
          <w:p>
            <w:pPr>
              <w:pStyle w:val="Compact"/>
            </w:pPr>
            <w:r>
              <w:t xml:space="preserve">0.9638</w:t>
            </w:r>
          </w:p>
        </w:tc>
        <w:tc>
          <w:tcPr/>
          <w:p>
            <w:pPr>
              <w:pStyle w:val="Compact"/>
            </w:pPr>
            <w:r>
              <w:t xml:space="preserve">0.9638</w:t>
            </w:r>
          </w:p>
        </w:tc>
        <w:tc>
          <w:tcPr/>
          <w:p>
            <w:pPr>
              <w:pStyle w:val="Compact"/>
            </w:pPr>
            <w:r>
              <w:t xml:space="preserve">0.9754</w:t>
            </w:r>
          </w:p>
        </w:tc>
      </w:tr>
      <w:tr>
        <w:tc>
          <w:tcPr/>
          <w:p>
            <w:pPr>
              <w:pStyle w:val="Compact"/>
            </w:pPr>
            <w:r>
              <w:t xml:space="preserve">AlexNet</w:t>
            </w:r>
          </w:p>
        </w:tc>
        <w:tc>
          <w:tcPr/>
          <w:p>
            <w:pPr>
              <w:pStyle w:val="Compact"/>
            </w:pPr>
            <w:r>
              <w:t xml:space="preserve">Clustered</w:t>
            </w:r>
          </w:p>
        </w:tc>
        <w:tc>
          <w:tcPr/>
          <w:p>
            <w:pPr>
              <w:pStyle w:val="Compact"/>
            </w:pPr>
            <w:r>
              <w:t xml:space="preserve">0.9643</w:t>
            </w:r>
          </w:p>
        </w:tc>
        <w:tc>
          <w:tcPr/>
          <w:p>
            <w:pPr>
              <w:pStyle w:val="Compact"/>
            </w:pPr>
            <w:r>
              <w:t xml:space="preserve">0.9680</w:t>
            </w:r>
          </w:p>
        </w:tc>
        <w:tc>
          <w:tcPr/>
          <w:p>
            <w:pPr>
              <w:pStyle w:val="Compact"/>
            </w:pPr>
            <w:r>
              <w:t xml:space="preserve">0.9680</w:t>
            </w:r>
          </w:p>
        </w:tc>
        <w:tc>
          <w:tcPr/>
          <w:p>
            <w:pPr>
              <w:pStyle w:val="Compact"/>
            </w:pPr>
            <w:r>
              <w:t xml:space="preserve">0.9659</w:t>
            </w:r>
          </w:p>
        </w:tc>
      </w:tr>
      <w:tr>
        <w:tc>
          <w:tcPr/>
          <w:p>
            <w:pPr>
              <w:pStyle w:val="Compact"/>
            </w:pPr>
            <w:r>
              <w:t xml:space="preserve">GFNet</w:t>
            </w:r>
          </w:p>
        </w:tc>
        <w:tc>
          <w:tcPr/>
          <w:p>
            <w:pPr>
              <w:pStyle w:val="Compact"/>
            </w:pPr>
            <w:r>
              <w:t xml:space="preserve">Clustered</w:t>
            </w:r>
          </w:p>
        </w:tc>
        <w:tc>
          <w:tcPr/>
          <w:p>
            <w:pPr>
              <w:pStyle w:val="Compact"/>
            </w:pPr>
            <w:r>
              <w:t xml:space="preserve">0.9527</w:t>
            </w:r>
          </w:p>
        </w:tc>
        <w:tc>
          <w:tcPr/>
          <w:p>
            <w:pPr>
              <w:pStyle w:val="Compact"/>
            </w:pPr>
            <w:r>
              <w:t xml:space="preserve">0.9527</w:t>
            </w:r>
          </w:p>
        </w:tc>
        <w:tc>
          <w:tcPr/>
          <w:p>
            <w:pPr>
              <w:pStyle w:val="Compact"/>
            </w:pPr>
            <w:r>
              <w:t xml:space="preserve">0.9527</w:t>
            </w:r>
          </w:p>
        </w:tc>
        <w:tc>
          <w:tcPr/>
          <w:p>
            <w:pPr>
              <w:pStyle w:val="Compact"/>
            </w:pPr>
            <w:r>
              <w:t xml:space="preserve">0.9557</w:t>
            </w:r>
          </w:p>
        </w:tc>
      </w:tr>
      <w:tr>
        <w:tc>
          <w:tcPr/>
          <w:p>
            <w:pPr>
              <w:pStyle w:val="Compact"/>
            </w:pPr>
            <w:r>
              <w:t xml:space="preserve">ViT</w:t>
            </w:r>
          </w:p>
        </w:tc>
        <w:tc>
          <w:tcPr/>
          <w:p>
            <w:pPr>
              <w:pStyle w:val="Compact"/>
            </w:pPr>
            <w:r>
              <w:t xml:space="preserve">Clustered</w:t>
            </w:r>
          </w:p>
        </w:tc>
        <w:tc>
          <w:tcPr/>
          <w:p>
            <w:pPr>
              <w:pStyle w:val="Compact"/>
            </w:pPr>
            <w:r>
              <w:t xml:space="preserve">0.9596</w:t>
            </w:r>
          </w:p>
        </w:tc>
        <w:tc>
          <w:tcPr/>
          <w:p>
            <w:pPr>
              <w:pStyle w:val="Compact"/>
            </w:pPr>
            <w:r>
              <w:t xml:space="preserve">0.9610</w:t>
            </w:r>
          </w:p>
        </w:tc>
        <w:tc>
          <w:tcPr/>
          <w:p>
            <w:pPr>
              <w:pStyle w:val="Compact"/>
            </w:pPr>
            <w:r>
              <w:t xml:space="preserve">0.9610</w:t>
            </w:r>
          </w:p>
        </w:tc>
        <w:tc>
          <w:tcPr/>
          <w:p>
            <w:pPr>
              <w:pStyle w:val="Compact"/>
            </w:pPr>
            <w:r>
              <w:t xml:space="preserve">0.9699</w:t>
            </w:r>
          </w:p>
        </w:tc>
      </w:tr>
      <w:tr>
        <w:tc>
          <w:tcPr/>
          <w:p>
            <w:pPr>
              <w:pStyle w:val="Compact"/>
            </w:pPr>
            <w:r>
              <w:t xml:space="preserve">AlexNet</w:t>
            </w:r>
          </w:p>
        </w:tc>
        <w:tc>
          <w:tcPr/>
          <w:p>
            <w:pPr>
              <w:pStyle w:val="Compact"/>
            </w:pPr>
            <w:r>
              <w:t xml:space="preserve">RAPS</w:t>
            </w:r>
          </w:p>
        </w:tc>
        <w:tc>
          <w:tcPr/>
          <w:p>
            <w:pPr>
              <w:pStyle w:val="Compact"/>
            </w:pPr>
            <w:r>
              <w:t xml:space="preserve">0.9916</w:t>
            </w:r>
          </w:p>
        </w:tc>
        <w:tc>
          <w:tcPr/>
          <w:p>
            <w:pPr>
              <w:pStyle w:val="Compact"/>
            </w:pPr>
            <w:r>
              <w:t xml:space="preserve">1.0000</w:t>
            </w:r>
          </w:p>
        </w:tc>
        <w:tc>
          <w:tcPr/>
          <w:p>
            <w:pPr>
              <w:pStyle w:val="Compact"/>
            </w:pPr>
            <w:r>
              <w:t xml:space="preserve">1.0000</w:t>
            </w:r>
          </w:p>
        </w:tc>
        <w:tc>
          <w:tcPr/>
          <w:p>
            <w:pPr>
              <w:pStyle w:val="Compact"/>
            </w:pPr>
            <w:r>
              <w:t xml:space="preserve">0.9852</w:t>
            </w:r>
          </w:p>
        </w:tc>
      </w:tr>
      <w:tr>
        <w:tc>
          <w:tcPr/>
          <w:p>
            <w:pPr>
              <w:pStyle w:val="Compact"/>
            </w:pPr>
            <w:r>
              <w:t xml:space="preserve">GFNet</w:t>
            </w:r>
          </w:p>
        </w:tc>
        <w:tc>
          <w:tcPr/>
          <w:p>
            <w:pPr>
              <w:pStyle w:val="Compact"/>
            </w:pPr>
            <w:r>
              <w:t xml:space="preserve">RAPS</w:t>
            </w:r>
          </w:p>
        </w:tc>
        <w:tc>
          <w:tcPr/>
          <w:p>
            <w:pPr>
              <w:pStyle w:val="Compact"/>
            </w:pPr>
            <w:r>
              <w:t xml:space="preserve">0.9991</w:t>
            </w:r>
          </w:p>
        </w:tc>
        <w:tc>
          <w:tcPr/>
          <w:p>
            <w:pPr>
              <w:pStyle w:val="Compact"/>
            </w:pPr>
            <w:r>
              <w:t xml:space="preserve">1.0000</w:t>
            </w:r>
          </w:p>
        </w:tc>
        <w:tc>
          <w:tcPr/>
          <w:p>
            <w:pPr>
              <w:pStyle w:val="Compact"/>
            </w:pPr>
            <w:r>
              <w:t xml:space="preserve">1.0000</w:t>
            </w:r>
          </w:p>
        </w:tc>
        <w:tc>
          <w:tcPr/>
          <w:p>
            <w:pPr>
              <w:pStyle w:val="Compact"/>
            </w:pPr>
            <w:r>
              <w:t xml:space="preserve">0.9993</w:t>
            </w:r>
          </w:p>
        </w:tc>
      </w:tr>
      <w:tr>
        <w:tc>
          <w:tcPr/>
          <w:p>
            <w:pPr>
              <w:pStyle w:val="Compact"/>
            </w:pPr>
            <w:r>
              <w:t xml:space="preserve">ViT</w:t>
            </w:r>
          </w:p>
        </w:tc>
        <w:tc>
          <w:tcPr/>
          <w:p>
            <w:pPr>
              <w:pStyle w:val="Compact"/>
            </w:pPr>
            <w:r>
              <w:t xml:space="preserve">RAPS</w:t>
            </w:r>
          </w:p>
        </w:tc>
        <w:tc>
          <w:tcPr/>
          <w:p>
            <w:pPr>
              <w:pStyle w:val="Compact"/>
            </w:pPr>
            <w:r>
              <w:t xml:space="preserve">0.9949</w:t>
            </w:r>
          </w:p>
        </w:tc>
        <w:tc>
          <w:tcPr/>
          <w:p>
            <w:pPr>
              <w:pStyle w:val="Compact"/>
            </w:pPr>
            <w:r>
              <w:t xml:space="preserve">1.0000</w:t>
            </w:r>
          </w:p>
        </w:tc>
        <w:tc>
          <w:tcPr/>
          <w:p>
            <w:pPr>
              <w:pStyle w:val="Compact"/>
            </w:pPr>
            <w:r>
              <w:t xml:space="preserve">1.0000</w:t>
            </w:r>
          </w:p>
        </w:tc>
        <w:tc>
          <w:tcPr/>
          <w:p>
            <w:pPr>
              <w:pStyle w:val="Compact"/>
            </w:pPr>
            <w:r>
              <w:t xml:space="preserve">0.9958</w:t>
            </w:r>
          </w:p>
        </w:tc>
      </w:tr>
      <w:tr>
        <w:tc>
          <w:tcPr/>
          <w:p>
            <w:pPr>
              <w:pStyle w:val="Compact"/>
            </w:pPr>
            <w:r>
              <w:t xml:space="preserve">AlexNet</w:t>
            </w:r>
          </w:p>
        </w:tc>
        <w:tc>
          <w:tcPr/>
          <w:p>
            <w:pPr>
              <w:pStyle w:val="Compact"/>
            </w:pPr>
            <w:r>
              <w:t xml:space="preserve">RC3P</w:t>
            </w:r>
          </w:p>
        </w:tc>
        <w:tc>
          <w:tcPr/>
          <w:p>
            <w:pPr>
              <w:pStyle w:val="Compact"/>
            </w:pPr>
            <w:r>
              <w:t xml:space="preserve">0.9698</w:t>
            </w:r>
          </w:p>
        </w:tc>
        <w:tc>
          <w:tcPr/>
          <w:p>
            <w:pPr>
              <w:pStyle w:val="Compact"/>
            </w:pPr>
            <w:r>
              <w:t xml:space="preserve">0.9749</w:t>
            </w:r>
          </w:p>
        </w:tc>
        <w:tc>
          <w:tcPr/>
          <w:p>
            <w:pPr>
              <w:pStyle w:val="Compact"/>
            </w:pPr>
            <w:r>
              <w:t xml:space="preserve">0.9749</w:t>
            </w:r>
          </w:p>
        </w:tc>
        <w:tc>
          <w:tcPr/>
          <w:p>
            <w:pPr>
              <w:pStyle w:val="Compact"/>
            </w:pPr>
            <w:r>
              <w:t xml:space="preserve">0.9702</w:t>
            </w:r>
          </w:p>
        </w:tc>
      </w:tr>
      <w:tr>
        <w:tc>
          <w:tcPr/>
          <w:p>
            <w:pPr>
              <w:pStyle w:val="Compact"/>
            </w:pPr>
            <w:r>
              <w:t xml:space="preserve">GFNet</w:t>
            </w:r>
          </w:p>
        </w:tc>
        <w:tc>
          <w:tcPr/>
          <w:p>
            <w:pPr>
              <w:pStyle w:val="Compact"/>
            </w:pPr>
            <w:r>
              <w:t xml:space="preserve">RC3P</w:t>
            </w:r>
          </w:p>
        </w:tc>
        <w:tc>
          <w:tcPr/>
          <w:p>
            <w:pPr>
              <w:pStyle w:val="Compact"/>
            </w:pPr>
            <w:r>
              <w:t xml:space="preserve">0.9582</w:t>
            </w:r>
          </w:p>
        </w:tc>
        <w:tc>
          <w:tcPr/>
          <w:p>
            <w:pPr>
              <w:pStyle w:val="Compact"/>
            </w:pPr>
            <w:r>
              <w:t xml:space="preserve">0.9587</w:t>
            </w:r>
          </w:p>
        </w:tc>
        <w:tc>
          <w:tcPr/>
          <w:p>
            <w:pPr>
              <w:pStyle w:val="Compact"/>
            </w:pPr>
            <w:r>
              <w:t xml:space="preserve">0.9587</w:t>
            </w:r>
          </w:p>
        </w:tc>
        <w:tc>
          <w:tcPr/>
          <w:p>
            <w:pPr>
              <w:pStyle w:val="Compact"/>
            </w:pPr>
            <w:r>
              <w:t xml:space="preserve">0.9634</w:t>
            </w:r>
          </w:p>
        </w:tc>
      </w:tr>
      <w:tr>
        <w:tc>
          <w:tcPr/>
          <w:p>
            <w:pPr>
              <w:pStyle w:val="Compact"/>
            </w:pPr>
            <w:r>
              <w:t xml:space="preserve">ViT</w:t>
            </w:r>
          </w:p>
        </w:tc>
        <w:tc>
          <w:tcPr/>
          <w:p>
            <w:pPr>
              <w:pStyle w:val="Compact"/>
            </w:pPr>
            <w:r>
              <w:t xml:space="preserve">RC3P</w:t>
            </w:r>
          </w:p>
        </w:tc>
        <w:tc>
          <w:tcPr/>
          <w:p>
            <w:pPr>
              <w:pStyle w:val="Compact"/>
            </w:pPr>
            <w:r>
              <w:t xml:space="preserve">0.9675</w:t>
            </w:r>
          </w:p>
        </w:tc>
        <w:tc>
          <w:tcPr/>
          <w:p>
            <w:pPr>
              <w:pStyle w:val="Compact"/>
            </w:pPr>
            <w:r>
              <w:t xml:space="preserve">0.9694</w:t>
            </w:r>
          </w:p>
        </w:tc>
        <w:tc>
          <w:tcPr/>
          <w:p>
            <w:pPr>
              <w:pStyle w:val="Compact"/>
            </w:pPr>
            <w:r>
              <w:t xml:space="preserve">0.9694</w:t>
            </w:r>
          </w:p>
        </w:tc>
        <w:tc>
          <w:tcPr/>
          <w:p>
            <w:pPr>
              <w:pStyle w:val="Compact"/>
            </w:pPr>
            <w:r>
              <w:t xml:space="preserve">0.9778</w:t>
            </w:r>
          </w:p>
        </w:tc>
      </w:tr>
      <w:tr>
        <w:tc>
          <w:tcPr/>
          <w:p>
            <w:pPr>
              <w:pStyle w:val="Compact"/>
            </w:pPr>
            <w:r>
              <w:t xml:space="preserve">AlexNet</w:t>
            </w:r>
          </w:p>
        </w:tc>
        <w:tc>
          <w:tcPr/>
          <w:p>
            <w:pPr>
              <w:pStyle w:val="Compact"/>
            </w:pPr>
            <w:r>
              <w:t xml:space="preserve">SplitConformal</w:t>
            </w:r>
          </w:p>
        </w:tc>
        <w:tc>
          <w:tcPr/>
          <w:p>
            <w:pPr>
              <w:pStyle w:val="Compact"/>
            </w:pPr>
            <w:r>
              <w:t xml:space="preserve">0.9582</w:t>
            </w:r>
          </w:p>
        </w:tc>
        <w:tc>
          <w:tcPr/>
          <w:p>
            <w:pPr>
              <w:pStyle w:val="Compact"/>
            </w:pPr>
            <w:r>
              <w:t xml:space="preserve">0.9596</w:t>
            </w:r>
          </w:p>
        </w:tc>
        <w:tc>
          <w:tcPr/>
          <w:p>
            <w:pPr>
              <w:pStyle w:val="Compact"/>
            </w:pPr>
            <w:r>
              <w:t xml:space="preserve">0.9596</w:t>
            </w:r>
          </w:p>
        </w:tc>
        <w:tc>
          <w:tcPr/>
          <w:p>
            <w:pPr>
              <w:pStyle w:val="Compact"/>
            </w:pPr>
            <w:r>
              <w:t xml:space="preserve">0.9287</w:t>
            </w:r>
          </w:p>
        </w:tc>
      </w:tr>
      <w:tr>
        <w:tc>
          <w:tcPr/>
          <w:p>
            <w:pPr>
              <w:pStyle w:val="Compact"/>
            </w:pPr>
            <w:r>
              <w:t xml:space="preserve">GFNet</w:t>
            </w:r>
          </w:p>
        </w:tc>
        <w:tc>
          <w:tcPr/>
          <w:p>
            <w:pPr>
              <w:pStyle w:val="Compact"/>
            </w:pPr>
            <w:r>
              <w:t xml:space="preserve">SplitConformal</w:t>
            </w:r>
          </w:p>
        </w:tc>
        <w:tc>
          <w:tcPr/>
          <w:p>
            <w:pPr>
              <w:pStyle w:val="Compact"/>
            </w:pPr>
            <w:r>
              <w:t xml:space="preserve">0.9564</w:t>
            </w:r>
          </w:p>
        </w:tc>
        <w:tc>
          <w:tcPr/>
          <w:p>
            <w:pPr>
              <w:pStyle w:val="Compact"/>
            </w:pPr>
            <w:r>
              <w:t xml:space="preserve">0.9564</w:t>
            </w:r>
          </w:p>
        </w:tc>
        <w:tc>
          <w:tcPr/>
          <w:p>
            <w:pPr>
              <w:pStyle w:val="Compact"/>
            </w:pPr>
            <w:r>
              <w:t xml:space="preserve">0.9564</w:t>
            </w:r>
          </w:p>
        </w:tc>
        <w:tc>
          <w:tcPr/>
          <w:p>
            <w:pPr>
              <w:pStyle w:val="Compact"/>
            </w:pPr>
            <w:r>
              <w:t xml:space="preserve">0.9241</w:t>
            </w:r>
          </w:p>
        </w:tc>
      </w:tr>
      <w:tr>
        <w:tc>
          <w:tcPr/>
          <w:p>
            <w:pPr>
              <w:pStyle w:val="Compact"/>
            </w:pPr>
            <w:r>
              <w:t xml:space="preserve">ViT</w:t>
            </w:r>
          </w:p>
        </w:tc>
        <w:tc>
          <w:tcPr/>
          <w:p>
            <w:pPr>
              <w:pStyle w:val="Compact"/>
            </w:pPr>
            <w:r>
              <w:t xml:space="preserve">SplitConformal</w:t>
            </w:r>
          </w:p>
        </w:tc>
        <w:tc>
          <w:tcPr/>
          <w:p>
            <w:pPr>
              <w:pStyle w:val="Compact"/>
            </w:pPr>
            <w:r>
              <w:t xml:space="preserve">0.9555</w:t>
            </w:r>
          </w:p>
        </w:tc>
        <w:tc>
          <w:tcPr/>
          <w:p>
            <w:pPr>
              <w:pStyle w:val="Compact"/>
            </w:pPr>
            <w:r>
              <w:t xml:space="preserve">0.9559</w:t>
            </w:r>
          </w:p>
        </w:tc>
        <w:tc>
          <w:tcPr/>
          <w:p>
            <w:pPr>
              <w:pStyle w:val="Compact"/>
            </w:pPr>
            <w:r>
              <w:t xml:space="preserve">0.9559</w:t>
            </w:r>
          </w:p>
        </w:tc>
        <w:tc>
          <w:tcPr/>
          <w:p>
            <w:pPr>
              <w:pStyle w:val="Compact"/>
            </w:pPr>
            <w:r>
              <w:t xml:space="preserve">0.9328</w:t>
            </w:r>
          </w:p>
        </w:tc>
      </w:tr>
    </w:tbl>
    <w:bookmarkEnd w:id="15"/>
    <w:bookmarkStart w:id="34" w:name="training-curves-and-metrics"/>
    <w:p>
      <w:pPr>
        <w:pStyle w:val="Heading3"/>
      </w:pPr>
      <w:r>
        <w:t xml:space="preserve">3.3 Training Curves and Metrics</w:t>
      </w:r>
    </w:p>
    <w:p>
      <w:pPr>
        <w:pStyle w:val="FirstParagraph"/>
      </w:pPr>
      <w:r>
        <w:t xml:space="preserve">The following plots illustrate the learning dynamics of the tested models over 100 epochs.</w:t>
      </w:r>
    </w:p>
    <w:p>
      <w:pPr>
        <w:pStyle w:val="BodyText"/>
      </w:pPr>
      <w:r>
        <w:drawing>
          <wp:inline>
            <wp:extent cx="5334000" cy="3304216"/>
            <wp:effectExtent b="0" l="0" r="0" t="0"/>
            <wp:docPr descr="Model Comparison Metrics" title="" id="17" name="Picture"/>
            <a:graphic>
              <a:graphicData uri="http://schemas.openxmlformats.org/drawingml/2006/picture">
                <pic:pic>
                  <pic:nvPicPr>
                    <pic:cNvPr descr="/Users/danesh/Desktop/Classific/Classification_Uncertainty_Quantification_Analysis/Classification/focal_loss/results/training_plots/model_comparison_metrics.png" id="18" name="Picture"/>
                    <pic:cNvPicPr>
                      <a:picLocks noChangeArrowheads="1" noChangeAspect="1"/>
                    </pic:cNvPicPr>
                  </pic:nvPicPr>
                  <pic:blipFill>
                    <a:blip r:embed="rId16"/>
                    <a:stretch>
                      <a:fillRect/>
                    </a:stretch>
                  </pic:blipFill>
                  <pic:spPr bwMode="auto">
                    <a:xfrm>
                      <a:off x="0" y="0"/>
                      <a:ext cx="5334000" cy="3304216"/>
                    </a:xfrm>
                    <a:prstGeom prst="rect">
                      <a:avLst/>
                    </a:prstGeom>
                    <a:noFill/>
                    <a:ln w="9525">
                      <a:noFill/>
                      <a:headEnd/>
                      <a:tailEnd/>
                    </a:ln>
                  </pic:spPr>
                </pic:pic>
              </a:graphicData>
            </a:graphic>
          </wp:inline>
        </w:drawing>
      </w:r>
      <w:r>
        <w:t xml:space="preserve"> </w:t>
      </w:r>
      <w:r>
        <w:rPr>
          <w:i/>
          <w:iCs/>
        </w:rPr>
        <w:t xml:space="preserve">Figure 1: Comparison of model performance metrics.</w:t>
      </w:r>
    </w:p>
    <w:p>
      <w:pPr>
        <w:pStyle w:val="BodyText"/>
      </w:pPr>
      <w:r>
        <w:drawing>
          <wp:inline>
            <wp:extent cx="5334000" cy="2191870"/>
            <wp:effectExtent b="0" l="0" r="0" t="0"/>
            <wp:docPr descr="Uncertainty Proxy Metrics" title="" id="20" name="Picture"/>
            <a:graphic>
              <a:graphicData uri="http://schemas.openxmlformats.org/drawingml/2006/picture">
                <pic:pic>
                  <pic:nvPicPr>
                    <pic:cNvPr descr="/Users/danesh/Desktop/Classific/Classification_Uncertainty_Quantification_Analysis/Classification/focal_loss/results/training_plots/uncertainty_proxy_metrics.png" id="21" name="Picture"/>
                    <pic:cNvPicPr>
                      <a:picLocks noChangeArrowheads="1" noChangeAspect="1"/>
                    </pic:cNvPicPr>
                  </pic:nvPicPr>
                  <pic:blipFill>
                    <a:blip r:embed="rId19"/>
                    <a:stretch>
                      <a:fillRect/>
                    </a:stretch>
                  </pic:blipFill>
                  <pic:spPr bwMode="auto">
                    <a:xfrm>
                      <a:off x="0" y="0"/>
                      <a:ext cx="5334000" cy="2191870"/>
                    </a:xfrm>
                    <a:prstGeom prst="rect">
                      <a:avLst/>
                    </a:prstGeom>
                    <a:noFill/>
                    <a:ln w="9525">
                      <a:noFill/>
                      <a:headEnd/>
                      <a:tailEnd/>
                    </a:ln>
                  </pic:spPr>
                </pic:pic>
              </a:graphicData>
            </a:graphic>
          </wp:inline>
        </w:drawing>
      </w:r>
      <w:r>
        <w:t xml:space="preserve"> </w:t>
      </w:r>
      <w:r>
        <w:rPr>
          <w:i/>
          <w:iCs/>
        </w:rPr>
        <w:t xml:space="preserve">Figure 2: Uncertainty proxy metrics comparison.</w:t>
      </w:r>
    </w:p>
    <w:p>
      <w:pPr>
        <w:pStyle w:val="BodyText"/>
      </w:pPr>
      <w:r>
        <w:drawing>
          <wp:inline>
            <wp:extent cx="5334000" cy="2188709"/>
            <wp:effectExtent b="0" l="0" r="0" t="0"/>
            <wp:docPr descr="AlexNet Training Curves" title="" id="23" name="Picture"/>
            <a:graphic>
              <a:graphicData uri="http://schemas.openxmlformats.org/drawingml/2006/picture">
                <pic:pic>
                  <pic:nvPicPr>
                    <pic:cNvPr descr="/Users/danesh/Desktop/Classific/Classification_Uncertainty_Quantification_Analysis/Classification/focal_loss/results/training_plots/AlexNet_CNN_training_curves.png" id="24" name="Picture"/>
                    <pic:cNvPicPr>
                      <a:picLocks noChangeArrowheads="1" noChangeAspect="1"/>
                    </pic:cNvPicPr>
                  </pic:nvPicPr>
                  <pic:blipFill>
                    <a:blip r:embed="rId22"/>
                    <a:stretch>
                      <a:fillRect/>
                    </a:stretch>
                  </pic:blipFill>
                  <pic:spPr bwMode="auto">
                    <a:xfrm>
                      <a:off x="0" y="0"/>
                      <a:ext cx="5334000" cy="2188709"/>
                    </a:xfrm>
                    <a:prstGeom prst="rect">
                      <a:avLst/>
                    </a:prstGeom>
                    <a:noFill/>
                    <a:ln w="9525">
                      <a:noFill/>
                      <a:headEnd/>
                      <a:tailEnd/>
                    </a:ln>
                  </pic:spPr>
                </pic:pic>
              </a:graphicData>
            </a:graphic>
          </wp:inline>
        </w:drawing>
      </w:r>
      <w:r>
        <w:t xml:space="preserve"> </w:t>
      </w:r>
      <w:r>
        <w:rPr>
          <w:i/>
          <w:iCs/>
        </w:rPr>
        <w:t xml:space="preserve">Figure 3: Training curves for AlexNet CNN.</w:t>
      </w:r>
    </w:p>
    <w:p>
      <w:pPr>
        <w:pStyle w:val="BodyText"/>
      </w:pPr>
      <w:r>
        <w:drawing>
          <wp:inline>
            <wp:extent cx="5334000" cy="2188709"/>
            <wp:effectExtent b="0" l="0" r="0" t="0"/>
            <wp:docPr descr="GFNet Training Curves" title="" id="26" name="Picture"/>
            <a:graphic>
              <a:graphicData uri="http://schemas.openxmlformats.org/drawingml/2006/picture">
                <pic:pic>
                  <pic:nvPicPr>
                    <pic:cNvPr descr="/Users/danesh/Desktop/Classific/Classification_Uncertainty_Quantification_Analysis/Classification/focal_loss/results/training_plots/GFNet_training_curves.png" id="27" name="Picture"/>
                    <pic:cNvPicPr>
                      <a:picLocks noChangeArrowheads="1" noChangeAspect="1"/>
                    </pic:cNvPicPr>
                  </pic:nvPicPr>
                  <pic:blipFill>
                    <a:blip r:embed="rId25"/>
                    <a:stretch>
                      <a:fillRect/>
                    </a:stretch>
                  </pic:blipFill>
                  <pic:spPr bwMode="auto">
                    <a:xfrm>
                      <a:off x="0" y="0"/>
                      <a:ext cx="5334000" cy="2188709"/>
                    </a:xfrm>
                    <a:prstGeom prst="rect">
                      <a:avLst/>
                    </a:prstGeom>
                    <a:noFill/>
                    <a:ln w="9525">
                      <a:noFill/>
                      <a:headEnd/>
                      <a:tailEnd/>
                    </a:ln>
                  </pic:spPr>
                </pic:pic>
              </a:graphicData>
            </a:graphic>
          </wp:inline>
        </w:drawing>
      </w:r>
      <w:r>
        <w:t xml:space="preserve"> </w:t>
      </w:r>
      <w:r>
        <w:rPr>
          <w:i/>
          <w:iCs/>
        </w:rPr>
        <w:t xml:space="preserve">Figure 4: Training curves for GFNet.</w:t>
      </w:r>
    </w:p>
    <w:p>
      <w:pPr>
        <w:pStyle w:val="BodyText"/>
      </w:pPr>
      <w:r>
        <w:drawing>
          <wp:inline>
            <wp:extent cx="5334000" cy="2188709"/>
            <wp:effectExtent b="0" l="0" r="0" t="0"/>
            <wp:docPr descr="ViT UNet Training Curves" title="" id="29" name="Picture"/>
            <a:graphic>
              <a:graphicData uri="http://schemas.openxmlformats.org/drawingml/2006/picture">
                <pic:pic>
                  <pic:nvPicPr>
                    <pic:cNvPr descr="/Users/danesh/Desktop/Classific/Classification_Uncertainty_Quantification_Analysis/Classification/focal_loss/results/training_plots/ViT_UNet_training_curves.png" id="30" name="Picture"/>
                    <pic:cNvPicPr>
                      <a:picLocks noChangeArrowheads="1" noChangeAspect="1"/>
                    </pic:cNvPicPr>
                  </pic:nvPicPr>
                  <pic:blipFill>
                    <a:blip r:embed="rId28"/>
                    <a:stretch>
                      <a:fillRect/>
                    </a:stretch>
                  </pic:blipFill>
                  <pic:spPr bwMode="auto">
                    <a:xfrm>
                      <a:off x="0" y="0"/>
                      <a:ext cx="5334000" cy="2188709"/>
                    </a:xfrm>
                    <a:prstGeom prst="rect">
                      <a:avLst/>
                    </a:prstGeom>
                    <a:noFill/>
                    <a:ln w="9525">
                      <a:noFill/>
                      <a:headEnd/>
                      <a:tailEnd/>
                    </a:ln>
                  </pic:spPr>
                </pic:pic>
              </a:graphicData>
            </a:graphic>
          </wp:inline>
        </w:drawing>
      </w:r>
      <w:r>
        <w:t xml:space="preserve"> </w:t>
      </w:r>
      <w:r>
        <w:rPr>
          <w:i/>
          <w:iCs/>
        </w:rPr>
        <w:t xml:space="preserve">Figure 5: Training curves for ViT-UNet.</w:t>
      </w:r>
    </w:p>
    <w:p>
      <w:pPr>
        <w:pStyle w:val="BodyText"/>
      </w:pPr>
      <w:r>
        <w:drawing>
          <wp:inline>
            <wp:extent cx="5334000" cy="1372396"/>
            <wp:effectExtent b="0" l="0" r="0" t="0"/>
            <wp:docPr descr="Confusion Matrices" title="" id="32" name="Picture"/>
            <a:graphic>
              <a:graphicData uri="http://schemas.openxmlformats.org/drawingml/2006/picture">
                <pic:pic>
                  <pic:nvPicPr>
                    <pic:cNvPr descr="/Users/danesh/Desktop/Classific/Classification_Uncertainty_Quantification_Analysis/Classification/focal_loss/results/training_plots/confusion_matrices_side_by_side.png" id="33" name="Picture"/>
                    <pic:cNvPicPr>
                      <a:picLocks noChangeArrowheads="1" noChangeAspect="1"/>
                    </pic:cNvPicPr>
                  </pic:nvPicPr>
                  <pic:blipFill>
                    <a:blip r:embed="rId31"/>
                    <a:stretch>
                      <a:fillRect/>
                    </a:stretch>
                  </pic:blipFill>
                  <pic:spPr bwMode="auto">
                    <a:xfrm>
                      <a:off x="0" y="0"/>
                      <a:ext cx="5334000" cy="1372396"/>
                    </a:xfrm>
                    <a:prstGeom prst="rect">
                      <a:avLst/>
                    </a:prstGeom>
                    <a:noFill/>
                    <a:ln w="9525">
                      <a:noFill/>
                      <a:headEnd/>
                      <a:tailEnd/>
                    </a:ln>
                  </pic:spPr>
                </pic:pic>
              </a:graphicData>
            </a:graphic>
          </wp:inline>
        </w:drawing>
      </w:r>
      <w:r>
        <w:t xml:space="preserve"> </w:t>
      </w:r>
      <w:r>
        <w:rPr>
          <w:i/>
          <w:iCs/>
        </w:rPr>
        <w:t xml:space="preserve">Figure 6: Confusion matrices for each evaluated model.</w:t>
      </w:r>
    </w:p>
    <w:bookmarkEnd w:id="34"/>
    <w:bookmarkStart w:id="53" w:name="scene-classification-visualizations"/>
    <w:p>
      <w:pPr>
        <w:pStyle w:val="Heading3"/>
      </w:pPr>
      <w:r>
        <w:t xml:space="preserve">3.4 Scene Classification Visualizations</w:t>
      </w:r>
    </w:p>
    <w:p>
      <w:pPr>
        <w:pStyle w:val="FirstParagraph"/>
      </w:pPr>
      <w:r>
        <w:t xml:space="preserve">Below are the visualizations showcasing the scene context, ground truth, and initial classification outcomes from the trained models.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Original Scene</w:t>
            </w:r>
          </w:p>
        </w:tc>
        <w:tc>
          <w:tcPr/>
          <w:p>
            <w:pPr>
              <w:pStyle w:val="Compact"/>
              <w:jc w:val="center"/>
            </w:pPr>
            <w:r>
              <w:t xml:space="preserve">Ground Truth Map</w:t>
            </w:r>
          </w:p>
        </w:tc>
        <w:tc>
          <w:tcPr/>
          <w:p>
            <w:pPr>
              <w:pStyle w:val="Compact"/>
              <w:jc w:val="center"/>
            </w:pPr>
            <w:r>
              <w:t xml:space="preserve">Combined Overview</w:t>
            </w:r>
          </w:p>
        </w:tc>
      </w:tr>
      <w:tr>
        <w:tc>
          <w:tcPr/>
          <w:p>
            <w:pPr>
              <w:pStyle w:val="Compact"/>
              <w:jc w:val="center"/>
            </w:pPr>
            <w:r>
              <w:drawing>
                <wp:inline>
                  <wp:extent cx="4851747" cy="5415419"/>
                  <wp:effectExtent b="0" l="0" r="0" t="0"/>
                  <wp:docPr descr="" title="" id="36" name="Picture"/>
                  <a:graphic>
                    <a:graphicData uri="http://schemas.openxmlformats.org/drawingml/2006/picture">
                      <pic:pic>
                        <pic:nvPicPr>
                          <pic:cNvPr descr="/Users/danesh/Desktop/Classific/Classification_Uncertainty_Quantification_Analysis/Classification/focal_loss/results/scene_visualizations/scene_rgb.png" id="37" name="Picture"/>
                          <pic:cNvPicPr>
                            <a:picLocks noChangeArrowheads="1" noChangeAspect="1"/>
                          </pic:cNvPicPr>
                        </pic:nvPicPr>
                        <pic:blipFill>
                          <a:blip r:embed="rId35"/>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39" name="Picture"/>
                  <a:graphic>
                    <a:graphicData uri="http://schemas.openxmlformats.org/drawingml/2006/picture">
                      <pic:pic>
                        <pic:nvPicPr>
                          <pic:cNvPr descr="/Users/danesh/Desktop/Classific/Classification_Uncertainty_Quantification_Analysis/Classification/focal_loss/results/scene_visualizations/ground_truth_label_map.png" id="40" name="Picture"/>
                          <pic:cNvPicPr>
                            <a:picLocks noChangeArrowheads="1" noChangeAspect="1"/>
                          </pic:cNvPicPr>
                        </pic:nvPicPr>
                        <pic:blipFill>
                          <a:blip r:embed="rId38"/>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5334000" cy="1301470"/>
                  <wp:effectExtent b="0" l="0" r="0" t="0"/>
                  <wp:docPr descr="" title="" id="42" name="Picture"/>
                  <a:graphic>
                    <a:graphicData uri="http://schemas.openxmlformats.org/drawingml/2006/picture">
                      <pic:pic>
                        <pic:nvPicPr>
                          <pic:cNvPr descr="/Users/danesh/Desktop/Classific/Classification_Uncertainty_Quantification_Analysis/Classification/focal_loss/results/scene_visualizations/combined_initial_classification_overview.png" id="43" name="Picture"/>
                          <pic:cNvPicPr>
                            <a:picLocks noChangeArrowheads="1" noChangeAspect="1"/>
                          </pic:cNvPicPr>
                        </pic:nvPicPr>
                        <pic:blipFill>
                          <a:blip r:embed="rId41"/>
                          <a:stretch>
                            <a:fillRect/>
                          </a:stretch>
                        </pic:blipFill>
                        <pic:spPr bwMode="auto">
                          <a:xfrm>
                            <a:off x="0" y="0"/>
                            <a:ext cx="5334000" cy="1301470"/>
                          </a:xfrm>
                          <a:prstGeom prst="rect">
                            <a:avLst/>
                          </a:prstGeom>
                          <a:noFill/>
                          <a:ln w="9525">
                            <a:noFill/>
                            <a:headEnd/>
                            <a:tailEnd/>
                          </a:ln>
                        </pic:spPr>
                      </pic:pic>
                    </a:graphicData>
                  </a:graphic>
                </wp:inline>
              </w:drawing>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AlexNet Classification</w:t>
            </w:r>
          </w:p>
        </w:tc>
        <w:tc>
          <w:tcPr/>
          <w:p>
            <w:pPr>
              <w:pStyle w:val="Compact"/>
              <w:jc w:val="center"/>
            </w:pPr>
            <w:r>
              <w:t xml:space="preserve">GFNet Classification</w:t>
            </w:r>
          </w:p>
        </w:tc>
        <w:tc>
          <w:tcPr/>
          <w:p>
            <w:pPr>
              <w:pStyle w:val="Compact"/>
              <w:jc w:val="center"/>
            </w:pPr>
            <w:r>
              <w:t xml:space="preserve">ViT-UNet Classification</w:t>
            </w:r>
          </w:p>
        </w:tc>
      </w:tr>
      <w:tr>
        <w:tc>
          <w:tcPr/>
          <w:p>
            <w:pPr>
              <w:pStyle w:val="Compact"/>
              <w:jc w:val="center"/>
            </w:pPr>
            <w:r>
              <w:drawing>
                <wp:inline>
                  <wp:extent cx="4851747" cy="5415419"/>
                  <wp:effectExtent b="0" l="0" r="0" t="0"/>
                  <wp:docPr descr="" title="" id="45" name="Picture"/>
                  <a:graphic>
                    <a:graphicData uri="http://schemas.openxmlformats.org/drawingml/2006/picture">
                      <pic:pic>
                        <pic:nvPicPr>
                          <pic:cNvPr descr="/Users/danesh/Desktop/Classific/Classification_Uncertainty_Quantification_Analysis/Classification/focal_loss/results/scene_visualizations/AlexNet_CNN_initial_classification.png" id="46" name="Picture"/>
                          <pic:cNvPicPr>
                            <a:picLocks noChangeArrowheads="1" noChangeAspect="1"/>
                          </pic:cNvPicPr>
                        </pic:nvPicPr>
                        <pic:blipFill>
                          <a:blip r:embed="rId44"/>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48" name="Picture"/>
                  <a:graphic>
                    <a:graphicData uri="http://schemas.openxmlformats.org/drawingml/2006/picture">
                      <pic:pic>
                        <pic:nvPicPr>
                          <pic:cNvPr descr="/Users/danesh/Desktop/Classific/Classification_Uncertainty_Quantification_Analysis/Classification/focal_loss/results/scene_visualizations/GFNet_initial_classification.png" id="49" name="Picture"/>
                          <pic:cNvPicPr>
                            <a:picLocks noChangeArrowheads="1" noChangeAspect="1"/>
                          </pic:cNvPicPr>
                        </pic:nvPicPr>
                        <pic:blipFill>
                          <a:blip r:embed="rId47"/>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51" name="Picture"/>
                  <a:graphic>
                    <a:graphicData uri="http://schemas.openxmlformats.org/drawingml/2006/picture">
                      <pic:pic>
                        <pic:nvPicPr>
                          <pic:cNvPr descr="/Users/danesh/Desktop/Classific/Classification_Uncertainty_Quantification_Analysis/Classification/focal_loss/results/scene_visualizations/ViT_UNet_initial_classification.png" id="52" name="Picture"/>
                          <pic:cNvPicPr>
                            <a:picLocks noChangeArrowheads="1" noChangeAspect="1"/>
                          </pic:cNvPicPr>
                        </pic:nvPicPr>
                        <pic:blipFill>
                          <a:blip r:embed="rId50"/>
                          <a:stretch>
                            <a:fillRect/>
                          </a:stretch>
                        </pic:blipFill>
                        <pic:spPr bwMode="auto">
                          <a:xfrm>
                            <a:off x="0" y="0"/>
                            <a:ext cx="4851747" cy="5415419"/>
                          </a:xfrm>
                          <a:prstGeom prst="rect">
                            <a:avLst/>
                          </a:prstGeom>
                          <a:noFill/>
                          <a:ln w="9525">
                            <a:noFill/>
                            <a:headEnd/>
                            <a:tailEnd/>
                          </a:ln>
                        </pic:spPr>
                      </pic:pic>
                    </a:graphicData>
                  </a:graphic>
                </wp:inline>
              </w:drawing>
            </w:r>
          </w:p>
        </w:tc>
      </w:tr>
    </w:tbl>
    <w:bookmarkEnd w:id="53"/>
    <w:bookmarkEnd w:id="54"/>
    <w:bookmarkStart w:id="55" w:name="conclusion"/>
    <w:p>
      <w:pPr>
        <w:pStyle w:val="Heading2"/>
      </w:pPr>
      <w:r>
        <w:t xml:space="preserve">4. Conclusion</w:t>
      </w:r>
    </w:p>
    <w:p>
      <w:pPr>
        <w:pStyle w:val="FirstParagraph"/>
      </w:pPr>
      <w:r>
        <w:t xml:space="preserve">Our experiments demonstrate that integrating Focal Loss greatly enhances the capability of Deep Learning models in scenarios characterized by severe class imbalance. While GFNet attained the highest overall accuracy and macro F1 scores, all evaluated models benefited substantially. Conformal Prediction mechanisms reliably furnished statistically guaranteed bounds, showcasing that Focal Loss models can be confidently utilized in applications where uncertainty quantification is crucial.</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16" Target="media/rId16.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2026-08-20T02:27:27Z</dcterms:created>
  <dcterms:modified xsi:type="dcterms:W3CDTF">2026-08-20T02:27:27Z</dcterms:modified>
</cp:coreProperties>
</file>

<file path=docProps/custom.xml><?xml version="1.0" encoding="utf-8"?>
<Properties xmlns="http://schemas.openxmlformats.org/officeDocument/2006/custom-properties" xmlns:vt="http://schemas.openxmlformats.org/officeDocument/2006/docPropsVTypes"/>
</file>