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body>
    <w:p>
      <w:pPr>
        <w:spacing w:after="240"/>
        <w:jc w:val="center"/>
      </w:pPr>
      <w:r>
        <w:rPr>
          <w:b/>
          <w:bCs/>
          <w:sz w:val="48"/>
          <w:szCs w:val="48"/>
        </w:rPr>
        <w:t>Hyperspectral Remote Sensing Classification with Wavelength-Conditioned DOFA, Hierarchical Vision Transformer, and Gated Cross-Modal Fusion with Conformal Uncertainty Quantification</w:t>
      </w:r>
    </w:p>
    <w:p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>ABSTRACT</w:t>
      </w:r>
    </w:p>
    <w:p>
      <w:pPr>
        <w:spacing w:after="120"/>
        <w:jc w:val="both"/>
      </w:pPr>
      <w:r>
        <w:rPr>
          <w:sz w:val="20"/>
          <w:szCs w:val="20"/>
        </w:rPr>
        <w:t xml:space="preserve">This paper presents a systematic comparative study of three foundation-model-inspired architectures for patch-based pixel-wise land-cover classification of a 65-band hyperspectral remote sensing scene (DIAS Scene K01, 512 × 512 pixels, K = 8 classes: Class 0 through Class 7), coupled with distribution-free uncertainty quantification via five conformal prediction methods. The architectures evaluated are: (1) DOFA-Spectral, a Dynamic One-For-All network whose patch-embedding weights are dynamically generated from sensor central wavelengths via a sinusoidal-encoded hypernetwork; (2) Hiera-ViT, a two-stage Hierarchical Vision Transformer employing local 3 × 3 windowed attention in Stage 1 followed by global attention after 2 × 2 query pooling in Stage 2; and (3) DOFA-Hiera Fusion, a dual-branch gated cross-attention network that fuses spectral tokens from DOFA with multi-scale spatial tokens from Hiera-ViT. On the held-out test split (13,474 samples), Hiera-ViT achieves 100.000% test accuracy (κ = 1.0000), DOFA-Hiera Fusion achieves 99.978% (κ = 0.9997) with the lowest NLL (0.03055), Brier score (0.00137), and ECE (0.02939), and DOFA-Spectral achieves 83.910% (κ = 0.8038) in 144.0 s of training time. Five conformal prediction methods—SplitCP, CcCP, RC3P, ClCP, and RAPS—are calibrated on n_cal = 6,737 samples at α = 0.05 (95% target) and evaluated on n_eval = 6,737 samples as well as across all 262,144 scene pixels.</w:t>
      </w:r>
    </w:p>
    <w:p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>I. INTRODUCTION</w:t>
      </w:r>
    </w:p>
    <w:p>
      <w:pPr>
        <w:spacing w:after="120"/>
        <w:jc w:val="both"/>
      </w:pPr>
      <w:r>
        <w:rPr>
          <w:sz w:val="20"/>
          <w:szCs w:val="20"/>
        </w:rPr>
        <w:t xml:space="preserve">Earth-observation sensors span a wide variety of spectral configurations, ranging from broadband multispectral instruments to contiguous narrowband hyperspectral imagers [11]. Conventional convolutional and transformer classifiers hard-code the number of input channels in their initial projection layer, preventing weight sharing across sensors with differing band counts. Foundation models for remote sensing address this limitation through wavelength-conditioned dynamic weight generation [1] and hierarchical multi-scale spatial tokenisation [2].</w:t>
      </w:r>
    </w:p>
    <w:p>
      <w:pPr>
        <w:spacing w:after="120"/>
        <w:jc w:val="both"/>
      </w:pPr>
      <w:r>
        <w:rPr>
          <w:sz w:val="20"/>
          <w:szCs w:val="20"/>
        </w:rPr>
        <w:t xml:space="preserve">In patch-based hyperspectral land-cover classification, a small spatial-spectral cube (here 9 × 9 × 65) centred on each target pixel provides both fine spectral signatures and local spatial context. While purely spectral foundation encoders capture cross-band dependencies via dynamic kernel synthesis, hierarchical vision transformers capture fine-to-coarse spatial structure via windowed and pooled self-attention. Combining both paradigms via gated cross-attention fusion offers a principled mechanism to exploit complementary spectral and spatial representations.</w:t>
      </w:r>
    </w:p>
    <w:p>
      <w:pPr>
        <w:spacing w:after="120"/>
        <w:jc w:val="both"/>
      </w:pPr>
      <w:r>
        <w:rPr>
          <w:sz w:val="20"/>
          <w:szCs w:val="20"/>
        </w:rPr>
        <w:t xml:space="preserve">Even high-accuracy classifiers require formal reliability guarantees before deployment in operational mapping pipelines [12]. Conformal prediction (CP) wraps any pre-trained classifier to produce prediction sets guaranteed to contain the true class with probability at least 1 − α under exchangeability [4, 7, 8, 9]. The primary contributions of this report are: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0"/>
          <w:szCs w:val="20"/>
        </w:rPr>
        <w:t xml:space="preserve">Adaptation and evaluation of DOFA-Spectral, Hiera-ViT, and DOFA-Hiera Fusion on the 65-band DIAS Scene K01 hyperspectral dataset (512 × 512 pixels, K = 8 classes: Class 0–Class 7) using 9 × 9 × 65 patches.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0"/>
          <w:szCs w:val="20"/>
        </w:rPr>
        <w:t xml:space="preserve">Joint evaluation of classification accuracy and probabilistic calibration via Negative Log-Likelihood (NLL), Brier Score, Expected Calibration Error (ECE), and training runtime [12].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0"/>
          <w:szCs w:val="20"/>
        </w:rPr>
        <w:t xml:space="preserve">Comprehensive benchmarking of five post-hoc conformal prediction methods (SplitCP, CcCP, RC3P, ClCP, and RAPS) at α = 0.05 across all three architectures, highlighting the contrast between near-perfect transformer backbones and the higher-uncertainty DOFA-Spectral model [3, 4, 5, 6].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0"/>
          <w:szCs w:val="20"/>
        </w:rPr>
        <w:t xml:space="preserve">Generation of full-scene binary and class-masked uncertainty maps across all 262,144 pixels to visualise spatial uncertainty patterns across labelled parcels and unlabelled background.</w:t>
      </w:r>
    </w:p>
    <w:p>
      <w:pPr>
        <w:spacing w:after="80"/>
      </w:pPr>
    </w:p>
    <w:p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>II. METHODOLOGY</w:t>
      </w:r>
    </w:p>
    <w:p>
      <w:pPr>
        <w:keepNext/>
        <w:spacing w:before="160" w:after="80"/>
      </w:pPr>
      <w:r>
        <w:rPr>
          <w:b/>
          <w:bCs/>
          <w:i/>
          <w:iCs/>
          <w:sz w:val="20"/>
          <w:szCs w:val="20"/>
        </w:rPr>
        <w:t>A. Dataset and Preprocessing</w:t>
      </w:r>
    </w:p>
    <w:p>
      <w:pPr>
        <w:spacing w:after="120"/>
        <w:jc w:val="both"/>
      </w:pPr>
      <w:r>
        <w:rPr>
          <w:sz w:val="20"/>
          <w:szCs w:val="20"/>
        </w:rPr>
        <w:t xml:space="preserve">The dataset comprises the 65-band hyperspectral scene K01 from the DIAS benchmark (files k001.mat and k002.mat, H = 512, W = 512 pixels, B = 65 bands), containing K = 8 ground-truth classes denoted Class 0 through Class 7. Fig. 1 displays the approximate RGB composite and the ground-truth label map.</w:t>
      </w:r>
    </w:p>
    <w:tbl>
      <w:tblPr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(a)  Approximate RGB Composite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(b)  Ground Truth Label Map</w:t>
            </w:r>
          </w:p>
        </w:tc>
      </w:tr>
    </w:tbl>
    <w:p>
      <w:pPr>
        <w:spacing w:before="80" w:after="220"/>
        <w:jc w:val="center"/>
      </w:pPr>
      <w:r>
        <w:rPr>
          <w:i/>
          <w:iCs/>
          <w:sz w:val="18"/>
          <w:szCs w:val="18"/>
        </w:rPr>
        <w:t xml:space="preserve">Fig. 1.  Hyperspectral scene overview (DIAS Scene K01, 65 bands, 512 × 512 pixels). (a) Approximate RGB composite. (b) Ground truth label map for Class 0 through Class 7; black pixels denote unlabelled background.</w:t>
      </w:r>
    </w:p>
    <w:p>
      <w:pPr>
        <w:spacing w:after="120"/>
        <w:jc w:val="both"/>
      </w:pPr>
      <w:r>
        <w:rPr>
          <w:sz w:val="20"/>
          <w:szCs w:val="20"/>
        </w:rPr>
        <w:t xml:space="preserve">Each spectral band b ∈ {1, ..., 65} is normalised independently to [0, 1]:</w:t>
      </w:r>
    </w:p>
    <w:p>
      <w:pPr>
        <w:spacing w:before="60" w:after="60"/>
        <w:jc w:val="center"/>
      </w:pPr>
      <w:r>
        <w:rPr>
          <w:i/>
          <w:iCs/>
          <w:sz w:val="20"/>
          <w:szCs w:val="20"/>
        </w:rPr>
        <w:t xml:space="preserve">x̃(h, w, b) = [x(h, w, b) − min</w:t>
      </w:r>
      <w:r>
        <w:rPr>
          <w:i/>
          <w:iCs/>
          <w:sz w:val="20"/>
          <w:szCs w:val="20"/>
          <w:vertAlign w:val="subscript"/>
        </w:rPr>
        <w:t>b</w:t>
      </w:r>
      <w:r>
        <w:rPr>
          <w:i/>
          <w:iCs/>
          <w:sz w:val="20"/>
          <w:szCs w:val="20"/>
        </w:rPr>
        <w:t xml:space="preserve">] / [max</w:t>
      </w:r>
      <w:r>
        <w:rPr>
          <w:i/>
          <w:iCs/>
          <w:sz w:val="20"/>
          <w:szCs w:val="20"/>
          <w:vertAlign w:val="subscript"/>
        </w:rPr>
        <w:t>b</w:t>
      </w:r>
      <w:r>
        <w:rPr>
          <w:i/>
          <w:iCs/>
          <w:sz w:val="20"/>
          <w:szCs w:val="20"/>
        </w:rPr>
        <w:t xml:space="preserve"> − min</w:t>
      </w:r>
      <w:r>
        <w:rPr>
          <w:i/>
          <w:iCs/>
          <w:sz w:val="20"/>
          <w:szCs w:val="20"/>
          <w:vertAlign w:val="subscript"/>
        </w:rPr>
        <w:t>b</w:t>
      </w:r>
      <w:r>
        <w:rPr>
          <w:i/>
          <w:iCs/>
          <w:sz w:val="20"/>
          <w:szCs w:val="20"/>
        </w:rPr>
        <w:t xml:space="preserve"> + ε],   ε = 10</w:t>
      </w:r>
      <w:r>
        <w:rPr>
          <w:i/>
          <w:iCs/>
          <w:sz w:val="20"/>
          <w:szCs w:val="20"/>
          <w:vertAlign w:val="superscript"/>
        </w:rPr>
        <w:t>−8</w:t>
      </w:r>
    </w:p>
    <w:p>
      <w:pPr>
        <w:spacing w:after="120"/>
        <w:jc w:val="both"/>
      </w:pPr>
      <w:r>
        <w:rPr>
          <w:sz w:val="20"/>
          <w:szCs w:val="20"/>
        </w:rPr>
        <w:t xml:space="preserve">A 9 × 9 × 65 patch is extracted around every pixel using 4-pixel edge-replication padding. With random seed 42, the 53,896 labelled pixels are partitioned into 75% training (40,422 samples), 12.5% conformal calibration (n_cal = 6,737), and 12.5% conformal evaluation (n_eval = 6,737, with class supports 1,216, 704, 283, 1,365, 1,590, 1,059, 200, and 320 for Class 0–7; held-out test evaluation spans the combined 13,474 non-training samples). Full-scene conformal pixel tables account for all 512 × 512 = 262,144 scene pixels.</w:t>
      </w:r>
    </w:p>
    <w:p>
      <w:pPr>
        <w:keepNext/>
        <w:spacing w:before="160" w:after="80"/>
      </w:pPr>
      <w:r>
        <w:rPr>
          <w:b/>
          <w:bCs/>
          <w:i/>
          <w:iCs/>
          <w:sz w:val="20"/>
          <w:szCs w:val="20"/>
        </w:rPr>
        <w:t>B. Deep Learning Architectures</w:t>
      </w:r>
    </w:p>
    <w:p>
      <w:pPr>
        <w:spacing w:after="120"/>
        <w:jc w:val="both"/>
      </w:pPr>
      <w:r>
        <w:rPr>
          <w:b/>
          <w:bCs/>
          <w:sz w:val="20"/>
          <w:szCs w:val="20"/>
        </w:rPr>
        <w:t xml:space="preserve">DOFA-Spectral: </w:t>
      </w:r>
      <w:r>
        <w:rPr>
          <w:sz w:val="20"/>
          <w:szCs w:val="20"/>
        </w:rPr>
        <w:t xml:space="preserve">Inspired by Xiong et al. [1], DOFA-Spectral encodes the 65 sensor wavelengths via sinusoidal positional embeddings and passes them through a lightweight MLP hypernetwork to dynamically synthesise the patch-projection weights W(λ) ∈ ℝ^{(P^2·B)×d} and bias b(λ) ∈ ℝ^d (d = 192). The resulting nine 3 × 3 spatial tokens are processed by L = 6 pre-norm Transformer blocks (6 heads, MLP ratio 2) with global average pooling and a linear classification head.</w:t>
      </w:r>
    </w:p>
    <w:p>
      <w:pPr>
        <w:spacing w:after="120"/>
        <w:jc w:val="both"/>
      </w:pPr>
      <w:r>
        <w:rPr>
          <w:b/>
          <w:bCs/>
          <w:sz w:val="20"/>
          <w:szCs w:val="20"/>
        </w:rPr>
        <w:t xml:space="preserve">Hiera-ViT: </w:t>
      </w:r>
      <w:r>
        <w:rPr>
          <w:sz w:val="20"/>
          <w:szCs w:val="20"/>
        </w:rPr>
        <w:t xml:space="preserve">Adapted from Ryali et al. [2], Hiera-ViT processes all 81 pixel tokens (1 × 1 patch embedding, d_1 = 96) in Stage 1 using three local 3 × 3 windowed self-attention blocks (9 windows of 9 tokens, 4 heads). A 2 × 2 query-pooling transition reduces the grid to 9 tokens with dimension d_2 = 192, followed by three Stage-2 global self-attention blocks (6 heads) and a classification head.</w:t>
      </w:r>
    </w:p>
    <w:p>
      <w:pPr>
        <w:spacing w:after="120"/>
        <w:jc w:val="both"/>
      </w:pPr>
      <w:r>
        <w:rPr>
          <w:b/>
          <w:bCs/>
          <w:sz w:val="20"/>
          <w:szCs w:val="20"/>
        </w:rPr>
        <w:t xml:space="preserve">DOFA-Hiera Fusion: </w:t>
      </w:r>
      <w:r>
        <w:rPr>
          <w:sz w:val="20"/>
          <w:szCs w:val="20"/>
        </w:rPr>
        <w:t xml:space="preserve">Combines the DOFA dynamic wavelength embedding branch (L = 3 blocks, d = 192) and the two-stage Hiera-ViT spatial branch (d_2 = 192) viabidirectional multi-head cross-attention and a learnable sigmoid gate g = σ(W_g[f_dofa ∥ f_hiera] + b_g), yielding a fused representation z = g ⊙ f̃_dofa + (1 − g) ⊙ f̃_hiera before classification.</w:t>
      </w:r>
    </w:p>
    <w:p>
      <w:pPr>
        <w:keepNext/>
        <w:spacing w:before="160" w:after="80"/>
      </w:pPr>
      <w:r>
        <w:rPr>
          <w:b/>
          <w:bCs/>
          <w:i/>
          <w:iCs/>
          <w:sz w:val="20"/>
          <w:szCs w:val="20"/>
        </w:rPr>
        <w:t>C. Evaluation Metrics</w:t>
      </w:r>
    </w:p>
    <w:p>
      <w:pPr>
        <w:spacing w:after="120"/>
        <w:jc w:val="both"/>
      </w:pPr>
      <w:r>
        <w:rPr>
          <w:sz w:val="20"/>
          <w:szCs w:val="20"/>
        </w:rPr>
        <w:t xml:space="preserve">Classification performance is evaluated on the 13,474 held-out test patches using overall accuracy (%), Cohen’s κ, macro-F1, weighted-F1, NLL, Brier Score, 15-bin ECE, and training time (s) [12].</w:t>
      </w:r>
    </w:p>
    <w:p>
      <w:pPr>
        <w:keepNext/>
        <w:spacing w:before="160" w:after="80"/>
      </w:pPr>
      <w:r>
        <w:rPr>
          <w:b/>
          <w:bCs/>
          <w:i/>
          <w:iCs/>
          <w:sz w:val="20"/>
          <w:szCs w:val="20"/>
        </w:rPr>
        <w:t>D. Conformal Prediction Methods</w:t>
      </w:r>
    </w:p>
    <w:p>
      <w:pPr>
        <w:spacing w:after="120"/>
        <w:jc w:val="both"/>
      </w:pPr>
      <w:r>
        <w:rPr>
          <w:sz w:val="20"/>
          <w:szCs w:val="20"/>
        </w:rPr>
        <w:t xml:space="preserve">Five conformal prediction algorithms—SplitCP [8], CcCP [6], RC3P [4], ClCP (K_g = 4) [5], and RAPS (λ = 0.01, k_reg = 1) [3]—are calibrated on n_cal = 6,737 samples at α = 0.05 (target coverage 95%) and evaluated on n_eval = 6,737 samples [7, 9].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  <w:sz w:val="20"/>
          <w:szCs w:val="20"/>
        </w:rPr>
        <w:t xml:space="preserve">SplitCP: </w:t>
      </w:r>
      <w:r>
        <w:rPr>
          <w:sz w:val="20"/>
          <w:szCs w:val="20"/>
        </w:rPr>
        <w:t xml:space="preserve">Computes a single global threshold q̂ over all calibration nonconformity scores s(x, y) = 1 − π̂_y(x) [8].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  <w:sz w:val="20"/>
          <w:szCs w:val="20"/>
        </w:rPr>
        <w:t xml:space="preserve">CcCP: </w:t>
      </w:r>
      <w:r>
        <w:rPr>
          <w:sz w:val="20"/>
          <w:szCs w:val="20"/>
        </w:rPr>
        <w:t xml:space="preserve">Computes class-specific thresholds q̂_c independently for each class c ∈ {0, ..., 7} [6].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  <w:sz w:val="20"/>
          <w:szCs w:val="20"/>
        </w:rPr>
        <w:t xml:space="preserve">RC3P: </w:t>
      </w:r>
      <w:r>
        <w:rPr>
          <w:sz w:val="20"/>
          <w:szCs w:val="20"/>
        </w:rPr>
        <w:t xml:space="preserve">Combines class-wise score thresholds q̂_c with calibrated rank limits k̂_c to prune tail labels [4].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  <w:sz w:val="20"/>
          <w:szCs w:val="20"/>
        </w:rPr>
        <w:t xml:space="preserve">ClCP: </w:t>
      </w:r>
      <w:r>
        <w:rPr>
          <w:sz w:val="20"/>
          <w:szCs w:val="20"/>
        </w:rPr>
        <w:t xml:space="preserve">Clusters the K = 8 classes into K_g = 4 groups based on calibration score quantiles and shares cluster-level thresholds [5].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  <w:sz w:val="20"/>
          <w:szCs w:val="20"/>
        </w:rPr>
        <w:t xml:space="preserve">RAPS: </w:t>
      </w:r>
      <w:r>
        <w:rPr>
          <w:sz w:val="20"/>
          <w:szCs w:val="20"/>
        </w:rPr>
        <w:t xml:space="preserve">Uses cumulative sorted softmax mass plus an ℓ_2 rank regulariser λ·max(0, ρ − k_reg) with λ = 0.01, k_reg = 1 [3].</w:t>
      </w:r>
    </w:p>
    <w:p>
      <w:pPr>
        <w:spacing w:after="80"/>
      </w:pPr>
    </w:p>
    <w:p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>III. EXPERIMENTS AND RESULTS</w:t>
      </w:r>
    </w:p>
    <w:p>
      <w:pPr>
        <w:keepNext/>
        <w:spacing w:before="160" w:after="80"/>
      </w:pPr>
      <w:r>
        <w:rPr>
          <w:b/>
          <w:bCs/>
          <w:i/>
          <w:iCs/>
          <w:sz w:val="20"/>
          <w:szCs w:val="20"/>
        </w:rPr>
        <w:t>A. Classification Performance</w:t>
      </w:r>
    </w:p>
    <w:p>
      <w:pPr>
        <w:spacing w:after="120"/>
        <w:jc w:val="both"/>
      </w:pPr>
      <w:r>
        <w:rPr>
          <w:sz w:val="20"/>
          <w:szCs w:val="20"/>
        </w:rPr>
        <w:t xml:space="preserve">All three architectures were trained for 100 epochs (batch size 128, AdamW optimiser with cosine learning rate schedule and label smoothing ε_s = 0.05). TABLE I reports test-set classification and calibration performance sorted by accuracy descending. Hiera-ViT attains 100.000% test accuracy (κ = 1.0000, macro-F1 = 1.0000, weighted-F1 = 1.0000) in 809.3 s. DOFA-Hiera Fusion achieves 99.978% accuracy (κ = 0.9997, macro-F1 = 0.9996, weighted-F1 = 0.9998) while delivering the best probabilistic calibration across all metrics: NLL = 0.03055, Brier = 0.00137, and ECE = 0.02939 (866.8 s). DOFA-Spectral is the fastest model to train (144.0 s) but achieves lower accuracy (83.910%, κ = 0.8038, macro-F1 = 0.6780, weighted-F1 = 0.8191, NLL = 0.46566, Brier = 0.23020, ECE = 0.04750), reflecting the loss of fine pixel-level spatial boundaries when compressing the 9 × 9 × 65 cube directly into 3 × 3 dynamic wavelength tokens without hierarchical spatial attention.</w:t>
      </w: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TEST SET CLASSIFICATION PERFORMANCE (SORTED BY ACCURACY)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0"/>
        <w:gridCol w:w="1100"/>
        <w:gridCol w:w="900"/>
        <w:gridCol w:w="1000"/>
        <w:gridCol w:w="900"/>
        <w:gridCol w:w="900"/>
        <w:gridCol w:w="900"/>
        <w:gridCol w:w="900"/>
        <w:gridCol w:w="1500"/>
      </w:tblGrid>
      <w:tr>
        <w:trPr>
          <w:cantSplit/>
          <w:tblHeader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Accuracy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κ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Macro F1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Wtd F1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NLL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Brier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ECE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Train Time (s)</w:t>
            </w:r>
          </w:p>
        </w:tc>
      </w:tr>
      <w:tr>
        <w:trPr>
          <w:cantSplit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Hiera-ViT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100.000%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0.03981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0.00176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0.03902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809.3</w:t>
            </w:r>
          </w:p>
        </w:tc>
      </w:tr>
      <w:tr>
        <w:trPr>
          <w:cantSplit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DOFA-Hiera Fusion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99.978%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0.9997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0.9996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0.9998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0.03055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0.00137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0.02939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866.8</w:t>
            </w:r>
          </w:p>
        </w:tc>
      </w:tr>
      <w:tr>
        <w:trPr>
          <w:cantSplit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DOFA-Spectral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83.910%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0.8038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0.6780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0.8191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0.46566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0.23020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0.04750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144.0</w:t>
            </w:r>
          </w:p>
        </w:tc>
      </w:tr>
    </w:tbl>
    <w:p>
      <w:pPr>
        <w:spacing w:after="200"/>
      </w:pPr>
    </w:p>
    <w:p>
      <w:pPr>
        <w:keepNext/>
        <w:spacing w:before="160" w:after="80"/>
      </w:pPr>
      <w:r>
        <w:rPr>
          <w:b/>
          <w:bCs/>
          <w:i/>
          <w:iCs/>
          <w:sz w:val="20"/>
          <w:szCs w:val="20"/>
        </w:rPr>
        <w:t>B. Dense Scene Classification Maps</w:t>
      </w:r>
    </w:p>
    <w:p>
      <w:pPr>
        <w:spacing w:after="120"/>
        <w:jc w:val="both"/>
      </w:pPr>
      <w:r>
        <w:rPr>
          <w:sz w:val="20"/>
          <w:szCs w:val="20"/>
        </w:rPr>
        <w:t xml:space="preserve">Fig. 2 illustrates the dense classification maps generated by applying each trained model across all 262,144 pixels of the 512 × 512 scene. Hiera-ViT and DOFA-Hiera Fusion produce sharp, spatially coherent parcel boundaries closely matching the ground-truth layout, whereas DOFA-Spectral exhibits noticeable block-level smoothing and class confusion within smaller parcels.</w:t>
      </w:r>
    </w:p>
    <w:tbl>
      <w:tblPr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(a)  DOFA-Spectral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(b)  Hiera-ViT</w:t>
            </w:r>
          </w:p>
        </w:tc>
      </w:tr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(c)  DOFA-Hiera Fusion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1097280" cy="2658794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2658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(d)  Class Legend</w:t>
            </w:r>
          </w:p>
        </w:tc>
      </w:tr>
    </w:tbl>
    <w:p>
      <w:pPr>
        <w:spacing w:before="80" w:after="220"/>
        <w:jc w:val="center"/>
      </w:pPr>
      <w:r>
        <w:rPr>
          <w:i/>
          <w:iCs/>
          <w:sz w:val="18"/>
          <w:szCs w:val="18"/>
        </w:rPr>
        <w:t xml:space="preserve">Fig. 2.  Dense scene classification maps across all 512 × 512 pixels for (a) DOFA-Spectral, (b) Hiera-ViT, and (c) DOFA-Hiera Fusion, with (d) shared class colour legend.</w:t>
      </w:r>
    </w:p>
    <w:p>
      <w:pPr>
        <w:keepNext/>
        <w:spacing w:before="160" w:after="80"/>
      </w:pPr>
      <w:r>
        <w:rPr>
          <w:b/>
          <w:bCs/>
          <w:i/>
          <w:iCs/>
          <w:sz w:val="20"/>
          <w:szCs w:val="20"/>
        </w:rPr>
        <w:t>C. Conformal Prediction — Split Conformal (SplitCP)</w:t>
      </w:r>
    </w:p>
    <w:p>
      <w:pPr>
        <w:spacing w:after="120"/>
        <w:jc w:val="both"/>
      </w:pPr>
      <w:r>
        <w:rPr>
          <w:sz w:val="20"/>
          <w:szCs w:val="20"/>
        </w:rPr>
        <w:t xml:space="preserve">TABLE II through TABLE IV present the SplitCP results. Because Hiera-ViT and DOFA-Hiera Fusion produce high top-1 probabilities on in-distribution samples, their global thresholds are low (q̂ = 0.044637 and 0.036518), yielding empirical coverages of 0.9558 and 0.9497 with singleton rates equal to coverage and empty-set rates of 0.0442 and 0.0503 (no multi-label sets). Conversely, DOFA-Spectral requires a much larger global quantile (q̂ = 0.785483) to achieve 0.9513 empirical coverage, resulting in an average set size of 1.5229, a singleton rate of 0.6206, and zero empty sets. Across the full 262,144-pixel scene (TABLE IV), SplitCP flags 126,955 (48.43%), 112,693 (42.99%), and 112,262 (42.82%) pixels as uncertain for DOFA-Spectral, Hiera-ViT, and DOFA-Hiera Fusion respectively.</w:t>
      </w: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II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SPLITCP AGGREGATE PERFORMANCE (Α = 0.05, TARGET COVERAGE = 95%)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1155"/>
        <w:gridCol w:w="1155"/>
        <w:gridCol w:w="1155"/>
        <w:gridCol w:w="1155"/>
        <w:gridCol w:w="1155"/>
        <w:gridCol w:w="1155"/>
        <w:gridCol w:w="1155"/>
      </w:tblGrid>
      <w:tr>
        <w:trPr>
          <w:cantSplit/>
          <w:tblHeader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q̂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Emp. Cov.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Avg Set Size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Singleton Rate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Empty Set Rate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Runtime (s)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Mean Cls Cov.</w:t>
            </w:r>
          </w:p>
        </w:tc>
      </w:tr>
      <w:tr>
        <w:trPr>
          <w:cantSplit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DOFA-Spectral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0.887807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0.9513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1.5229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0.6206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0.0000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2.435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0.8674</w:t>
            </w:r>
          </w:p>
        </w:tc>
      </w:tr>
      <w:tr>
        <w:trPr>
          <w:cantSplit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Hiera-ViT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0.041448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0.9558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0.9558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0.9558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0.0442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2.175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0.9623</w:t>
            </w:r>
          </w:p>
        </w:tc>
      </w:tr>
      <w:tr>
        <w:trPr>
          <w:cantSplit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DOFA-Hiera Fusion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0.032308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0.9497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0.9497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0.9497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0.0503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2.114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0.9630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III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SPLITCP PER-CLASS EMPIRICAL COVERAGE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DOFA-Spectral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Hiera-ViT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DOFA-Hiera Fusion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0.9951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0.9490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0.7632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0.8466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0.9152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0.9965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0.9929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0.9839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0.9927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0.9846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0.9767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0.9302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0.9906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0.9849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0.9981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0.9943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0.4150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0.9950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0.6687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0.9906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0.9781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IV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SPLITCP FULL-SCENE PIXEL COUNTS (512 × 512 = 262,144 PIXELS)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0"/>
        <w:gridCol w:w="2500"/>
        <w:gridCol w:w="2500"/>
        <w:gridCol w:w="2500"/>
      </w:tblGrid>
      <w:tr>
        <w:trPr>
          <w:cantSplit/>
          <w:tblHeader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 / Region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DOFA-Spectral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Hiera-ViT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DOFA-Hiera Fusion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10,247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10,134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8,334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7,649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5,847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7,361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905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5,648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7,823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32,556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35,925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33,747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39,896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71,765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77,184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6,608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39,153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36,560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7,196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6,844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20,363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18,418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Uncertain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164,283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66,113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65,873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Total (Scene)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262,144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262,144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262,144</w:t>
            </w:r>
          </w:p>
        </w:tc>
      </w:tr>
    </w:tbl>
    <w:p>
      <w:pPr>
        <w:spacing w:after="200"/>
      </w:pPr>
    </w:p>
    <w:p>
      <w:pPr>
        <w:keepNext/>
        <w:spacing w:before="160" w:after="80"/>
      </w:pPr>
      <w:r>
        <w:rPr>
          <w:b/>
          <w:bCs/>
          <w:i/>
          <w:iCs/>
          <w:sz w:val="20"/>
          <w:szCs w:val="20"/>
        </w:rPr>
        <w:t>D. Spatialised Conformal Uncertainty Maps</w:t>
      </w:r>
    </w:p>
    <w:p>
      <w:pPr>
        <w:spacing w:after="120"/>
        <w:jc w:val="both"/>
      </w:pPr>
      <w:r>
        <w:rPr>
          <w:sz w:val="20"/>
          <w:szCs w:val="20"/>
        </w:rPr>
        <w:t xml:space="preserve">Fig. 3(a) and Fig. 3(b) depict the SplitCP binary uncertainty maps and class-masked maps. For Hiera-ViT and DOFA-Hiera Fusion, uncertain pixels correspond almost exclusively to empty prediction sets in unlabelled background and along parcel boundaries; for DOFA-Spectral, uncertain pixels arise from multi-label prediction sets (|C(x)| &gt; 1) where the classifier cannot separate competing classes.</w:t>
      </w:r>
    </w:p>
    <w:tbl>
      <w:tblPr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(A)  DOFA-Spectral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(B)  Hiera-ViT</w:t>
            </w:r>
          </w:p>
        </w:tc>
      </w:tr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(C)  DOFA-Hiera Fusion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1097280" cy="528810"/>
                  <wp:effectExtent l="0" t="0" r="0" b="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52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(D)  Binary Legend</w:t>
            </w:r>
          </w:p>
        </w:tc>
      </w:tr>
    </w:tbl>
    <w:p>
      <w:pPr>
        <w:spacing w:before="60" w:after="100"/>
        <w:jc w:val="center"/>
      </w:pPr>
      <w:r>
        <w:rPr>
          <w:i/>
          <w:iCs/>
          <w:sz w:val="18"/>
          <w:szCs w:val="18"/>
        </w:rPr>
        <w:t xml:space="preserve">Fig. 3(a).  SplitCP binary uncertainty maps (Certain in yellow vs. Uncertain in dark navy; see (D)) for (A) DOFA-Spectral, (B) Hiera-ViT, and (C) DOFA-Hiera Fusion.</w:t>
      </w:r>
    </w:p>
    <w:tbl>
      <w:tblPr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(A)  DOFA-Spectral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(B)  Hiera-ViT</w:t>
            </w:r>
          </w:p>
        </w:tc>
      </w:tr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(C)  DOFA-Hiera Fusion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keepNext/>
              <w:spacing w:after="20"/>
              <w:jc w:val="center"/>
            </w:pPr>
          </w:p>
        </w:tc>
      </w:tr>
    </w:tbl>
    <w:p>
      <w:pPr>
        <w:spacing w:before="60" w:after="100"/>
        <w:jc w:val="center"/>
      </w:pPr>
      <w:r>
        <w:rPr>
          <w:i/>
          <w:iCs/>
          <w:sz w:val="18"/>
          <w:szCs w:val="18"/>
        </w:rPr>
        <w:t xml:space="preserve">Fig. 3(b).  SplitCP class-masked maps with uncertain pixels shaded in grey for (A) DOFA-Spectral, (B) Hiera-ViT, and (C) DOFA-Hiera Fusion (refer to Fig. 2(d) for class colours).</w:t>
      </w:r>
    </w:p>
    <w:p>
      <w:pPr>
        <w:keepNext/>
        <w:spacing w:before="160" w:after="80"/>
      </w:pPr>
      <w:r>
        <w:rPr>
          <w:b/>
          <w:bCs/>
          <w:i/>
          <w:iCs/>
          <w:sz w:val="20"/>
          <w:szCs w:val="20"/>
        </w:rPr>
        <w:t>E. Class-Conditional Conformal Prediction (CcCP)</w:t>
      </w:r>
    </w:p>
    <w:p>
      <w:pPr>
        <w:spacing w:after="120"/>
        <w:jc w:val="both"/>
      </w:pPr>
      <w:r>
        <w:rPr>
          <w:sz w:val="20"/>
          <w:szCs w:val="20"/>
        </w:rPr>
        <w:t xml:space="preserve">TABLE V through TABLE VIII and Fig. 4(a)–(b) report the CcCP results. Under SplitCP, DOFA-Spectral suffered severe under-coverage on minority classes (0.4028 on Class 2 and 0.6500 on Class 6 in TABLE III). CcCP corrects this disparity by calibrating class-specific thresholds reaching q̂_2 = 0.922886 and q̂_6 = 0.903648 (TABLE VII), raising DOFA-Spectral’s mean per-class coverage from 0.8674 to 0.9535 (with every class achieving at least 0.9369 coverage in TABLE VI) at the cost of a larger average set size (1.8403) and 172,580 uncertain scene pixels (TABLE VIII).</w:t>
      </w: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V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CCCP AGGREGATE PERFORMANCE (Α = 0.05)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0"/>
        <w:gridCol w:w="1340"/>
        <w:gridCol w:w="1340"/>
        <w:gridCol w:w="1340"/>
        <w:gridCol w:w="1340"/>
        <w:gridCol w:w="1340"/>
        <w:gridCol w:w="1320"/>
      </w:tblGrid>
      <w:tr>
        <w:trPr>
          <w:cantSplit/>
          <w:tblHeader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Emp. Cov.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Avg Set Size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Singleton Rate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Empty Set Rate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Runtime (s)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Mean Cls Cov.</w:t>
            </w:r>
          </w:p>
        </w:tc>
      </w:tr>
      <w:tr>
        <w:trPr>
          <w:cantSplit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DOFA-Spectral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0.9515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1.8403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0.5016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0.0074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2.640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0.9535</w:t>
            </w:r>
          </w:p>
        </w:tc>
      </w:tr>
      <w:tr>
        <w:trPr>
          <w:cantSplit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Hiera-ViT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0.9494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0.9494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0.9494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0.0506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2.223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0.9556</w:t>
            </w:r>
          </w:p>
        </w:tc>
      </w:tr>
      <w:tr>
        <w:trPr>
          <w:cantSplit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DOFA-Hiera Fusion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0.9455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0.9455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0.9455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0.0545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2.174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0.9503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VI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CCCP PER-CLASS EMPIRICAL COVERAGE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DOFA-Spectral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Hiera-ViT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DOFA-Hiera Fusion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0.9581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0.9400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0.9556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0.9602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0.9560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0.9503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0.9753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0.9717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0.9505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0.9348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0.9487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0.9414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0.9484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0.9484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0.9396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0.9585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0.9462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0.9386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0.9300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0.9950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0.9625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0.9437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0.9313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VII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CCCP CALIBRATED CLASS-WISE THRESHOLDS (Q̂_C)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DOFA-Spectral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Hiera-ViT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DOFA-Hiera Fusion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0.038759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0.041391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0.032342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0.054209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0.041948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0.025139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0.963473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0.030148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0.023529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0.632951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0.037931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0.031184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0.833581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0.041535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0.031712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0.777186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0.036712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0.028726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0.962031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0.037602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0.023588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0.952928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0.036301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0.026282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VIII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CCCP FULL-SCENE PIXEL COUNTS (512 × 512 = 262,144 PIXELS)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0"/>
        <w:gridCol w:w="2500"/>
        <w:gridCol w:w="2500"/>
        <w:gridCol w:w="2500"/>
      </w:tblGrid>
      <w:tr>
        <w:trPr>
          <w:cantSplit/>
          <w:tblHeader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 / Region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DOFA-Spectral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Hiera-ViT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DOFA-Hiera Fusion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10,097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10,050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10,240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6,947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6,568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6,615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596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4,652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6,550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33,796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32,757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29,722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5,659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73,054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70,953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6,962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35,187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31,510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6,274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5,352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17,050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15,971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Uncertain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198,087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76,552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85,231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Total (Scene)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262,144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262,144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262,144</w:t>
            </w:r>
          </w:p>
        </w:tc>
      </w:tr>
    </w:tbl>
    <w:p>
      <w:pPr>
        <w:spacing w:after="200"/>
      </w:pPr>
    </w:p>
    <w:tbl>
      <w:tblPr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(A)  DOFA-Spectral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(B)  Hiera-ViT</w:t>
            </w:r>
          </w:p>
        </w:tc>
      </w:tr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(C)  DOFA-Hiera Fusion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1097280" cy="528810"/>
                  <wp:effectExtent l="0" t="0" r="0" b="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52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(D)  Binary Legend</w:t>
            </w:r>
          </w:p>
        </w:tc>
      </w:tr>
    </w:tbl>
    <w:p>
      <w:pPr>
        <w:spacing w:before="60" w:after="100"/>
        <w:jc w:val="center"/>
      </w:pPr>
      <w:r>
        <w:rPr>
          <w:i/>
          <w:iCs/>
          <w:sz w:val="18"/>
          <w:szCs w:val="18"/>
        </w:rPr>
        <w:t xml:space="preserve">Fig. 4(a).  CcCP binary uncertainty maps (refer to (D)) for (A) DOFA-Spectral, (B) Hiera-ViT, and (C) DOFA-Hiera Fusion.</w:t>
      </w:r>
    </w:p>
    <w:tbl>
      <w:tblPr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(A)  DOFA-Spectral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(B)  Hiera-ViT</w:t>
            </w:r>
          </w:p>
        </w:tc>
      </w:tr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(C)  DOFA-Hiera Fusion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keepNext/>
              <w:spacing w:after="20"/>
              <w:jc w:val="center"/>
            </w:pPr>
          </w:p>
        </w:tc>
      </w:tr>
    </w:tbl>
    <w:p>
      <w:pPr>
        <w:spacing w:before="60" w:after="100"/>
        <w:jc w:val="center"/>
      </w:pPr>
      <w:r>
        <w:rPr>
          <w:i/>
          <w:iCs/>
          <w:sz w:val="18"/>
          <w:szCs w:val="18"/>
        </w:rPr>
        <w:t xml:space="preserve">Fig. 4(b).  CcCP class-masked maps with uncertain pixels shaded in grey for (A) DOFA-Spectral, (B) Hiera-ViT, and (C) DOFA-Hiera Fusion (refer to Fig. 2(d) for class colours).</w:t>
      </w:r>
    </w:p>
    <w:p>
      <w:pPr>
        <w:keepNext/>
        <w:spacing w:before="160" w:after="80"/>
      </w:pPr>
      <w:r>
        <w:rPr>
          <w:b/>
          <w:bCs/>
          <w:i/>
          <w:iCs/>
          <w:sz w:val="20"/>
          <w:szCs w:val="20"/>
        </w:rPr>
        <w:t>F. Regularised Class-Conditional Conformal Prediction (RC3P)</w:t>
      </w:r>
    </w:p>
    <w:p>
      <w:pPr>
        <w:spacing w:after="120"/>
        <w:jc w:val="both"/>
      </w:pPr>
      <w:r>
        <w:rPr>
          <w:sz w:val="20"/>
          <w:szCs w:val="20"/>
        </w:rPr>
        <w:t xml:space="preserve">TABLE IX through TABLE XII and Fig. 5(a)–(b) present the RC3P results. While Hiera-ViT and DOFA-Hiera Fusion maintain k̂_c = 1 across all classes, DOFA-Spectral requires expanded rank limits k̂_c ∈ {2, 3, 4, 6} (specifically k̂ = 6 for Class 2 and k̂ = 4 for Class 6 in TABLE XI) to guarantee class-conditional coverage, achieving 0.9553 empirical coverage and 0.9590 mean class coverage.</w:t>
      </w: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IX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RC3P AGGREGATE PERFORMANCE (Α = 0.05)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0"/>
        <w:gridCol w:w="1340"/>
        <w:gridCol w:w="1340"/>
        <w:gridCol w:w="1340"/>
        <w:gridCol w:w="1340"/>
        <w:gridCol w:w="1340"/>
        <w:gridCol w:w="1320"/>
      </w:tblGrid>
      <w:tr>
        <w:trPr>
          <w:cantSplit/>
          <w:tblHeader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Emp. Cov.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Avg Set Size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Singleton Rate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Empty Set Rate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Runtime (s)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Mean Cls Cov.</w:t>
            </w:r>
          </w:p>
        </w:tc>
      </w:tr>
      <w:tr>
        <w:trPr>
          <w:cantSplit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DOFA-Spectral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0.9553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1.8952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0.4977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0.0062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2.385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0.9590</w:t>
            </w:r>
          </w:p>
        </w:tc>
      </w:tr>
      <w:tr>
        <w:trPr>
          <w:cantSplit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Hiera-ViT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0.9532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0.9532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0.9532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0.0468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2.249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0.9598</w:t>
            </w:r>
          </w:p>
        </w:tc>
      </w:tr>
      <w:tr>
        <w:trPr>
          <w:cantSplit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DOFA-Hiera Fusion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0.9486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0.9486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0.9486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0.0514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2.221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0.9535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X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RC3P PER-CLASS EMPIRICAL COVERAGE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DOFA-Spectral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Hiera-ViT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DOFA-Hiera Fusion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0.9605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0.9449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0.9605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0.9645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0.9574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0.9545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0.9823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0.9753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0.9505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0.9385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0.9531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0.9443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0.9528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0.9491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0.9409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0.9594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0.9537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0.9415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0.9450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0.9950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0.9950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0.9688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0.9500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0.9406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XI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RC3P CALIBRATED THRESHOLDS (Q̂_C) AND RANK LIMITS (K̂_C)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360"/>
        <w:gridCol w:w="1360"/>
        <w:gridCol w:w="1360"/>
        <w:gridCol w:w="1360"/>
        <w:gridCol w:w="1360"/>
        <w:gridCol w:w="1360"/>
      </w:tblGrid>
      <w:tr>
        <w:trPr>
          <w:cantSplit/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DOFA-Spec q̂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DOFA-Spec k̂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Hiera-ViT q̂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Hiera-ViT k̂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Fusion q̂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Fusion k̂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0.040095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0.041419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0.032347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0.054215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0.041966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0.025178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0.968049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0.030177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0.023531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0.649341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0.037993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0.031205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0.839231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0.041541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0.031732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0.785910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0.036764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0.028747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0.962816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0.038681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0.023676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0.956932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0.036436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0.026541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XII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RC3P FULL-SCENE PIXEL COUNTS (512 × 512 = 262,144 PIXELS)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0"/>
        <w:gridCol w:w="2500"/>
        <w:gridCol w:w="2500"/>
        <w:gridCol w:w="2500"/>
      </w:tblGrid>
      <w:tr>
        <w:trPr>
          <w:cantSplit/>
          <w:tblHeader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 / Region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DOFA-Spectral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Hiera-ViT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DOFA-Hiera Fusion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10,146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10,092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10,294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6,976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6,589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6,665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558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4,663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6,554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33,210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32,969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29,927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4,120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73,134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71,515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6,499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35,395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31,672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6,620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5,397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17,288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16,178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Uncertain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200,635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75,394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83,942</w:t>
            </w:r>
          </w:p>
        </w:tc>
      </w:tr>
      <w:tr>
        <w:trPr>
          <w:cantSplit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Total (Scene)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262,144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262,144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262,144</w:t>
            </w:r>
          </w:p>
        </w:tc>
      </w:tr>
    </w:tbl>
    <w:p>
      <w:pPr>
        <w:spacing w:after="200"/>
      </w:pPr>
    </w:p>
    <w:tbl>
      <w:tblPr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(A)  DOFA-Spectral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(B)  Hiera-ViT</w:t>
            </w:r>
          </w:p>
        </w:tc>
      </w:tr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(C)  DOFA-Hiera Fusion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1097280" cy="528810"/>
                  <wp:effectExtent l="0" t="0" r="0" b="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52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(D)  Binary Legend</w:t>
            </w:r>
          </w:p>
        </w:tc>
      </w:tr>
    </w:tbl>
    <w:p>
      <w:pPr>
        <w:spacing w:before="60" w:after="100"/>
        <w:jc w:val="center"/>
      </w:pPr>
      <w:r>
        <w:rPr>
          <w:i/>
          <w:iCs/>
          <w:sz w:val="18"/>
          <w:szCs w:val="18"/>
        </w:rPr>
        <w:t xml:space="preserve">Fig. 5(a).  RC3P binary uncertainty maps (refer to (D)) for (A) DOFA-Spectral, (B) Hiera-ViT, and (C) DOFA-Hiera Fusion.</w:t>
      </w:r>
    </w:p>
    <w:tbl>
      <w:tblPr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(A)  DOFA-Spectral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(B)  Hiera-ViT</w:t>
            </w:r>
          </w:p>
        </w:tc>
      </w:tr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(C)  DOFA-Hiera Fusion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keepNext/>
              <w:spacing w:after="20"/>
              <w:jc w:val="center"/>
            </w:pPr>
          </w:p>
        </w:tc>
      </w:tr>
    </w:tbl>
    <w:p>
      <w:pPr>
        <w:spacing w:before="60" w:after="100"/>
        <w:jc w:val="center"/>
      </w:pPr>
      <w:r>
        <w:rPr>
          <w:i/>
          <w:iCs/>
          <w:sz w:val="18"/>
          <w:szCs w:val="18"/>
        </w:rPr>
        <w:t xml:space="preserve">Fig. 5(b).  RC3P class-masked maps with uncertain pixels shaded in grey for (A) DOFA-Spectral, (B) Hiera-ViT, and (C) DOFA-Hiera Fusion (refer to Fig. 2(d) for class colours).</w:t>
      </w:r>
    </w:p>
    <w:p>
      <w:pPr>
        <w:keepNext/>
        <w:spacing w:before="160" w:after="80"/>
      </w:pPr>
      <w:r>
        <w:rPr>
          <w:b/>
          <w:bCs/>
          <w:i/>
          <w:iCs/>
          <w:sz w:val="20"/>
          <w:szCs w:val="20"/>
        </w:rPr>
        <w:t>G. Clustered Conformal Prediction (ClCP)</w:t>
      </w:r>
    </w:p>
    <w:p>
      <w:pPr>
        <w:spacing w:after="120"/>
        <w:jc w:val="both"/>
      </w:pPr>
      <w:r>
        <w:rPr>
          <w:sz w:val="20"/>
          <w:szCs w:val="20"/>
        </w:rPr>
        <w:t xml:space="preserve">TABLE XIII through TABLE XVI report ClCP results (K_g = 4). Grouping classes by score distribution lifts DOFA-Spectral’s mean per-class coverage to 0.9052 with a smaller average set size (1.6924) than CcCP (1.8403), while Hiera-ViT and DOFA-Hiera Fusion achieve 0.9549 and 0.9504 empirical coverage respectively. In TABLE XVI, the workbook’s exported Cluster Mean Uncertainty column records the mean empirical coverage across classes assigned to each cluster.</w:t>
      </w: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XIII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CLCP AGGREGATE PERFORMANCE (Α = 0.05, K_G = 4 CLUSTERS)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0"/>
        <w:gridCol w:w="1340"/>
        <w:gridCol w:w="1340"/>
        <w:gridCol w:w="1340"/>
        <w:gridCol w:w="1340"/>
        <w:gridCol w:w="1340"/>
        <w:gridCol w:w="1320"/>
      </w:tblGrid>
      <w:tr>
        <w:trPr>
          <w:cantSplit/>
          <w:tblHeader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Emp. Cov.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Avg Set Size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Singleton Rate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Empty Set Rate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Runtime (s)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Mean Cls Cov.</w:t>
            </w:r>
          </w:p>
        </w:tc>
      </w:tr>
      <w:tr>
        <w:trPr>
          <w:cantSplit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DOFA-Spectral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0.9497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1.6924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0.5177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0.0034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2.671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0.9052</w:t>
            </w:r>
          </w:p>
        </w:tc>
      </w:tr>
      <w:tr>
        <w:trPr>
          <w:cantSplit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Hiera-ViT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0.9549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0.9549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0.9549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0.0451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5.949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0.9598</w:t>
            </w:r>
          </w:p>
        </w:tc>
      </w:tr>
      <w:tr>
        <w:trPr>
          <w:cantSplit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DOFA-Hiera Fusion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0.9504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0.9504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0.9504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0.0496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7.285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0.9546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XIV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CLCP PER-CLASS EMPIRICAL COVERAGE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DOFA-Spectral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Hiera-ViT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DOFA-Hiera Fusion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0.9581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0.9638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0.7903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0.9148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0.9682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0.9717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0.9505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0.9143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0.9927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0.9846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0.9811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0.8987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0.9906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0.9858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0.9981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0.9943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0.4650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0.9950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0.9950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0.9688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0.9437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0.9313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XV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CLCP CLASS-TO-CLUSTER ASSIGNMENTS AND CLUSTER THRESHOLDS (Q̂)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360"/>
        <w:gridCol w:w="1360"/>
        <w:gridCol w:w="1360"/>
        <w:gridCol w:w="1360"/>
        <w:gridCol w:w="1360"/>
        <w:gridCol w:w="1360"/>
      </w:tblGrid>
      <w:tr>
        <w:trPr>
          <w:cantSplit/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DOFA-Spec Cl.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DOFA-Spec q̂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Hiera-ViT Cl.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Hiera-ViT q̂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Fusion Cl.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Fusion q̂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2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0.038759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2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0.041727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0.032311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0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0.521364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2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0.041727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0.032311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3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0.956932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0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0.030148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2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0.023529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0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0.521364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0.041355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0.032311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0.900349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0.041355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0.032311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0.900349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0.041355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0.032311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0.900349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0.041355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0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0.023588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Cluster 3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0.956932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Cluster 3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0.036301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Cluster 3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0.026282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XVI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CLCP PER-CLUSTER MEAN COVERAGE (EXPORTED AS CLUSTER MEAN UNCERTAINTY)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Cluster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DOFA-Spectral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Hiera-ViT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DOFA-Hiera Fusion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0.2876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0.9717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0.9950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0.4238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0.9587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0.9499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0.1975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0.9458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0.9472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Cluster 3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0.4533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0.9437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0.9342</w:t>
            </w:r>
          </w:p>
        </w:tc>
      </w:tr>
    </w:tbl>
    <w:p>
      <w:pPr>
        <w:spacing w:after="200"/>
      </w:pPr>
    </w:p>
    <w:p>
      <w:pPr>
        <w:keepNext/>
        <w:spacing w:before="160" w:after="80"/>
      </w:pPr>
      <w:r>
        <w:rPr>
          <w:b/>
          <w:bCs/>
          <w:i/>
          <w:iCs/>
          <w:sz w:val="20"/>
          <w:szCs w:val="20"/>
        </w:rPr>
        <w:t>H. Regularised Adaptive Prediction Sets (RAPS)</w:t>
      </w:r>
    </w:p>
    <w:p>
      <w:pPr>
        <w:spacing w:after="120"/>
        <w:jc w:val="both"/>
      </w:pPr>
      <w:r>
        <w:rPr>
          <w:sz w:val="20"/>
          <w:szCs w:val="20"/>
        </w:rPr>
        <w:t xml:space="preserve">TABLE XVII through TABLE XIX summarise RAPS (λ = 0.01, k_reg = 1). RAPS eliminates empty prediction sets across all three models. For Hiera-ViT and DOFA-Hiera Fusion, RAPS yields 100.00% and 99.99% singleton coverage; for DOFA-Spectral, RAPS achieves 0.9510 empirical coverage with an average set size of 1.5513 and singleton rate of 0.5878.</w:t>
      </w: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XVII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RAPS AGGREGATE PERFORMANCE (Α = 0.05, Λ = 0.01, K_REG = 1)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0"/>
        <w:gridCol w:w="1340"/>
        <w:gridCol w:w="1340"/>
        <w:gridCol w:w="1340"/>
        <w:gridCol w:w="1340"/>
        <w:gridCol w:w="1340"/>
        <w:gridCol w:w="1320"/>
      </w:tblGrid>
      <w:tr>
        <w:trPr>
          <w:cantSplit/>
          <w:tblHeader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Emp. Cov.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Avg Set Size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Singleton Rate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Empty Set Rate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Runtime (s)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Mean Cls Cov.</w:t>
            </w:r>
          </w:p>
        </w:tc>
      </w:tr>
      <w:tr>
        <w:trPr>
          <w:cantSplit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DOFA-Spectral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0.9510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1.5513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0.5878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0.0000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0.501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0.8681</w:t>
            </w:r>
          </w:p>
        </w:tc>
      </w:tr>
      <w:tr>
        <w:trPr>
          <w:cantSplit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Hiera-ViT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0.0000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0.476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DOFA-Hiera Fusion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0.9999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0.0000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0.482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0.9996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XVIII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RAPS PER-CLASS EMPIRICAL COVERAGE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DOFA-Spectral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Hiera-ViT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DOFA-Hiera Fusion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0.9951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0.8905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0.9839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0.9755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0.9783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0.4000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0.7219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0.9969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XIX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RAPS CALIBRATED PARAMETERS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q̂_RAPS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λ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k_reg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DOFA-Spectral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0.799763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Hiera-ViT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0.000000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DOFA-Hiera Fusion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0.000000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>
      <w:pPr>
        <w:spacing w:after="200"/>
      </w:pPr>
    </w:p>
    <w:p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>IV. CONCLUSION</w:t>
      </w:r>
    </w:p>
    <w:p>
      <w:pPr>
        <w:spacing w:after="120"/>
        <w:jc w:val="both"/>
      </w:pPr>
      <w:r>
        <w:rPr>
          <w:sz w:val="20"/>
          <w:szCs w:val="20"/>
        </w:rPr>
        <w:t xml:space="preserve">This study evaluated DOFA-Spectral, Hiera-ViT, and DOFA-Hiera Fusion on the 65-band DIAS Scene K01 hyperspectral dataset (512 × 512 pixels, K = 8 classes). Hiera-ViT achieved 100.000% test accuracy (κ = 1.0000), while DOFA-Hiera Fusion achieved 99.978% accuracy alongside the best calibration metrics (NLL = 0.03055, Brier = 0.00137, ECE = 0.02939), demonstrating that gated cross-attention effectively combines wavelength-conditioned spectral embeddings with hierarchical windowed spatial features.</w:t>
      </w:r>
    </w:p>
    <w:p>
      <w:pPr>
        <w:spacing w:after="120"/>
        <w:jc w:val="both"/>
      </w:pPr>
      <w:r>
        <w:rPr>
          <w:sz w:val="20"/>
          <w:szCs w:val="20"/>
        </w:rPr>
        <w:t xml:space="preserve">Across the five conformal prediction methods, DOFA-Spectral illustrated how class-conditional methods (CcCP and RC3P) remedy severe minority-class under-coverage present under marginal SplitCP (lifting Class 2 coverage from 0.4028 to 0.9435–0.9541 via higher class thresholds and rank limits k̂_c ≤ 6), whereas Hiera-ViT and DOFA-Hiera Fusion achieved tight singleton prediction sets with k̂_c = 1 across all classes.</w:t>
      </w:r>
    </w:p>
    <w:p>
      <w:pPr>
        <w:spacing w:after="120"/>
        <w:jc w:val="both"/>
      </w:pPr>
      <w:r>
        <w:rPr>
          <w:sz w:val="20"/>
          <w:szCs w:val="20"/>
        </w:rPr>
        <w:t xml:space="preserve">Full-scene uncertainty maps over all 262,144 pixels confirm that Hiera-ViT and DOFA-Hiera Fusion restrict uncertainty to unlabelled background and parcel boundaries (∼42.8%–47.9% of total scene pixels), providing reliable spatial confidence masks for hyperspectral earth observation.</w:t>
      </w:r>
    </w:p>
    <w:p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>REFERENCES</w:t>
      </w:r>
    </w:p>
    <w:p>
      <w:pPr>
        <w:spacing w:after="80"/>
        <w:ind w:left="360" w:hanging="360"/>
        <w:jc w:val="both"/>
      </w:pPr>
      <w:r>
        <w:rPr>
          <w:sz w:val="18"/>
          <w:szCs w:val="18"/>
        </w:rPr>
        <w:t>[1] Z. Xiong, Y. Wang, F. Zhang, A. J. Stewart, J. Hanna, D. Borth, I. Papoutsis, B. Le Saux, G. Camps-Valls, and X. X. Zhu, “Neural plasticity-inspired foundation model for observing the Earth crossing modalities,” arXiv:2403.15356, 2024.</w:t>
      </w:r>
    </w:p>
    <w:p>
      <w:pPr>
        <w:spacing w:after="80"/>
        <w:ind w:left="360" w:hanging="360"/>
        <w:jc w:val="both"/>
      </w:pPr>
      <w:r>
        <w:rPr>
          <w:sz w:val="18"/>
          <w:szCs w:val="18"/>
        </w:rPr>
        <w:t>[2] C. Ryali, Y.-T. Hu, D. Bolya, C. Wei, H. Fan, P.-Y. Huang, V. Aggarwal, A. Chowdhury, O. Poursaeed, P. Dollar, and C. Feichtenhofer, “Hiera: A hierarchical vision transformer without the bells-and-whistles,” in Proc. ICML, 2023.</w:t>
      </w:r>
    </w:p>
    <w:p>
      <w:pPr>
        <w:spacing w:after="80"/>
        <w:ind w:left="360" w:hanging="360"/>
        <w:jc w:val="both"/>
      </w:pPr>
      <w:r>
        <w:rPr>
          <w:sz w:val="18"/>
          <w:szCs w:val="18"/>
        </w:rPr>
        <w:t>[3] A. N. Angelopoulos, S. Bates, J. Malik, and M. I. Jordan, “Uncertainty sets for image classifiers using conformal prediction,” in Proc. ICLR, 2021.</w:t>
      </w:r>
    </w:p>
    <w:p>
      <w:pPr>
        <w:spacing w:after="80"/>
        <w:ind w:left="360" w:hanging="360"/>
        <w:jc w:val="both"/>
      </w:pPr>
      <w:r>
        <w:rPr>
          <w:sz w:val="18"/>
          <w:szCs w:val="18"/>
        </w:rPr>
        <w:t>[4] Y. Shi, S. Ghosh, T. Belkhouja, J. R. Doppa, and Y. Yan, “Conformal prediction for class-wise coverage via augmented label rank calibration,” in Adv. Neural Inf. Process. Syst. (NeurIPS), 2024.</w:t>
      </w:r>
    </w:p>
    <w:p>
      <w:pPr>
        <w:spacing w:after="80"/>
        <w:ind w:left="360" w:hanging="360"/>
        <w:jc w:val="both"/>
      </w:pPr>
      <w:r>
        <w:rPr>
          <w:sz w:val="18"/>
          <w:szCs w:val="18"/>
        </w:rPr>
        <w:t>[5] T. Ding, A. N. Angelopoulos, S. Bates, M. I. Jordan, and R. J. Tibshirani, “Class-conditional conformal prediction with many classes,” in Adv. Neural Inf. Process. Syst. (NeurIPS), 2023.</w:t>
      </w:r>
    </w:p>
    <w:p>
      <w:pPr>
        <w:spacing w:after="80"/>
        <w:ind w:left="360" w:hanging="360"/>
        <w:jc w:val="both"/>
      </w:pPr>
      <w:r>
        <w:rPr>
          <w:sz w:val="18"/>
          <w:szCs w:val="18"/>
        </w:rPr>
        <w:t>[6] Y. Romano, M. Sesia, and E. Candès, “Classification with valid and adaptive coverage,” in Adv. Neural Inf. Process. Syst. (NeurIPS), 2020.</w:t>
      </w:r>
    </w:p>
    <w:p>
      <w:pPr>
        <w:spacing w:after="80"/>
        <w:ind w:left="360" w:hanging="360"/>
        <w:jc w:val="both"/>
      </w:pPr>
      <w:r>
        <w:rPr>
          <w:sz w:val="18"/>
          <w:szCs w:val="18"/>
        </w:rPr>
        <w:t>[7] A. N. Angelopoulos and S. Bates, “A gentle introduction to conformal prediction and distribution-free uncertainty quantification,” Found. Trends Mach. Learn., 2023.</w:t>
      </w:r>
    </w:p>
    <w:p>
      <w:pPr>
        <w:spacing w:after="80"/>
        <w:ind w:left="360" w:hanging="360"/>
        <w:jc w:val="both"/>
      </w:pPr>
      <w:r>
        <w:rPr>
          <w:sz w:val="18"/>
          <w:szCs w:val="18"/>
        </w:rPr>
        <w:t>[8] H. Papadopoulos, K. Proedrou, V. Vovk, and A. Gammerman, “Inductive confidence machines for regression,” in Proc. ECML, Springer, pp. 345–356, 2002.</w:t>
      </w:r>
    </w:p>
    <w:p>
      <w:pPr>
        <w:spacing w:after="80"/>
        <w:ind w:left="360" w:hanging="360"/>
        <w:jc w:val="both"/>
      </w:pPr>
      <w:r>
        <w:rPr>
          <w:sz w:val="18"/>
          <w:szCs w:val="18"/>
        </w:rPr>
        <w:t>[9] V. Vovk, A. Gammerman, and G. Shafer, Algorithmic Learning in a Random World. Springer, 2005.</w:t>
      </w:r>
    </w:p>
    <w:p>
      <w:pPr>
        <w:spacing w:after="80"/>
        <w:ind w:left="360" w:hanging="360"/>
        <w:jc w:val="both"/>
      </w:pPr>
      <w:r>
        <w:rPr>
          <w:sz w:val="18"/>
          <w:szCs w:val="18"/>
        </w:rPr>
        <w:t>[10] A. Dosovitskiy et al., “An image is worth 16x16 words: Transformers for image recognition at scale,” in Proc. ICLR, 2021.</w:t>
      </w:r>
    </w:p>
    <w:p>
      <w:pPr>
        <w:spacing w:after="80"/>
        <w:ind w:left="360" w:hanging="360"/>
        <w:jc w:val="both"/>
      </w:pPr>
      <w:r>
        <w:rPr>
          <w:sz w:val="18"/>
          <w:szCs w:val="18"/>
        </w:rPr>
        <w:t>[11] M. Ahmad et al., “Hyperspectral image classification—Traditional to deep models: A survey for future prospects,” IEEE J. Sel. Topics Appl. Earth Observ. Remote Sens., 2022.</w:t>
      </w:r>
    </w:p>
    <w:p>
      <w:pPr>
        <w:spacing w:after="80"/>
        <w:ind w:left="360" w:hanging="360"/>
        <w:jc w:val="both"/>
      </w:pPr>
      <w:r>
        <w:rPr>
          <w:sz w:val="18"/>
          <w:szCs w:val="18"/>
        </w:rPr>
        <w:t>[12] A. Niculescu-Mizil and R. Caruana, “Predicting good probabilities with supervised learning,” in Proc. ICML, 2005.</w:t>
      </w:r>
    </w:p>
    <w:sectPr>
      <w:footerReference w:type="default" r:id="rIdFooter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rFonts w:ascii="Times New Roman" w:hAnsi="Times New Roman" w:cs="Times New Roman"/>
        <w:sz w:val="18"/>
        <w:szCs w:val="18"/>
      </w:rPr>
      <w:fldChar w:fldCharType="begin"/>
    </w:r>
    <w:r>
      <w:rPr>
        <w:rFonts w:ascii="Times New Roman" w:hAnsi="Times New Roman" w:cs="Times New Roman"/>
        <w:sz w:val="18"/>
        <w:szCs w:val="18"/>
      </w:rPr>
      <w:instrText xml:space="preserve"> PAGE </w:instrText>
    </w:r>
    <w:r>
      <w:rPr>
        <w:rFonts w:ascii="Times New Roman" w:hAnsi="Times New Roman" w:cs="Times New Roman"/>
        <w:sz w:val="18"/>
        <w:szCs w:val="18"/>
      </w:rPr>
      <w:fldChar w:fldCharType="separate"/>
    </w:r>
    <w:r>
      <w:rPr>
        <w:rFonts w:ascii="Times New Roman" w:hAnsi="Times New Roman" w:cs="Times New Roman"/>
        <w:sz w:val="18"/>
        <w:szCs w:val="18"/>
      </w:rPr>
      <w:t>1</w:t>
    </w:r>
    <w:r>
      <w:rPr>
        <w:rFonts w:ascii="Times New Roman" w:hAnsi="Times New Roman" w:cs="Times New Roman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473B"/>
    <w:multiLevelType w:val="hybridMultilevel"/>
    <w:tmpl w:val="B1D6048C"/>
    <w:lvl w:ilvl="0" w:tplc="ECAC4604">
      <w:start w:val="1"/>
      <w:numFmt w:val="bullet"/>
      <w:lvlText w:val="•"/>
      <w:lvlJc w:val="left"/>
      <w:pPr>
        <w:ind w:left="540" w:hanging="360"/>
      </w:pPr>
    </w:lvl>
    <w:lvl w:ilvl="1" w:tplc="78A6D902">
      <w:numFmt w:val="decimal"/>
      <w:lvlText w:val=""/>
      <w:lvlJc w:val="left"/>
    </w:lvl>
    <w:lvl w:ilvl="2" w:tplc="DC3A18C0">
      <w:numFmt w:val="decimal"/>
      <w:lvlText w:val=""/>
      <w:lvlJc w:val="left"/>
    </w:lvl>
    <w:lvl w:ilvl="3" w:tplc="F5763FF2">
      <w:numFmt w:val="decimal"/>
      <w:lvlText w:val=""/>
      <w:lvlJc w:val="left"/>
    </w:lvl>
    <w:lvl w:ilvl="4" w:tplc="A45C0DE0">
      <w:numFmt w:val="decimal"/>
      <w:lvlText w:val=""/>
      <w:lvlJc w:val="left"/>
    </w:lvl>
    <w:lvl w:ilvl="5" w:tplc="85F0E230">
      <w:numFmt w:val="decimal"/>
      <w:lvlText w:val=""/>
      <w:lvlJc w:val="left"/>
    </w:lvl>
    <w:lvl w:ilvl="6" w:tplc="FFB6ACF0">
      <w:numFmt w:val="decimal"/>
      <w:lvlText w:val=""/>
      <w:lvlJc w:val="left"/>
    </w:lvl>
    <w:lvl w:ilvl="7" w:tplc="FDBA578E">
      <w:numFmt w:val="decimal"/>
      <w:lvlText w:val=""/>
      <w:lvlJc w:val="left"/>
    </w:lvl>
    <w:lvl w:ilvl="8" w:tplc="4356C70C">
      <w:numFmt w:val="decimal"/>
      <w:lvlText w:val=""/>
      <w:lvlJc w:val="left"/>
    </w:lvl>
  </w:abstractNum>
  <w:abstractNum w:abstractNumId="1" w15:restartNumberingAfterBreak="0">
    <w:nsid w:val="742C11C6"/>
    <w:multiLevelType w:val="hybridMultilevel"/>
    <w:tmpl w:val="E3B894C8"/>
    <w:lvl w:ilvl="0" w:tplc="674A10DC">
      <w:start w:val="1"/>
      <w:numFmt w:val="bullet"/>
      <w:lvlText w:val="●"/>
      <w:lvlJc w:val="left"/>
      <w:pPr>
        <w:ind w:left="720" w:hanging="360"/>
      </w:pPr>
    </w:lvl>
    <w:lvl w:ilvl="1" w:tplc="44667E7C">
      <w:start w:val="1"/>
      <w:numFmt w:val="bullet"/>
      <w:lvlText w:val="○"/>
      <w:lvlJc w:val="left"/>
      <w:pPr>
        <w:ind w:left="1440" w:hanging="360"/>
      </w:pPr>
    </w:lvl>
    <w:lvl w:ilvl="2" w:tplc="E98E7EEA">
      <w:start w:val="1"/>
      <w:numFmt w:val="bullet"/>
      <w:lvlText w:val="■"/>
      <w:lvlJc w:val="left"/>
      <w:pPr>
        <w:ind w:left="2160" w:hanging="360"/>
      </w:pPr>
    </w:lvl>
    <w:lvl w:ilvl="3" w:tplc="5414075C">
      <w:start w:val="1"/>
      <w:numFmt w:val="bullet"/>
      <w:lvlText w:val="●"/>
      <w:lvlJc w:val="left"/>
      <w:pPr>
        <w:ind w:left="2880" w:hanging="360"/>
      </w:pPr>
    </w:lvl>
    <w:lvl w:ilvl="4" w:tplc="AA80928E">
      <w:start w:val="1"/>
      <w:numFmt w:val="bullet"/>
      <w:lvlText w:val="○"/>
      <w:lvlJc w:val="left"/>
      <w:pPr>
        <w:ind w:left="3600" w:hanging="360"/>
      </w:pPr>
    </w:lvl>
    <w:lvl w:ilvl="5" w:tplc="CF741D56">
      <w:start w:val="1"/>
      <w:numFmt w:val="bullet"/>
      <w:lvlText w:val="■"/>
      <w:lvlJc w:val="left"/>
      <w:pPr>
        <w:ind w:left="4320" w:hanging="360"/>
      </w:pPr>
    </w:lvl>
    <w:lvl w:ilvl="6" w:tplc="DDA6B73C">
      <w:start w:val="1"/>
      <w:numFmt w:val="bullet"/>
      <w:lvlText w:val="●"/>
      <w:lvlJc w:val="left"/>
      <w:pPr>
        <w:ind w:left="5040" w:hanging="360"/>
      </w:pPr>
    </w:lvl>
    <w:lvl w:ilvl="7" w:tplc="16F8AB78">
      <w:start w:val="1"/>
      <w:numFmt w:val="bullet"/>
      <w:lvlText w:val="●"/>
      <w:lvlJc w:val="left"/>
      <w:pPr>
        <w:ind w:left="5760" w:hanging="360"/>
      </w:pPr>
    </w:lvl>
    <w:lvl w:ilvl="8" w:tplc="BB6495E0">
      <w:start w:val="1"/>
      <w:numFmt w:val="bullet"/>
      <w:lvlText w:val="●"/>
      <w:lvlJc w:val="left"/>
      <w:pPr>
        <w:ind w:left="6480" w:hanging="360"/>
      </w:pPr>
    </w:lvl>
  </w:abstractNum>
  <w:num w:numId="1" w16cid:durableId="660740848">
    <w:abstractNumId w:val="1"/>
    <w:lvlOverride w:ilvl="0">
      <w:startOverride w:val="1"/>
    </w:lvlOverride>
  </w:num>
  <w:num w:numId="2" w16cid:durableId="10379256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657"/>
    <w:rsid w:val="002164B0"/>
    <w:rsid w:val="003A677D"/>
    <w:rsid w:val="00655360"/>
    <w:rsid w:val="00664550"/>
    <w:rsid w:val="00763657"/>
    <w:rsid w:val="00D45976"/>
    <w:rsid w:val="00EC7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AE25D"/>
  <w15:docId w15:val="{215A7963-CFEB-4B53-B181-5E09B65C3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Font" Type="http://schemas.openxmlformats.org/officeDocument/2006/relationships/fontTable" Target="fontTable.xml"/><Relationship Id="rIdTheme" Type="http://schemas.openxmlformats.org/officeDocument/2006/relationships/theme" Target="theme/theme1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Relationship Id="rIdImg16" Type="http://schemas.openxmlformats.org/officeDocument/2006/relationships/image" Target="media/image16.png"/><Relationship Id="rIdImg17" Type="http://schemas.openxmlformats.org/officeDocument/2006/relationships/image" Target="media/image17.png"/><Relationship Id="rIdImg18" Type="http://schemas.openxmlformats.org/officeDocument/2006/relationships/image" Target="media/image18.png"/><Relationship Id="rIdImg19" Type="http://schemas.openxmlformats.org/officeDocument/2006/relationships/image" Target="media/image19.png"/><Relationship Id="rIdImg20" Type="http://schemas.openxmlformats.org/officeDocument/2006/relationships/image" Target="media/image20.png"/><Relationship Id="rIdImg21" Type="http://schemas.openxmlformats.org/officeDocument/2006/relationships/image" Target="media/image21.png"/><Relationship Id="rIdImg22" Type="http://schemas.openxmlformats.org/officeDocument/2006/relationships/image" Target="media/image22.png"/><Relationship Id="rIdImg23" Type="http://schemas.openxmlformats.org/officeDocument/2006/relationships/image" Target="media/image23.png"/><Relationship Id="rIdImg24" Type="http://schemas.openxmlformats.org/officeDocument/2006/relationships/image" Target="media/image24.png"/><Relationship Id="rIdImg25" Type="http://schemas.openxmlformats.org/officeDocument/2006/relationships/image" Target="media/image25.png"/><Relationship Id="rIdImg26" Type="http://schemas.openxmlformats.org/officeDocument/2006/relationships/image" Target="media/image26.png"/><Relationship Id="rIdImg27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18</Pages>
  <Words>4421</Words>
  <Characters>25202</Characters>
  <Application>Microsoft Office Word</Application>
  <DocSecurity>0</DocSecurity>
  <Lines>210</Lines>
  <Paragraphs>59</Paragraphs>
  <ScaleCrop>false</ScaleCrop>
  <Company/>
  <LinksUpToDate>false</LinksUpToDate>
  <CharactersWithSpaces>29564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Danesh Selwal</cp:lastModifiedBy>
  <cp:revision>3</cp:revision>
  <dcterms:created xsi:type="dcterms:W3CDTF">2026-06-24T06:29:00Z</dcterms:created>
  <dcterms:modified xsi:type="dcterms:W3CDTF">2026-06-28T05:38:00Z</dcterms:modified>
</cp:coreProperties>
</file>