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body>
    <w:p>
      <w:pPr>
        <w:spacing w:after="240"/>
        <w:jc w:val="center"/>
      </w:pPr>
      <w:r>
        <w:rPr>
          <w:b/>
          <w:bCs/>
          <w:sz w:val="48"/>
          <w:szCs w:val="48"/>
        </w:rPr>
        <w:t>Dual-Branch Spatial-Spectral State Space Models (MambaHSI) for Hyperspectral Land-Cover Classification with Conformal Uncertainty Quantification</w:t>
      </w:r>
    </w:p>
    <w:p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>ABSTRACT</w:t>
      </w:r>
    </w:p>
    <w:p>
      <w:pPr>
        <w:spacing w:after="120"/>
        <w:jc w:val="both"/>
      </w:pPr>
      <w:r>
        <w:rPr>
          <w:sz w:val="20"/>
          <w:szCs w:val="20"/>
        </w:rPr>
        <w:t xml:space="preserve">This paper evaluates the MambaHSI family of selective State Space Models (SSMs) for patch-based pixel-wise land-cover classification of a 65-band hyperspectral scene (DIAS Scene K01, 512 × 512 pixels, K = 8 classes: Class 0 through Class 7), paired with distribution-free uncertainty quantification across five conformal prediction algorithms. Three capacity scales—MambaHSI-Small (d = 64, L = 2), MambaHSI-Base (d = 128, L = 4), and MambaHSI-Large (d = 192, L = 6)—couple a spatial selective-scan branch over the 81-pixel 9 × 9 grid with a spectral selective-scan branch across spectral groups via learnable sigmoid gating in O(N) linear complexity. On the held-out test set (13,474 samples), MambaHSI-Base and MambaHSI-Large both achieve 99.993% accuracy (κ = 0.9999), with MambaHSI-Large reaching a macro-F1 of 1.0000 and MambaHSI-Small achieving 99.978% accuracy alongside the lowest NLL (0.01063), Brier score (0.00056), and ECE (0.01023) in 298.2 s. Post-hoc conformal prediction (SplitCP, CcCP, RC3P, ClCP, and RAPS) calibrated on n_cal = 6,737 samples at α = 0.05 achieves valid 95% marginal and class-conditional coverage with universal rank limit k̂_c = 1 and generates full-scene uncertainty maps across all 262,144 pixels.</w:t>
      </w:r>
    </w:p>
    <w:p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>I. INTRODUCTION</w:t>
      </w:r>
    </w:p>
    <w:p>
      <w:pPr>
        <w:spacing w:after="120"/>
        <w:jc w:val="both"/>
      </w:pPr>
      <w:r>
        <w:rPr>
          <w:sz w:val="20"/>
          <w:szCs w:val="20"/>
        </w:rPr>
        <w:t xml:space="preserve">Hyperspectral land-cover classification requires modelling both fine-grained spatial structures and long-range spectral dependencies across dozens of contiguous bands [11]. While Vision Transformers capture global context via self-attention, their quadratic O(N^2) complexity with respect to sequence length scales poorly. Selective State Space Models (Mamba) [1] overcome this bottleneck through input-dependent state transitions evaluated via hardware-aware parallel associative scans in linear O(N) time.</w:t>
      </w:r>
    </w:p>
    <w:p>
      <w:pPr>
        <w:spacing w:after="120"/>
        <w:jc w:val="both"/>
      </w:pPr>
      <w:r>
        <w:rPr>
          <w:sz w:val="20"/>
          <w:szCs w:val="20"/>
        </w:rPr>
        <w:t xml:space="preserve">MambaHSI [2] adapts selective state spaces to hyperspectral imagery via a dual-branch architecture: a Spatial Mamba branch scans flattened spatial tokens to capture parcel geometry, while a Spectral Mamba branch scans spectral channel groups to model cross-band absorption profiles, fusing both representations through a learnable gate.</w:t>
      </w:r>
    </w:p>
    <w:p>
      <w:pPr>
        <w:spacing w:after="120"/>
        <w:jc w:val="both"/>
      </w:pPr>
      <w:r>
        <w:rPr>
          <w:sz w:val="20"/>
          <w:szCs w:val="20"/>
        </w:rPr>
        <w:t xml:space="preserve">To complement point predictions with rigorous statistical guarantees, we wrap all three MambaHSI variants in five post-hoc conformal prediction (CP) methods at 1 − α = 0.95 [3, 4, 5, 6, 7, 8, 9]. Our contributions are: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0"/>
          <w:szCs w:val="20"/>
        </w:rPr>
        <w:t xml:space="preserve">A capacity-scaling investigation of MambaHSI-Small, MambaHSI-Base, and MambaHSI-Large on 9 × 9 × 65 patches from the 65-band DIAS Scene K01 hyperspectral benchmark (K = 8 classes: Class 0–Class 7).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0"/>
          <w:szCs w:val="20"/>
        </w:rPr>
        <w:t xml:space="preserve">Joint evaluation of classification accuracy, probabilistic calibration (NLL, Brier, ECE), and training efficiency across model scales [12].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0"/>
          <w:szCs w:val="20"/>
        </w:rPr>
        <w:t xml:space="preserve">Benchmarking of five conformal prediction algorithms (SplitCP, CcCP, RC3P, ClCP, and RAPS) at α = 0.05 across all three MambaHSI variants.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0"/>
          <w:szCs w:val="20"/>
        </w:rPr>
        <w:t xml:space="preserve">Full-scene spatialised uncertainty mapping across all 512 × 512 = 262,144 pixels.</w:t>
      </w:r>
    </w:p>
    <w:p>
      <w:pPr>
        <w:spacing w:after="80"/>
      </w:pPr>
    </w:p>
    <w:p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>II. METHODOLOGY</w:t>
      </w:r>
    </w:p>
    <w:p>
      <w:pPr>
        <w:keepNext/>
        <w:spacing w:before="160" w:after="80"/>
      </w:pPr>
      <w:r>
        <w:rPr>
          <w:b/>
          <w:bCs/>
          <w:i/>
          <w:iCs/>
          <w:sz w:val="20"/>
          <w:szCs w:val="20"/>
        </w:rPr>
        <w:t>A. Dataset and Preprocessing</w:t>
      </w:r>
    </w:p>
    <w:p>
      <w:pPr>
        <w:spacing w:after="120"/>
        <w:jc w:val="both"/>
      </w:pPr>
      <w:r>
        <w:rPr>
          <w:sz w:val="20"/>
          <w:szCs w:val="20"/>
        </w:rPr>
        <w:t xml:space="preserve">The study uses the 65-band DIAS Scene K01 hyperspectral dataset (files k001.mat and k002.mat, H = 512, W = 512 pixels, B = 65 spectral bands, K = 8 classes: Class 0 through Class 7), shown in Fig. 1.</w:t>
      </w: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(a)  Approximate RGB Composite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(b)  Ground Truth Label Map</w:t>
            </w:r>
          </w:p>
        </w:tc>
      </w:tr>
    </w:tbl>
    <w:p>
      <w:pPr>
        <w:spacing w:before="80" w:after="220"/>
        <w:jc w:val="center"/>
      </w:pPr>
      <w:r>
        <w:rPr>
          <w:i/>
          <w:iCs/>
          <w:sz w:val="18"/>
          <w:szCs w:val="18"/>
        </w:rPr>
        <w:t xml:space="preserve">Fig. 1.  Hyperspectral scene overview (DIAS Scene K01, 65 bands, 512 × 512 pixels). (a) Approximate RGB composite. (b) Ground truth label map for Class 0 through Class 7; black pixels denote unlabelled background.</w:t>
      </w:r>
    </w:p>
    <w:p>
      <w:pPr>
        <w:spacing w:after="120"/>
        <w:jc w:val="both"/>
      </w:pPr>
      <w:r>
        <w:rPr>
          <w:sz w:val="20"/>
          <w:szCs w:val="20"/>
        </w:rPr>
        <w:t xml:space="preserve">Each spectral band is independently min-max normalised to [0, 1]:</w:t>
      </w:r>
    </w:p>
    <w:p>
      <w:pPr>
        <w:spacing w:before="60" w:after="60"/>
        <w:jc w:val="center"/>
      </w:pPr>
      <w:r>
        <w:rPr>
          <w:i/>
          <w:iCs/>
          <w:sz w:val="20"/>
          <w:szCs w:val="20"/>
        </w:rPr>
        <w:t xml:space="preserve">x̃(h, w, b) = [x(h, w, b) − min</w:t>
      </w:r>
      <w:r>
        <w:rPr>
          <w:i/>
          <w:iCs/>
          <w:sz w:val="20"/>
          <w:szCs w:val="20"/>
          <w:vertAlign w:val="subscript"/>
        </w:rPr>
        <w:t>b</w:t>
      </w:r>
      <w:r>
        <w:rPr>
          <w:i/>
          <w:iCs/>
          <w:sz w:val="20"/>
          <w:szCs w:val="20"/>
        </w:rPr>
        <w:t xml:space="preserve">] / [max</w:t>
      </w:r>
      <w:r>
        <w:rPr>
          <w:i/>
          <w:iCs/>
          <w:sz w:val="20"/>
          <w:szCs w:val="20"/>
          <w:vertAlign w:val="subscript"/>
        </w:rPr>
        <w:t>b</w:t>
      </w:r>
      <w:r>
        <w:rPr>
          <w:i/>
          <w:iCs/>
          <w:sz w:val="20"/>
          <w:szCs w:val="20"/>
        </w:rPr>
        <w:t xml:space="preserve"> − min</w:t>
      </w:r>
      <w:r>
        <w:rPr>
          <w:i/>
          <w:iCs/>
          <w:sz w:val="20"/>
          <w:szCs w:val="20"/>
          <w:vertAlign w:val="subscript"/>
        </w:rPr>
        <w:t>b</w:t>
      </w:r>
      <w:r>
        <w:rPr>
          <w:i/>
          <w:iCs/>
          <w:sz w:val="20"/>
          <w:szCs w:val="20"/>
        </w:rPr>
        <w:t xml:space="preserve"> + ε],   ε = 10</w:t>
      </w:r>
      <w:r>
        <w:rPr>
          <w:i/>
          <w:iCs/>
          <w:sz w:val="20"/>
          <w:szCs w:val="20"/>
          <w:vertAlign w:val="superscript"/>
        </w:rPr>
        <w:t>−8</w:t>
      </w:r>
    </w:p>
    <w:p>
      <w:pPr>
        <w:spacing w:after="120"/>
        <w:jc w:val="both"/>
      </w:pPr>
      <w:r>
        <w:rPr>
          <w:sz w:val="20"/>
          <w:szCs w:val="20"/>
        </w:rPr>
        <w:t xml:space="preserve">Patches of size 9 × 9 × 65 are extracted around each pixel (4-pixel edge replication). Using seed 42, the 53,896 labelled pixels are split into 75% training (40,422), 12.5% calibration (n_cal = 6,737), and 12.5% evaluation (n_eval = 6,737; test evaluation uses the combined 13,474 held-out samples). Dense pixel tables sum across the full 512 × 512 scene (262,144 pixels).</w:t>
      </w:r>
    </w:p>
    <w:p>
      <w:pPr>
        <w:keepNext/>
        <w:spacing w:before="160" w:after="80"/>
      </w:pPr>
      <w:r>
        <w:rPr>
          <w:b/>
          <w:bCs/>
          <w:i/>
          <w:iCs/>
          <w:sz w:val="20"/>
          <w:szCs w:val="20"/>
        </w:rPr>
        <w:t>B. MambaHSI Architecture Variants</w:t>
      </w:r>
    </w:p>
    <w:p>
      <w:pPr>
        <w:spacing w:after="120"/>
        <w:jc w:val="both"/>
      </w:pPr>
      <w:r>
        <w:rPr>
          <w:sz w:val="20"/>
          <w:szCs w:val="20"/>
        </w:rPr>
        <w:t xml:space="preserve">Each MambaHSI block processes a 9 × 9 × d feature map via two parallel selective-scan branches [1, 2]: (1) a Spatial Mamba branch that flattens the 9 × 9 grid into N_s = 81 tokens and applies a 1-D depthwise convolution (kernel 3), SiLU activation, and selective state-space scan with input-dependent step size Δ_t = softplus(W_Δ x_t + b_Δ) and state matrices B_t, C_t; and (2) a Spectral Mamba branch that partitions the d channels into G_s spectral groups, pools spatial dimensions, and scans along the spectral group axis. The two branches are combined via a learnable sigmoid gate before a residual MLP. TABLE I summarises the three capacity configurations.</w:t>
      </w: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MAMBAHSI ARCHITECTURE CAPACITY CONFIGURATIONS (9 × 9 × 65 INPUT)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0"/>
        <w:gridCol w:w="1250"/>
        <w:gridCol w:w="1250"/>
        <w:gridCol w:w="1250"/>
        <w:gridCol w:w="1250"/>
        <w:gridCol w:w="1250"/>
        <w:gridCol w:w="1250"/>
      </w:tblGrid>
      <w:tr>
        <w:trPr>
          <w:cantSplit/>
          <w:tblHeader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Variant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Embed Dim (d)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Depth (L)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State Dim (d_state)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Expand Ratio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Spectral Groups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Dropout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MambaHSI-Small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64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0.10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MambaHSI-Base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128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0.15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MambaHSI-Large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192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0.20</w:t>
            </w:r>
          </w:p>
        </w:tc>
      </w:tr>
    </w:tbl>
    <w:p>
      <w:pPr>
        <w:spacing w:after="200"/>
      </w:pPr>
    </w:p>
    <w:p>
      <w:pPr>
        <w:keepNext/>
        <w:spacing w:before="160" w:after="80"/>
      </w:pPr>
      <w:r>
        <w:rPr>
          <w:b/>
          <w:bCs/>
          <w:i/>
          <w:iCs/>
          <w:sz w:val="20"/>
          <w:szCs w:val="20"/>
        </w:rPr>
        <w:t>C. Evaluation Metrics and Conformal Prediction</w:t>
      </w:r>
    </w:p>
    <w:p>
      <w:pPr>
        <w:spacing w:after="120"/>
        <w:jc w:val="both"/>
      </w:pPr>
      <w:r>
        <w:rPr>
          <w:sz w:val="20"/>
          <w:szCs w:val="20"/>
        </w:rPr>
        <w:t xml:space="preserve">Classification performance is measured by test accuracy, Cohen’s κ, macro-F1, weighted-F1, NLL, Brier Score, 15-bin ECE, and training time (s) [12]. Post-hoc uncertainty quantification applies SplitCP [8], CcCP [6], RC3P [4], ClCP (K_g = 4) [5], and RAPS (λ = 0.01, k_reg = 1) [3] at α = 0.05 (95% target coverage) [7, 9].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  <w:sz w:val="20"/>
          <w:szCs w:val="20"/>
        </w:rPr>
        <w:t xml:space="preserve">SplitCP: </w:t>
      </w:r>
      <w:r>
        <w:rPr>
          <w:sz w:val="20"/>
          <w:szCs w:val="20"/>
        </w:rPr>
        <w:t xml:space="preserve">Global nonconformity threshold q̂ over all n_cal = 6,737 calibration samples [8].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  <w:sz w:val="20"/>
          <w:szCs w:val="20"/>
        </w:rPr>
        <w:t xml:space="preserve">CcCP: </w:t>
      </w:r>
      <w:r>
        <w:rPr>
          <w:sz w:val="20"/>
          <w:szCs w:val="20"/>
        </w:rPr>
        <w:t xml:space="preserve">Per-class quantile thresholds q̂_c for class-conditional coverage [6].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  <w:sz w:val="20"/>
          <w:szCs w:val="20"/>
        </w:rPr>
        <w:t xml:space="preserve">RC3P: </w:t>
      </w:r>
      <w:r>
        <w:rPr>
          <w:sz w:val="20"/>
          <w:szCs w:val="20"/>
        </w:rPr>
        <w:t xml:space="preserve">Class-wise thresholds q̂_c paired with rank gates k̂_c [4].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  <w:sz w:val="20"/>
          <w:szCs w:val="20"/>
        </w:rPr>
        <w:t xml:space="preserve">ClCP: </w:t>
      </w:r>
      <w:r>
        <w:rPr>
          <w:sz w:val="20"/>
          <w:szCs w:val="20"/>
        </w:rPr>
        <w:t xml:space="preserve">K-Means clustering (K_g = 4) of calibration nonconformity distributions [5].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  <w:sz w:val="20"/>
          <w:szCs w:val="20"/>
        </w:rPr>
        <w:t xml:space="preserve">RAPS: </w:t>
      </w:r>
      <w:r>
        <w:rPr>
          <w:sz w:val="20"/>
          <w:szCs w:val="20"/>
        </w:rPr>
        <w:t xml:space="preserve">Rank-regularised cumulative softmax scoring (λ = 0.01, k_reg = 1) [3].</w:t>
      </w:r>
    </w:p>
    <w:p>
      <w:pPr>
        <w:spacing w:after="80"/>
      </w:pPr>
    </w:p>
    <w:p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>III. EXPERIMENTS AND RESULTS</w:t>
      </w:r>
    </w:p>
    <w:p>
      <w:pPr>
        <w:keepNext/>
        <w:spacing w:before="160" w:after="80"/>
      </w:pPr>
      <w:r>
        <w:rPr>
          <w:b/>
          <w:bCs/>
          <w:i/>
          <w:iCs/>
          <w:sz w:val="20"/>
          <w:szCs w:val="20"/>
        </w:rPr>
        <w:t>A. Classification Performance</w:t>
      </w:r>
    </w:p>
    <w:p>
      <w:pPr>
        <w:spacing w:after="120"/>
        <w:jc w:val="both"/>
      </w:pPr>
      <w:r>
        <w:rPr>
          <w:sz w:val="20"/>
          <w:szCs w:val="20"/>
        </w:rPr>
        <w:t xml:space="preserve">All three MambaHSI variants were trained for 100 epochs with batch size 128. TABLE II summarises the held-out test performance across the 13,474 test samples. MambaHSI-Base and MambaHSI-Large tie for the highest overall accuracy at 99.993% (κ = 0.9999), with MambaHSI-Large achieving a macro-F1 of 1.0000 (2,556.0 s training time) and MambaHSI-Base achieving 0.9999 macro-F1 in 986.9 s. MambaHSI-Small reaches 99.978% accuracy (κ = 0.9997) in just 298.2 s while attaining the lowest NLL (0.01063), Brier score (0.00056), and ECE (0.01023) due to its lighter regularisation and lower label-smoothing floor.</w:t>
      </w: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II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TEST SET CLASSIFICATION PERFORMANCE (SORTED BY ACCURACY)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1100"/>
        <w:gridCol w:w="900"/>
        <w:gridCol w:w="1000"/>
        <w:gridCol w:w="900"/>
        <w:gridCol w:w="900"/>
        <w:gridCol w:w="900"/>
        <w:gridCol w:w="900"/>
        <w:gridCol w:w="1500"/>
      </w:tblGrid>
      <w:tr>
        <w:trPr>
          <w:cantSplit/>
          <w:tblHeader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Accuracy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κ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Macro F1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Wtd F1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NLL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Brier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ECE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Train Time (s)</w:t>
            </w:r>
          </w:p>
        </w:tc>
      </w:tr>
      <w:tr>
        <w:trPr>
          <w:cantSplit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MambaHSI-Base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99.993%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0.9999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0.9999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0.9999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0.01943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0.00062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0.01915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986.9</w:t>
            </w:r>
          </w:p>
        </w:tc>
      </w:tr>
      <w:tr>
        <w:trPr>
          <w:cantSplit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MambaHSI-Large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99.993%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0.9999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0.9999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0.02092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0.00069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0.02055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2556.0</w:t>
            </w:r>
          </w:p>
        </w:tc>
      </w:tr>
      <w:tr>
        <w:trPr>
          <w:cantSplit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MambaHSI-Small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99.978%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0.9997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0.9998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0.9998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0.01063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0.00056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0.01023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298.2</w:t>
            </w:r>
          </w:p>
        </w:tc>
      </w:tr>
    </w:tbl>
    <w:p>
      <w:pPr>
        <w:spacing w:after="200"/>
      </w:pPr>
    </w:p>
    <w:p>
      <w:pPr>
        <w:keepNext/>
        <w:spacing w:before="160" w:after="80"/>
      </w:pPr>
      <w:r>
        <w:rPr>
          <w:b/>
          <w:bCs/>
          <w:i/>
          <w:iCs/>
          <w:sz w:val="20"/>
          <w:szCs w:val="20"/>
        </w:rPr>
        <w:t>B. Dense Scene Classification Maps</w:t>
      </w:r>
    </w:p>
    <w:p>
      <w:pPr>
        <w:spacing w:after="120"/>
        <w:jc w:val="both"/>
      </w:pPr>
      <w:r>
        <w:rPr>
          <w:sz w:val="20"/>
          <w:szCs w:val="20"/>
        </w:rPr>
        <w:t xml:space="preserve">Fig. 2 displays the dense classification maps across all 262,144 scene pixels. All three MambaHSI variants produce clean, homogeneous parcel interiors and crisp boundaries across Class 0–7.</w:t>
      </w: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(a)  MambaHSI-Small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(b)  MambaHSI-Base</w:t>
            </w:r>
          </w:p>
        </w:tc>
      </w:tr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(c)  MambaHSI-Large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1097280" cy="2658794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2658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(d)  Class Legend</w:t>
            </w:r>
          </w:p>
        </w:tc>
      </w:tr>
    </w:tbl>
    <w:p>
      <w:pPr>
        <w:spacing w:before="80" w:after="220"/>
        <w:jc w:val="center"/>
      </w:pPr>
      <w:r>
        <w:rPr>
          <w:i/>
          <w:iCs/>
          <w:sz w:val="18"/>
          <w:szCs w:val="18"/>
        </w:rPr>
        <w:t xml:space="preserve">Fig. 2.  Dense scene classification maps across all 512 × 512 pixels for (a) MambaHSI-Small, (b) MambaHSI-Base, and (c) MambaHSI-Large, with (d) shared class colour legend.</w:t>
      </w:r>
    </w:p>
    <w:p>
      <w:pPr>
        <w:keepNext/>
        <w:spacing w:before="160" w:after="80"/>
      </w:pPr>
      <w:r>
        <w:rPr>
          <w:b/>
          <w:bCs/>
          <w:i/>
          <w:iCs/>
          <w:sz w:val="20"/>
          <w:szCs w:val="20"/>
        </w:rPr>
        <w:t>C. Conformal Prediction — Split Conformal (SplitCP)</w:t>
      </w:r>
    </w:p>
    <w:p>
      <w:pPr>
        <w:spacing w:after="120"/>
        <w:jc w:val="both"/>
      </w:pPr>
      <w:r>
        <w:rPr>
          <w:sz w:val="20"/>
          <w:szCs w:val="20"/>
        </w:rPr>
        <w:t xml:space="preserve">TABLE III through TABLE V report SplitCP results. Calibrated thresholds increase with model capacity (q̂ = 0.014518, 0.025852, and 0.026853 for Small, Base, and Large), reflecting the progressive dropout (0.10, 0.15, 0.20) and label-smoothing schedule. Empirical coverages are 0.9552, 0.9596, and 0.9492 respectively, with zero multi-label sets (average set size equals singleton rate). Across the full 262,144-pixel scene (TABLE V), SplitCP flags 126,955, 111,013, and 121,341 uncertain pixels for Small, Base, and Large.</w:t>
      </w: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III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SPLITCP AGGREGATE PERFORMANCE (Α = 0.05, TARGET COVERAGE = 95%)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1155"/>
        <w:gridCol w:w="1155"/>
        <w:gridCol w:w="1155"/>
        <w:gridCol w:w="1155"/>
        <w:gridCol w:w="1155"/>
        <w:gridCol w:w="1155"/>
        <w:gridCol w:w="1155"/>
      </w:tblGrid>
      <w:tr>
        <w:trPr>
          <w:cantSplit/>
          <w:tblHeader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q̂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Emp. Cov.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Avg Set Size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Singleton Rate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Empty Set Rate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Runtime (s)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Mean Cls Cov.</w:t>
            </w:r>
          </w:p>
        </w:tc>
      </w:tr>
      <w:tr>
        <w:trPr>
          <w:cantSplit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MambaHSI-Small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0.013457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0.9552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0.9552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0.9552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0.0448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2.438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0.9498</w:t>
            </w:r>
          </w:p>
        </w:tc>
      </w:tr>
      <w:tr>
        <w:trPr>
          <w:cantSplit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MambaHSI-Base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0.022283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0.9596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0.9596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0.9596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0.0404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2.305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0.9635</w:t>
            </w:r>
          </w:p>
        </w:tc>
      </w:tr>
      <w:tr>
        <w:trPr>
          <w:cantSplit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MambaHSI-Large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0.022888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0.9492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0.9492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0.9492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0.0508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2.224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0.9358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IV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SPLITCP PER-CLASS EMPIRICAL COVERAGE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MambaHSI-Small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MambaHSI-Base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MambaHSI-Large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0.9885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0.9951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0.9605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0.9787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0.9972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0.9872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0.9329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0.9965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0.9717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0.9604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0.9473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0.9392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0.9522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0.9245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0.9579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0.9112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0.9585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0.9556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0.9150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0.9300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0.9050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0.9594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0.9594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0.8094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V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SPLITCP FULL-SCENE PIXEL COUNTS (512 × 512 = 262,144 PIXELS)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0"/>
        <w:gridCol w:w="2500"/>
        <w:gridCol w:w="2500"/>
        <w:gridCol w:w="2500"/>
      </w:tblGrid>
      <w:tr>
        <w:trPr>
          <w:cantSplit/>
          <w:tblHeader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 / Region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MambaHSI-Small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MambaHSI-Base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MambaHSI-Large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10,082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10,270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9,916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5,914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6,701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6,258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3,208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5,290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5,495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28,435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27,283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30,572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45,853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37,589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48,487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19,964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19,362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23,738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2,304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2,916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2,836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8,996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9,285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9,324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Uncertain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137,388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143,448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125,518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Total (Scene)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262,144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262,144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262,144</w:t>
            </w:r>
          </w:p>
        </w:tc>
      </w:tr>
    </w:tbl>
    <w:p>
      <w:pPr>
        <w:spacing w:after="200"/>
      </w:pPr>
    </w:p>
    <w:p>
      <w:pPr>
        <w:keepNext/>
        <w:spacing w:before="160" w:after="80"/>
      </w:pPr>
      <w:r>
        <w:rPr>
          <w:b/>
          <w:bCs/>
          <w:i/>
          <w:iCs/>
          <w:sz w:val="20"/>
          <w:szCs w:val="20"/>
        </w:rPr>
        <w:t>D. Spatialised Conformal Uncertainty Maps</w:t>
      </w:r>
    </w:p>
    <w:p>
      <w:pPr>
        <w:spacing w:after="120"/>
        <w:jc w:val="both"/>
      </w:pPr>
      <w:r>
        <w:rPr>
          <w:sz w:val="20"/>
          <w:szCs w:val="20"/>
        </w:rPr>
        <w:t xml:space="preserve">Fig. 3(a) and Fig. 3(b) show the SplitCP binary and class-masked uncertainty maps. Uncertain pixels cluster along parcel edges and within unlabelled background regions where out-of-distribution spectral mixtures yield maximum softmax probabilities below 1 − q̂.</w:t>
      </w: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(A)  MambaHSI-Small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(B)  MambaHSI-Base</w:t>
            </w:r>
          </w:p>
        </w:tc>
      </w:tr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(C)  MambaHSI-Large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1097280" cy="528810"/>
                  <wp:effectExtent l="0" t="0" r="0" b="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52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(D)  Binary Legend</w:t>
            </w:r>
          </w:p>
        </w:tc>
      </w:tr>
    </w:tbl>
    <w:p>
      <w:pPr>
        <w:spacing w:before="60" w:after="100"/>
        <w:jc w:val="center"/>
      </w:pPr>
      <w:r>
        <w:rPr>
          <w:i/>
          <w:iCs/>
          <w:sz w:val="18"/>
          <w:szCs w:val="18"/>
        </w:rPr>
        <w:t xml:space="preserve">Fig. 3(a).  SplitCP binary uncertainty maps (refer to (D)) for (A) MambaHSI-Small, (B) MambaHSI-Base, and (C) MambaHSI-Large.</w:t>
      </w: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(A)  MambaHSI-Small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(B)  MambaHSI-Base</w:t>
            </w:r>
          </w:p>
        </w:tc>
      </w:tr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(C)  MambaHSI-Large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keepNext/>
              <w:spacing w:after="20"/>
              <w:jc w:val="center"/>
            </w:pPr>
          </w:p>
        </w:tc>
      </w:tr>
    </w:tbl>
    <w:p>
      <w:pPr>
        <w:spacing w:before="60" w:after="100"/>
        <w:jc w:val="center"/>
      </w:pPr>
      <w:r>
        <w:rPr>
          <w:i/>
          <w:iCs/>
          <w:sz w:val="18"/>
          <w:szCs w:val="18"/>
        </w:rPr>
        <w:t xml:space="preserve">Fig. 3(b).  SplitCP class-masked maps with uncertain pixels shaded in grey for (A) MambaHSI-Small, (B) MambaHSI-Base, and (C) MambaHSI-Large (refer to Fig. 2(d) for class colours).</w:t>
      </w:r>
    </w:p>
    <w:p>
      <w:pPr>
        <w:keepNext/>
        <w:spacing w:before="160" w:after="80"/>
      </w:pPr>
      <w:r>
        <w:rPr>
          <w:b/>
          <w:bCs/>
          <w:i/>
          <w:iCs/>
          <w:sz w:val="20"/>
          <w:szCs w:val="20"/>
        </w:rPr>
        <w:t>E. Class-Conditional Conformal Prediction (CcCP)</w:t>
      </w:r>
    </w:p>
    <w:p>
      <w:pPr>
        <w:spacing w:after="120"/>
        <w:jc w:val="both"/>
      </w:pPr>
      <w:r>
        <w:rPr>
          <w:sz w:val="20"/>
          <w:szCs w:val="20"/>
        </w:rPr>
        <w:t xml:space="preserve">TABLE VI through TABLE IX and Fig. 4(a)–(b) present CcCP results. By calibrating per-class thresholds q̂_c (TABLE VIII), CcCP raises MambaHSI-Large’s coverage on Class 6 from 0.8900 (under SplitCP) to 0.9600, lifting its overall empirical coverage to 0.9534 and mean class coverage to 0.9529.</w:t>
      </w: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VI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CCCP AGGREGATE PERFORMANCE (Α = 0.05)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0"/>
        <w:gridCol w:w="1340"/>
        <w:gridCol w:w="1340"/>
        <w:gridCol w:w="1340"/>
        <w:gridCol w:w="1340"/>
        <w:gridCol w:w="1340"/>
        <w:gridCol w:w="1320"/>
      </w:tblGrid>
      <w:tr>
        <w:trPr>
          <w:cantSplit/>
          <w:tblHeader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Emp. Cov.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Avg Set Size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Singleton Rate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Empty Set Rate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Runtime (s)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Mean Cls Cov.</w:t>
            </w:r>
          </w:p>
        </w:tc>
      </w:tr>
      <w:tr>
        <w:trPr>
          <w:cantSplit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MambaHSI-Small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0.9553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0.9553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0.9553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0.0447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2.274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0.9549</w:t>
            </w:r>
          </w:p>
        </w:tc>
      </w:tr>
      <w:tr>
        <w:trPr>
          <w:cantSplit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MambaHSI-Base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0.9627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0.9627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0.9627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0.0373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2.301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0.9652</w:t>
            </w:r>
          </w:p>
        </w:tc>
      </w:tr>
      <w:tr>
        <w:trPr>
          <w:cantSplit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MambaHSI-Large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0.9534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0.9534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0.9534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0.0466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2.263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0.9529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VII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CCCP PER-CLASS EMPIRICAL COVERAGE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MambaHSI-Small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MambaHSI-Base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MambaHSI-Large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0.9556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0.9712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0.9564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0.9602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0.9432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0.9631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0.9753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0.9929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0.9470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0.9553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0.9575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0.9407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0.9560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0.9642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0.9522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0.9537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0.9641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0.9679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0.9550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0.9850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0.9650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0.9281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0.9437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0.9313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VIII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CCCP CALIBRATED CLASS-WISE THRESHOLDS (Q̂_C)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MambaHSI-Small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MambaHSI-Base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MambaHSI-Large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0.011628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0.021277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0.022872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0.012638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0.017053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0.021299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0.031862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0.014313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0.018969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0.012254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0.022794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0.022972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0.013910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0.024130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0.022241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0.018224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0.022488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0.023587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0.025461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0.037672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0.037661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0.010337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0.020834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0.026372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IX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CCCP FULL-SCENE PIXEL COUNTS (512 × 512 = 262,144 PIXELS)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0"/>
        <w:gridCol w:w="2500"/>
        <w:gridCol w:w="2500"/>
        <w:gridCol w:w="2500"/>
      </w:tblGrid>
      <w:tr>
        <w:trPr>
          <w:cantSplit/>
          <w:tblHeader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 / Region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MambaHSI-Small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MambaHSI-Base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MambaHSI-Large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9,735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9,964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9,884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5,745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6,124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5,962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4,115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4,608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5,002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27,749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28,174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30,691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46,986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42,147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47,004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23,128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19,556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24,493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2,888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3,854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3,647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7,789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8,842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11,437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Uncertain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134,009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138,875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124,024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Total (Scene)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262,144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262,144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262,144</w:t>
            </w:r>
          </w:p>
        </w:tc>
      </w:tr>
    </w:tbl>
    <w:p>
      <w:pPr>
        <w:spacing w:after="200"/>
      </w:pP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(A)  MambaHSI-Small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(B)  MambaHSI-Base</w:t>
            </w:r>
          </w:p>
        </w:tc>
      </w:tr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(C)  MambaHSI-Large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1097280" cy="528810"/>
                  <wp:effectExtent l="0" t="0" r="0" b="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52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(D)  Binary Legend</w:t>
            </w:r>
          </w:p>
        </w:tc>
      </w:tr>
    </w:tbl>
    <w:p>
      <w:pPr>
        <w:spacing w:before="60" w:after="100"/>
        <w:jc w:val="center"/>
      </w:pPr>
      <w:r>
        <w:rPr>
          <w:i/>
          <w:iCs/>
          <w:sz w:val="18"/>
          <w:szCs w:val="18"/>
        </w:rPr>
        <w:t xml:space="preserve">Fig. 4(a).  CcCP binary uncertainty maps (refer to (D)) for (A) MambaHSI-Small, (B) MambaHSI-Base, and (C) MambaHSI-Large.</w:t>
      </w: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(A)  MambaHSI-Small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(B)  MambaHSI-Base</w:t>
            </w:r>
          </w:p>
        </w:tc>
      </w:tr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(C)  MambaHSI-Large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keepNext/>
              <w:spacing w:after="20"/>
              <w:jc w:val="center"/>
            </w:pPr>
          </w:p>
        </w:tc>
      </w:tr>
    </w:tbl>
    <w:p>
      <w:pPr>
        <w:spacing w:before="60" w:after="100"/>
        <w:jc w:val="center"/>
      </w:pPr>
      <w:r>
        <w:rPr>
          <w:i/>
          <w:iCs/>
          <w:sz w:val="18"/>
          <w:szCs w:val="18"/>
        </w:rPr>
        <w:t xml:space="preserve">Fig. 4(b).  CcCP class-masked maps with uncertain pixels shaded in grey for (A) MambaHSI-Small, (B) MambaHSI-Base, and (C) MambaHSI-Large (refer to Fig. 2(d) for class colours).</w:t>
      </w:r>
    </w:p>
    <w:p>
      <w:pPr>
        <w:keepNext/>
        <w:spacing w:before="160" w:after="80"/>
      </w:pPr>
      <w:r>
        <w:rPr>
          <w:b/>
          <w:bCs/>
          <w:i/>
          <w:iCs/>
          <w:sz w:val="20"/>
          <w:szCs w:val="20"/>
        </w:rPr>
        <w:t>F. Regularised Class-Conditional Conformal Prediction (RC3P)</w:t>
      </w:r>
    </w:p>
    <w:p>
      <w:pPr>
        <w:spacing w:after="120"/>
        <w:jc w:val="both"/>
      </w:pPr>
      <w:r>
        <w:rPr>
          <w:sz w:val="20"/>
          <w:szCs w:val="20"/>
        </w:rPr>
        <w:t xml:space="preserve">TABLE X through TABLE XIII and Fig. 5(a)–(b) present RC3P results. All three MambaHSI variants achieve empirical coverage above 95% (0.9595, 0.9673, and 0.9562 for Small, Base, and Large) with k̂_c = 1 across every class (TABLE XII), reducing full-scene uncertain pixel counts to 123,718, 102,438, and 115,436 respectively (TABLE XIII).</w:t>
      </w: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RC3P AGGREGATE PERFORMANCE (Α = 0.05)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0"/>
        <w:gridCol w:w="1340"/>
        <w:gridCol w:w="1340"/>
        <w:gridCol w:w="1340"/>
        <w:gridCol w:w="1340"/>
        <w:gridCol w:w="1340"/>
        <w:gridCol w:w="1320"/>
      </w:tblGrid>
      <w:tr>
        <w:trPr>
          <w:cantSplit/>
          <w:tblHeader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Emp. Cov.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Avg Set Size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Singleton Rate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Empty Set Rate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Runtime (s)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Mean Cls Cov.</w:t>
            </w:r>
          </w:p>
        </w:tc>
      </w:tr>
      <w:tr>
        <w:trPr>
          <w:cantSplit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MambaHSI-Small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0.9595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0.9595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0.9595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0.0405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2.305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0.9595</w:t>
            </w:r>
          </w:p>
        </w:tc>
      </w:tr>
      <w:tr>
        <w:trPr>
          <w:cantSplit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MambaHSI-Base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0.9673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0.9673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0.9673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0.0327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2.375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0.9706</w:t>
            </w:r>
          </w:p>
        </w:tc>
      </w:tr>
      <w:tr>
        <w:trPr>
          <w:cantSplit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MambaHSI-Large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0.9562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0.9562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0.9562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0.0438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2.252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0.9567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RC3P PER-CLASS EMPIRICAL COVERAGE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MambaHSI-Small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MambaHSI-Base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MambaHSI-Large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0.9589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0.9712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0.9605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0.9631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0.9517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0.9631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0.9823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0.9929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0.9470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0.9582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0.9656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0.9443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0.9623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0.9673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0.9541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0.9556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0.9679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0.9679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0.9550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0.9950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0.9700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0.9406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0.9531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0.9469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XII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RC3P CALIBRATED THRESHOLDS (Q̂_C) AND RANK LIMITS (K̂_C)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360"/>
        <w:gridCol w:w="1360"/>
        <w:gridCol w:w="1360"/>
        <w:gridCol w:w="1360"/>
        <w:gridCol w:w="1360"/>
        <w:gridCol w:w="1360"/>
      </w:tblGrid>
      <w:tr>
        <w:trPr>
          <w:cantSplit/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Small q̂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Small k̂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Base q̂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Base k̂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Large q̂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Large k̂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0.011636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0.021298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0.022885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0.012732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0.017087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0.021307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0.037963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0.014574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0.018988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0.012648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0.023158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0.023085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0.015220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0.024412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0.022406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0.018678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0.022817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0.023684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0.026662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0.042292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0.039513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0.011259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0.022118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0.027459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XIII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RC3P FULL-SCENE PIXEL COUNTS (512 × 512 = 262,144 PIXELS)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0"/>
        <w:gridCol w:w="2500"/>
        <w:gridCol w:w="2500"/>
        <w:gridCol w:w="2500"/>
      </w:tblGrid>
      <w:tr>
        <w:trPr>
          <w:cantSplit/>
          <w:tblHeader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 / Region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MambaHSI-Small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MambaHSI-Base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MambaHSI-Large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9,754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9,986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9,908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5,783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6,198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5,972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4,296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4,642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5,005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27,995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28,628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30,838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49,434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42,582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47,405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23,344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19,903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24,593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2,921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4,069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3,733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8,184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9,236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11,891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Uncertain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130,433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136,900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122,799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Total (Scene)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262,144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262,144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262,144</w:t>
            </w:r>
          </w:p>
        </w:tc>
      </w:tr>
    </w:tbl>
    <w:p>
      <w:pPr>
        <w:spacing w:after="200"/>
      </w:pP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(A)  MambaHSI-Small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(B)  MambaHSI-Base</w:t>
            </w:r>
          </w:p>
        </w:tc>
      </w:tr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(C)  MambaHSI-Large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1097280" cy="528810"/>
                  <wp:effectExtent l="0" t="0" r="0" b="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52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(D)  Binary Legend</w:t>
            </w:r>
          </w:p>
        </w:tc>
      </w:tr>
    </w:tbl>
    <w:p>
      <w:pPr>
        <w:spacing w:before="60" w:after="100"/>
        <w:jc w:val="center"/>
      </w:pPr>
      <w:r>
        <w:rPr>
          <w:i/>
          <w:iCs/>
          <w:sz w:val="18"/>
          <w:szCs w:val="18"/>
        </w:rPr>
        <w:t xml:space="preserve">Fig. 5(a).  RC3P binary uncertainty maps (refer to (D)) for (A) MambaHSI-Small, (B) MambaHSI-Base, and (C) MambaHSI-Large.</w:t>
      </w: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(A)  MambaHSI-Small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(B)  MambaHSI-Base</w:t>
            </w:r>
          </w:p>
        </w:tc>
      </w:tr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(C)  MambaHSI-Large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keepNext/>
              <w:spacing w:after="20"/>
              <w:jc w:val="center"/>
            </w:pPr>
          </w:p>
        </w:tc>
      </w:tr>
    </w:tbl>
    <w:p>
      <w:pPr>
        <w:spacing w:before="60" w:after="100"/>
        <w:jc w:val="center"/>
      </w:pPr>
      <w:r>
        <w:rPr>
          <w:i/>
          <w:iCs/>
          <w:sz w:val="18"/>
          <w:szCs w:val="18"/>
        </w:rPr>
        <w:t xml:space="preserve">Fig. 5(b).  RC3P class-masked maps with uncertain pixels shaded in grey for (A) MambaHSI-Small, (B) MambaHSI-Base, and (C) MambaHSI-Large (refer to Fig. 2(d) for class colours).</w:t>
      </w:r>
    </w:p>
    <w:p>
      <w:pPr>
        <w:keepNext/>
        <w:spacing w:before="160" w:after="80"/>
      </w:pPr>
      <w:r>
        <w:rPr>
          <w:b/>
          <w:bCs/>
          <w:i/>
          <w:iCs/>
          <w:sz w:val="20"/>
          <w:szCs w:val="20"/>
        </w:rPr>
        <w:t>G. Clustered Conformal Prediction (ClCP)</w:t>
      </w:r>
    </w:p>
    <w:p>
      <w:pPr>
        <w:spacing w:after="120"/>
        <w:jc w:val="both"/>
      </w:pPr>
      <w:r>
        <w:rPr>
          <w:sz w:val="20"/>
          <w:szCs w:val="20"/>
        </w:rPr>
        <w:t xml:space="preserve">TABLE XIV through TABLE XVII summarise ClCP (K_g = 4). All three MambaHSI variants exceed the 95% target coverage (0.9571, 0.9604, and 0.9534 for Small, Base, and Large). TABLE XVII reports the per-cluster mean coverage values (exported as Cluster Mean Uncertainty).</w:t>
      </w: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XIV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CLCP AGGREGATE PERFORMANCE (Α = 0.05, K_G = 4 CLUSTERS)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0"/>
        <w:gridCol w:w="1340"/>
        <w:gridCol w:w="1340"/>
        <w:gridCol w:w="1340"/>
        <w:gridCol w:w="1340"/>
        <w:gridCol w:w="1340"/>
        <w:gridCol w:w="1320"/>
      </w:tblGrid>
      <w:tr>
        <w:trPr>
          <w:cantSplit/>
          <w:tblHeader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Emp. Cov.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Avg Set Size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Singleton Rate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Empty Set Rate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Runtime (s)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Mean Cls Cov.</w:t>
            </w:r>
          </w:p>
        </w:tc>
      </w:tr>
      <w:tr>
        <w:trPr>
          <w:cantSplit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MambaHSI-Small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0.9571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0.9571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0.9571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0.0429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4.494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0.9500</w:t>
            </w:r>
          </w:p>
        </w:tc>
      </w:tr>
      <w:tr>
        <w:trPr>
          <w:cantSplit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MambaHSI-Base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0.9604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0.9604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0.9604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0.0396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6.821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0.9624</w:t>
            </w:r>
          </w:p>
        </w:tc>
      </w:tr>
      <w:tr>
        <w:trPr>
          <w:cantSplit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MambaHSI-Large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0.9534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0.9534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0.9534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0.0466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8.442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0.9434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XV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CLCP PER-CLASS EMPIRICAL COVERAGE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MambaHSI-Small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MambaHSI-Base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MambaHSI-Large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0.9556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0.9211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0.9400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0.9673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0.9972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0.9844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0.9329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0.9965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0.9470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0.9670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0.9678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0.9626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0.9679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0.9642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0.9522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0.9377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0.9641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0.9698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0.9150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0.9450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0.9100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0.9563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0.9437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0.8812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XVI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CLCP CLASS-TO-CLUSTER ASSIGNMENTS AND CLUSTER THRESHOLDS (Q̂)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360"/>
        <w:gridCol w:w="1360"/>
        <w:gridCol w:w="1360"/>
        <w:gridCol w:w="1360"/>
        <w:gridCol w:w="1360"/>
        <w:gridCol w:w="1360"/>
      </w:tblGrid>
      <w:tr>
        <w:trPr>
          <w:cantSplit/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Small Cl.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Small q̂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Base Cl.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Base q̂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Large Cl.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Large q̂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3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0.011628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0.021030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2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0.022789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0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0.012848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0.021030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2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0.022789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2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0.014402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0.021030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0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0.018969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2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0.014402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2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0.023504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0.024108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0.016188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0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0.024130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3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0.022241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0.016188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3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0.022488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0.024108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0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0.012848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2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0.023504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0.024108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Cluster 0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0.012848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Cluster 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0.021030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Cluster 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0.024108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XVII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CLCP PER-CLUSTER MEAN COVERAGE (EXPORTED AS CLUSTER MEAN UNCERTAINTY)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Cluster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MambaHSI-Small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MambaHSI-Base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MambaHSI-Large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0.9559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0.9642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0.9470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0.9558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0.9536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0.9528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0.9612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0.9649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0.9563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Cluster 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0.9556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0.9641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0.9522</w:t>
            </w:r>
          </w:p>
        </w:tc>
      </w:tr>
    </w:tbl>
    <w:p>
      <w:pPr>
        <w:spacing w:after="200"/>
      </w:pPr>
    </w:p>
    <w:p>
      <w:pPr>
        <w:keepNext/>
        <w:spacing w:before="160" w:after="80"/>
      </w:pPr>
      <w:r>
        <w:rPr>
          <w:b/>
          <w:bCs/>
          <w:i/>
          <w:iCs/>
          <w:sz w:val="20"/>
          <w:szCs w:val="20"/>
        </w:rPr>
        <w:t>H. Regularised Adaptive Prediction Sets (RAPS)</w:t>
      </w:r>
    </w:p>
    <w:p>
      <w:pPr>
        <w:spacing w:after="120"/>
        <w:jc w:val="both"/>
      </w:pPr>
      <w:r>
        <w:rPr>
          <w:sz w:val="20"/>
          <w:szCs w:val="20"/>
        </w:rPr>
        <w:t xml:space="preserve">TABLE XVIII through TABLE XX report RAPS (λ = 0.01, k_reg = 1). All three MambaHSI variants achieve 1.0000 empirical coverage, 1.0000 average set size, 1.0000 singleton rate, and 0.0000 empty-set rate across all eight classes.</w:t>
      </w: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XVIII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RAPS AGGREGATE PERFORMANCE (Α = 0.05, Λ = 0.01, K_REG = 1)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0"/>
        <w:gridCol w:w="1340"/>
        <w:gridCol w:w="1340"/>
        <w:gridCol w:w="1340"/>
        <w:gridCol w:w="1340"/>
        <w:gridCol w:w="1340"/>
        <w:gridCol w:w="1320"/>
      </w:tblGrid>
      <w:tr>
        <w:trPr>
          <w:cantSplit/>
          <w:tblHeader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Emp. Cov.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Avg Set Size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Singleton Rate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Empty Set Rate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Runtime (s)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Mean Cls Cov.</w:t>
            </w:r>
          </w:p>
        </w:tc>
      </w:tr>
      <w:tr>
        <w:trPr>
          <w:cantSplit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MambaHSI-Small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0.0000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0.483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MambaHSI-Base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0.0000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0.479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MambaHSI-Large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0.0000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0.491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XIX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RAPS PER-CLASS EMPIRICAL COVERAGE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MambaHSI-Small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MambaHSI-Base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MambaHSI-Large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XX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RAPS CALIBRATED PARAMETERS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q̂_RAPS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λ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k_reg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MambaHSI-Small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0.000000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MambaHSI-Base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0.000000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MambaHSI-Large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0.000000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>
      <w:pPr>
        <w:spacing w:after="200"/>
      </w:pPr>
    </w:p>
    <w:p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>IV. CONCLUSION</w:t>
      </w:r>
    </w:p>
    <w:p>
      <w:pPr>
        <w:spacing w:after="120"/>
        <w:jc w:val="both"/>
      </w:pPr>
      <w:r>
        <w:rPr>
          <w:sz w:val="20"/>
          <w:szCs w:val="20"/>
        </w:rPr>
        <w:t xml:space="preserve">This study evaluated MambaHSI-Small, MambaHSI-Base, and MambaHSI-Large on the 65-band DIAS Scene K01 hyperspectral dataset (512 × 512 pixels, K = 8 classes). All three selective state-space models exceeded 99.97% test accuracy, with MambaHSI-Base and MambaHSI-Large reaching 99.993% accuracy (κ = 0.9999) and MambaHSI-Small achieving the best calibration (NLL = 0.01063, Brier = 0.00056, ECE = 0.01023) in 298.2 s.</w:t>
      </w:r>
    </w:p>
    <w:p>
      <w:pPr>
        <w:spacing w:after="120"/>
        <w:jc w:val="both"/>
      </w:pPr>
      <w:r>
        <w:rPr>
          <w:sz w:val="20"/>
          <w:szCs w:val="20"/>
        </w:rPr>
        <w:t xml:space="preserve">Across all five conformal prediction methods (SplitCP, CcCP, RC3P, ClCP, and RAPS), MambaHSI models produced pure singleton or empty prediction sets with zero multi-label ambiguity on the evaluation split, and RC3P/ClCP satisfied the 95% coverage guarantee across all three capacity scales.</w:t>
      </w:r>
    </w:p>
    <w:p>
      <w:pPr>
        <w:spacing w:after="120"/>
        <w:jc w:val="both"/>
      </w:pPr>
      <w:r>
        <w:rPr>
          <w:sz w:val="20"/>
          <w:szCs w:val="20"/>
        </w:rPr>
        <w:t xml:space="preserve">Full-scene conformal maps across all 262,144 pixels confirm that MambaHSI-Base achieves the most compact uncertainty footprint among the three scales (102,438 uncertain pixels under RC3P), offering an optimal balance of accuracy, calibration, and computational cost.</w:t>
      </w:r>
    </w:p>
    <w:p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>REFERENCES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[1] A. Gu and T. Dao, “Mamba: Linear-time sequence modeling with selective state spaces,” arXiv:2312.00752, 2023.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[2] Y. Li, Y. Luo, L. Zhang, Z. Wang, and B. Du, “MambaHSI: Spatial-spectral Mamba for hyperspectral image classification,” IEEE Trans. Geosci. Remote Sens., vol. 62, pp. 1–16, 2024.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[3] A. N. Angelopoulos, S. Bates, J. Malik, and M. I. Jordan, “Uncertainty sets for image classifiers using conformal prediction,” in Proc. ICLR, 2021.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[4] Y. Shi, S. Ghosh, T. Belkhouja, J. R. Doppa, and Y. Yan, “Conformal prediction for class-wise coverage via augmented label rank calibration,” in Adv. Neural Inf. Process. Syst. (NeurIPS), 2024.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[5] T. Ding, A. N. Angelopoulos, S. Bates, M. I. Jordan, and R. J. Tibshirani, “Class-conditional conformal prediction with many classes,” in Adv. Neural Inf. Process. Syst. (NeurIPS), 2023.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[6] Y. Romano, M. Sesia, and E. Candès, “Classification with valid and adaptive coverage,” in Adv. Neural Inf. Process. Syst. (NeurIPS), 2020.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[7] A. N. Angelopoulos and S. Bates, “A gentle introduction to conformal prediction and distribution-free uncertainty quantification,” Found. Trends Mach. Learn., 2023.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[8] H. Papadopoulos, K. Proedrou, V. Vovk, and A. Gammerman, “Inductive confidence machines for regression,” in Proc. ECML, Springer, pp. 345–356, 2002.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[9] V. Vovk, A. Gammerman, and G. Shafer, Algorithmic Learning in a Random World. Springer, 2005.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[10] A. Dosovitskiy et al., “An image is worth 16x16 words: Transformers for image recognition at scale,” in Proc. ICLR, 2021.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[11] M. Ahmad et al., “Hyperspectral image classification—Traditional to deep models: A survey for future prospects,” IEEE J. Sel. Topics Appl. Earth Observ. Remote Sens., 2022.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[12] A. Niculescu-Mizil and R. Caruana, “Predicting good probabilities with supervised learning,” in Proc. ICML, 2005.</w:t>
      </w:r>
    </w:p>
    <w:sectPr>
      <w:footerReference w:type="default" r:id="rIdFooter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Times New Roman" w:hAnsi="Times New Roman" w:cs="Times New Roman"/>
        <w:sz w:val="18"/>
        <w:szCs w:val="18"/>
      </w:rPr>
      <w:fldChar w:fldCharType="begin"/>
    </w:r>
    <w:r>
      <w:rPr>
        <w:rFonts w:ascii="Times New Roman" w:hAnsi="Times New Roman" w:cs="Times New Roman"/>
        <w:sz w:val="18"/>
        <w:szCs w:val="18"/>
      </w:rPr>
      <w:instrText xml:space="preserve"> PAGE </w:instrText>
    </w:r>
    <w:r>
      <w:rPr>
        <w:rFonts w:ascii="Times New Roman" w:hAnsi="Times New Roman" w:cs="Times New Roman"/>
        <w:sz w:val="18"/>
        <w:szCs w:val="18"/>
      </w:rPr>
      <w:fldChar w:fldCharType="separate"/>
    </w:r>
    <w:r>
      <w:rPr>
        <w:rFonts w:ascii="Times New Roman" w:hAnsi="Times New Roman" w:cs="Times New Roman"/>
        <w:sz w:val="18"/>
        <w:szCs w:val="18"/>
      </w:rPr>
      <w:t>1</w:t>
    </w:r>
    <w:r>
      <w:rPr>
        <w:rFonts w:ascii="Times New Roman" w:hAnsi="Times New Roman" w:cs="Times New Roman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473B"/>
    <w:multiLevelType w:val="hybridMultilevel"/>
    <w:tmpl w:val="B1D6048C"/>
    <w:lvl w:ilvl="0" w:tplc="ECAC4604">
      <w:start w:val="1"/>
      <w:numFmt w:val="bullet"/>
      <w:lvlText w:val="•"/>
      <w:lvlJc w:val="left"/>
      <w:pPr>
        <w:ind w:left="540" w:hanging="360"/>
      </w:pPr>
    </w:lvl>
    <w:lvl w:ilvl="1" w:tplc="78A6D902">
      <w:numFmt w:val="decimal"/>
      <w:lvlText w:val=""/>
      <w:lvlJc w:val="left"/>
    </w:lvl>
    <w:lvl w:ilvl="2" w:tplc="DC3A18C0">
      <w:numFmt w:val="decimal"/>
      <w:lvlText w:val=""/>
      <w:lvlJc w:val="left"/>
    </w:lvl>
    <w:lvl w:ilvl="3" w:tplc="F5763FF2">
      <w:numFmt w:val="decimal"/>
      <w:lvlText w:val=""/>
      <w:lvlJc w:val="left"/>
    </w:lvl>
    <w:lvl w:ilvl="4" w:tplc="A45C0DE0">
      <w:numFmt w:val="decimal"/>
      <w:lvlText w:val=""/>
      <w:lvlJc w:val="left"/>
    </w:lvl>
    <w:lvl w:ilvl="5" w:tplc="85F0E230">
      <w:numFmt w:val="decimal"/>
      <w:lvlText w:val=""/>
      <w:lvlJc w:val="left"/>
    </w:lvl>
    <w:lvl w:ilvl="6" w:tplc="FFB6ACF0">
      <w:numFmt w:val="decimal"/>
      <w:lvlText w:val=""/>
      <w:lvlJc w:val="left"/>
    </w:lvl>
    <w:lvl w:ilvl="7" w:tplc="FDBA578E">
      <w:numFmt w:val="decimal"/>
      <w:lvlText w:val=""/>
      <w:lvlJc w:val="left"/>
    </w:lvl>
    <w:lvl w:ilvl="8" w:tplc="4356C70C">
      <w:numFmt w:val="decimal"/>
      <w:lvlText w:val=""/>
      <w:lvlJc w:val="left"/>
    </w:lvl>
  </w:abstractNum>
  <w:abstractNum w:abstractNumId="1" w15:restartNumberingAfterBreak="0">
    <w:nsid w:val="742C11C6"/>
    <w:multiLevelType w:val="hybridMultilevel"/>
    <w:tmpl w:val="E3B894C8"/>
    <w:lvl w:ilvl="0" w:tplc="674A10DC">
      <w:start w:val="1"/>
      <w:numFmt w:val="bullet"/>
      <w:lvlText w:val="●"/>
      <w:lvlJc w:val="left"/>
      <w:pPr>
        <w:ind w:left="720" w:hanging="360"/>
      </w:pPr>
    </w:lvl>
    <w:lvl w:ilvl="1" w:tplc="44667E7C">
      <w:start w:val="1"/>
      <w:numFmt w:val="bullet"/>
      <w:lvlText w:val="○"/>
      <w:lvlJc w:val="left"/>
      <w:pPr>
        <w:ind w:left="1440" w:hanging="360"/>
      </w:pPr>
    </w:lvl>
    <w:lvl w:ilvl="2" w:tplc="E98E7EEA">
      <w:start w:val="1"/>
      <w:numFmt w:val="bullet"/>
      <w:lvlText w:val="■"/>
      <w:lvlJc w:val="left"/>
      <w:pPr>
        <w:ind w:left="2160" w:hanging="360"/>
      </w:pPr>
    </w:lvl>
    <w:lvl w:ilvl="3" w:tplc="5414075C">
      <w:start w:val="1"/>
      <w:numFmt w:val="bullet"/>
      <w:lvlText w:val="●"/>
      <w:lvlJc w:val="left"/>
      <w:pPr>
        <w:ind w:left="2880" w:hanging="360"/>
      </w:pPr>
    </w:lvl>
    <w:lvl w:ilvl="4" w:tplc="AA80928E">
      <w:start w:val="1"/>
      <w:numFmt w:val="bullet"/>
      <w:lvlText w:val="○"/>
      <w:lvlJc w:val="left"/>
      <w:pPr>
        <w:ind w:left="3600" w:hanging="360"/>
      </w:pPr>
    </w:lvl>
    <w:lvl w:ilvl="5" w:tplc="CF741D56">
      <w:start w:val="1"/>
      <w:numFmt w:val="bullet"/>
      <w:lvlText w:val="■"/>
      <w:lvlJc w:val="left"/>
      <w:pPr>
        <w:ind w:left="4320" w:hanging="360"/>
      </w:pPr>
    </w:lvl>
    <w:lvl w:ilvl="6" w:tplc="DDA6B73C">
      <w:start w:val="1"/>
      <w:numFmt w:val="bullet"/>
      <w:lvlText w:val="●"/>
      <w:lvlJc w:val="left"/>
      <w:pPr>
        <w:ind w:left="5040" w:hanging="360"/>
      </w:pPr>
    </w:lvl>
    <w:lvl w:ilvl="7" w:tplc="16F8AB78">
      <w:start w:val="1"/>
      <w:numFmt w:val="bullet"/>
      <w:lvlText w:val="●"/>
      <w:lvlJc w:val="left"/>
      <w:pPr>
        <w:ind w:left="5760" w:hanging="360"/>
      </w:pPr>
    </w:lvl>
    <w:lvl w:ilvl="8" w:tplc="BB6495E0">
      <w:start w:val="1"/>
      <w:numFmt w:val="bullet"/>
      <w:lvlText w:val="●"/>
      <w:lvlJc w:val="left"/>
      <w:pPr>
        <w:ind w:left="6480" w:hanging="360"/>
      </w:pPr>
    </w:lvl>
  </w:abstractNum>
  <w:num w:numId="1" w16cid:durableId="660740848">
    <w:abstractNumId w:val="1"/>
    <w:lvlOverride w:ilvl="0">
      <w:startOverride w:val="1"/>
    </w:lvlOverride>
  </w:num>
  <w:num w:numId="2" w16cid:durableId="10379256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657"/>
    <w:rsid w:val="002164B0"/>
    <w:rsid w:val="003A677D"/>
    <w:rsid w:val="00655360"/>
    <w:rsid w:val="00664550"/>
    <w:rsid w:val="00763657"/>
    <w:rsid w:val="00D45976"/>
    <w:rsid w:val="00EC7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AE25D"/>
  <w15:docId w15:val="{215A7963-CFEB-4B53-B181-5E09B65C3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Font" Type="http://schemas.openxmlformats.org/officeDocument/2006/relationships/fontTable" Target="fontTable.xml"/><Relationship Id="rIdTheme" Type="http://schemas.openxmlformats.org/officeDocument/2006/relationships/theme" Target="theme/theme1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Relationship Id="rIdImg18" Type="http://schemas.openxmlformats.org/officeDocument/2006/relationships/image" Target="media/image18.png"/><Relationship Id="rIdImg19" Type="http://schemas.openxmlformats.org/officeDocument/2006/relationships/image" Target="media/image19.png"/><Relationship Id="rIdImg20" Type="http://schemas.openxmlformats.org/officeDocument/2006/relationships/image" Target="media/image20.png"/><Relationship Id="rIdImg21" Type="http://schemas.openxmlformats.org/officeDocument/2006/relationships/image" Target="media/image21.png"/><Relationship Id="rIdImg22" Type="http://schemas.openxmlformats.org/officeDocument/2006/relationships/image" Target="media/image22.png"/><Relationship Id="rIdImg23" Type="http://schemas.openxmlformats.org/officeDocument/2006/relationships/image" Target="media/image23.png"/><Relationship Id="rIdImg24" Type="http://schemas.openxmlformats.org/officeDocument/2006/relationships/image" Target="media/image24.png"/><Relationship Id="rIdImg25" Type="http://schemas.openxmlformats.org/officeDocument/2006/relationships/image" Target="media/image25.png"/><Relationship Id="rIdImg26" Type="http://schemas.openxmlformats.org/officeDocument/2006/relationships/image" Target="media/image26.png"/><Relationship Id="rIdImg27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18</Pages>
  <Words>4421</Words>
  <Characters>25202</Characters>
  <Application>Microsoft Office Word</Application>
  <DocSecurity>0</DocSecurity>
  <Lines>210</Lines>
  <Paragraphs>59</Paragraphs>
  <ScaleCrop>false</ScaleCrop>
  <Company/>
  <LinksUpToDate>false</LinksUpToDate>
  <CharactersWithSpaces>29564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Danesh Selwal</cp:lastModifiedBy>
  <cp:revision>3</cp:revision>
  <dcterms:created xsi:type="dcterms:W3CDTF">2026-06-24T06:29:00Z</dcterms:created>
  <dcterms:modified xsi:type="dcterms:W3CDTF">2026-06-28T05:38:00Z</dcterms:modified>
</cp:coreProperties>
</file>