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015A" w14:textId="5D18BC97" w:rsidR="00DB1BEC" w:rsidRPr="00E4766B" w:rsidRDefault="00DB1BEC" w:rsidP="00DB1BEC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i/>
          <w:iCs/>
          <w:color w:val="231F20"/>
          <w:kern w:val="0"/>
          <w:sz w:val="24"/>
          <w:szCs w:val="24"/>
        </w:rPr>
      </w:pPr>
      <w:r w:rsidRPr="00E4766B">
        <w:rPr>
          <w:rFonts w:ascii="TradeGothic-BoldTwo" w:hAnsi="TradeGothic-BoldTwo" w:cs="TradeGothic-BoldTwo"/>
          <w:b/>
          <w:bCs/>
          <w:i/>
          <w:iCs/>
          <w:color w:val="231F20"/>
          <w:kern w:val="0"/>
          <w:sz w:val="24"/>
          <w:szCs w:val="24"/>
        </w:rPr>
        <w:t>Main source used for taking this note: Essential Biochemistry - Charlotte Pratt &amp; Kathleen Cornely</w:t>
      </w:r>
    </w:p>
    <w:p w14:paraId="184D31E4" w14:textId="0DDE8DF2" w:rsidR="005E71E3" w:rsidRDefault="006F494F" w:rsidP="00E4766B">
      <w:pPr>
        <w:spacing w:after="0"/>
      </w:pPr>
      <w:r w:rsidRPr="00FE00E3">
        <w:rPr>
          <w:rFonts w:ascii="AGaramond-Regular" w:hAnsi="AGaramond-Regular" w:cs="AGaramond-Regular"/>
          <w:color w:val="231F20"/>
          <w:kern w:val="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731DFE5A" wp14:editId="6AACC6AE">
            <wp:simplePos x="0" y="0"/>
            <wp:positionH relativeFrom="margin">
              <wp:posOffset>2040890</wp:posOffset>
            </wp:positionH>
            <wp:positionV relativeFrom="paragraph">
              <wp:posOffset>132242</wp:posOffset>
            </wp:positionV>
            <wp:extent cx="4805680" cy="8160385"/>
            <wp:effectExtent l="0" t="0" r="0" b="0"/>
            <wp:wrapSquare wrapText="bothSides"/>
            <wp:docPr id="1780993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93210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3"/>
                    <a:stretch/>
                  </pic:blipFill>
                  <pic:spPr bwMode="auto">
                    <a:xfrm>
                      <a:off x="0" y="0"/>
                      <a:ext cx="4805680" cy="816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A5C7E" w14:textId="2C3F2797" w:rsidR="003713F0" w:rsidRPr="003713F0" w:rsidRDefault="003713F0" w:rsidP="00E4766B">
      <w:pPr>
        <w:spacing w:after="0"/>
        <w:rPr>
          <w:b/>
          <w:bCs/>
          <w:sz w:val="28"/>
          <w:szCs w:val="28"/>
        </w:rPr>
      </w:pPr>
      <w:r w:rsidRPr="003713F0">
        <w:rPr>
          <w:b/>
          <w:bCs/>
          <w:sz w:val="28"/>
          <w:szCs w:val="28"/>
        </w:rPr>
        <w:t>Glycolysis</w:t>
      </w:r>
    </w:p>
    <w:p w14:paraId="6D5D0526" w14:textId="5E91B4DD" w:rsidR="00987045" w:rsidRDefault="008D4952" w:rsidP="00987045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BE06ED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G</w:t>
      </w:r>
      <w:r w:rsidRPr="00BE06ED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lucose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is stored in polymeric form as starch in plants and as glycogen</w:t>
      </w:r>
      <w:r w:rsidR="00E6786D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(</w:t>
      </w:r>
      <w:r w:rsidR="00E6786D" w:rsidRPr="00E6786D">
        <w:rPr>
          <w:rFonts w:ascii="AGaramond-Regular" w:hAnsi="AGaramond-Regular" w:cs="AGaramond-Regular"/>
          <w:color w:val="231F20"/>
          <w:kern w:val="0"/>
          <w:sz w:val="21"/>
          <w:szCs w:val="21"/>
        </w:rPr>
        <w:t>a multibranched polysaccharide</w:t>
      </w:r>
      <w:r w:rsidR="00E6786D">
        <w:rPr>
          <w:rFonts w:ascii="AGaramond-Regular" w:hAnsi="AGaramond-Regular" w:cs="AGaramond-Regular"/>
          <w:color w:val="231F20"/>
          <w:kern w:val="0"/>
          <w:sz w:val="21"/>
          <w:szCs w:val="21"/>
        </w:rPr>
        <w:t>)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in animals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.</w:t>
      </w:r>
      <w:r w:rsidR="00DB53C3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 w:rsidR="00DB53C3">
        <w:rPr>
          <w:rFonts w:ascii="AGaramond-Regular" w:hAnsi="AGaramond-Regular" w:cs="AGaramond-Regular"/>
          <w:color w:val="231F20"/>
          <w:kern w:val="0"/>
          <w:sz w:val="21"/>
          <w:szCs w:val="21"/>
        </w:rPr>
        <w:t>The breakdown of these polymers provides glucose</w:t>
      </w:r>
      <w:r w:rsidR="00DB53C3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 w:rsidR="00DB53C3">
        <w:rPr>
          <w:rFonts w:ascii="AGaramond-Regular" w:hAnsi="AGaramond-Regular" w:cs="AGaramond-Regular"/>
          <w:color w:val="231F20"/>
          <w:kern w:val="0"/>
          <w:sz w:val="21"/>
          <w:szCs w:val="21"/>
        </w:rPr>
        <w:t>monomers that can be catabolized to release energy. The conversion of</w:t>
      </w:r>
      <w:r w:rsidR="00BF43BE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 w:rsidR="00DB53C3">
        <w:rPr>
          <w:rFonts w:ascii="AGaramond-Regular" w:hAnsi="AGaramond-Regular" w:cs="AGaramond-Regular"/>
          <w:color w:val="231F20"/>
          <w:kern w:val="0"/>
          <w:sz w:val="21"/>
          <w:szCs w:val="21"/>
        </w:rPr>
        <w:t>the six-carbon glucose to the three-carbon pyruvate, a pathway we now call</w:t>
      </w:r>
      <w:r w:rsidR="00BF43BE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 w:rsidR="00DB53C3">
        <w:rPr>
          <w:rFonts w:ascii="AGaramond-Bold" w:hAnsi="AGaramond-Bold" w:cs="AGaramond-Bold"/>
          <w:b/>
          <w:bCs/>
          <w:color w:val="231F20"/>
          <w:kern w:val="0"/>
          <w:sz w:val="20"/>
          <w:szCs w:val="20"/>
        </w:rPr>
        <w:t>glycolysis</w:t>
      </w:r>
      <w:r w:rsidR="00DB53C3">
        <w:rPr>
          <w:rFonts w:ascii="AGaramond-Bold" w:hAnsi="AGaramond-Bold" w:cs="AGaramond-Bold"/>
          <w:b/>
          <w:bCs/>
          <w:color w:val="231F20"/>
          <w:kern w:val="0"/>
          <w:sz w:val="21"/>
          <w:szCs w:val="21"/>
        </w:rPr>
        <w:t xml:space="preserve">, </w:t>
      </w:r>
      <w:r w:rsidR="00DB53C3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occurs in </w:t>
      </w:r>
      <w:r w:rsidR="00DB53C3" w:rsidRPr="00BF43BE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ten steps</w:t>
      </w:r>
      <w:r w:rsidR="00DB53C3">
        <w:rPr>
          <w:rFonts w:ascii="AGaramond-Regular" w:hAnsi="AGaramond-Regular" w:cs="AGaramond-Regular"/>
          <w:color w:val="231F20"/>
          <w:kern w:val="0"/>
          <w:sz w:val="21"/>
          <w:szCs w:val="21"/>
        </w:rPr>
        <w:t>.</w:t>
      </w:r>
    </w:p>
    <w:p w14:paraId="32BD9BDC" w14:textId="77777777" w:rsidR="0067212D" w:rsidRPr="005A2EA2" w:rsidRDefault="0067212D" w:rsidP="0067212D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Glycolysis does not require molecular oxygen.</w:t>
      </w:r>
    </w:p>
    <w:p w14:paraId="71450654" w14:textId="77777777" w:rsidR="0067212D" w:rsidRDefault="0067212D" w:rsidP="00987045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</w:pPr>
    </w:p>
    <w:p w14:paraId="446D05A0" w14:textId="3D25E167" w:rsidR="00BF43BE" w:rsidRDefault="00987045" w:rsidP="00987045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BE06ED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G</w:t>
      </w:r>
      <w:r w:rsidRPr="00BE06ED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lycolysis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, along with other metabolic pathways, exhibits the following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properties:</w:t>
      </w:r>
    </w:p>
    <w:p w14:paraId="54A33754" w14:textId="002AA683" w:rsidR="00987045" w:rsidRDefault="00987045" w:rsidP="00987045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Bold" w:hAnsi="AGaramond-Bold" w:cs="AGaramond-Bold"/>
          <w:b/>
          <w:bCs/>
          <w:color w:val="231F20"/>
          <w:kern w:val="0"/>
          <w:sz w:val="21"/>
          <w:szCs w:val="21"/>
        </w:rPr>
        <w:t xml:space="preserve">1.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Each step of the pathway is catalyzed by a distinct enzyme.</w:t>
      </w:r>
    </w:p>
    <w:p w14:paraId="379F4963" w14:textId="6FD0A1EB" w:rsidR="00987045" w:rsidRDefault="00987045" w:rsidP="00987045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Bold" w:hAnsi="AGaramond-Bold" w:cs="AGaramond-Bold"/>
          <w:b/>
          <w:bCs/>
          <w:color w:val="231F20"/>
          <w:kern w:val="0"/>
          <w:sz w:val="21"/>
          <w:szCs w:val="21"/>
        </w:rPr>
        <w:t xml:space="preserve">2.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The free energy consumed or released in certain reactions is transferred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by molecules such as ATP and NADH.</w:t>
      </w:r>
    </w:p>
    <w:p w14:paraId="4CF4D193" w14:textId="391EEC67" w:rsidR="00987045" w:rsidRDefault="00987045" w:rsidP="008D4952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Bold" w:hAnsi="AGaramond-Bold" w:cs="AGaramond-Bold"/>
          <w:b/>
          <w:bCs/>
          <w:color w:val="231F20"/>
          <w:kern w:val="0"/>
          <w:sz w:val="21"/>
          <w:szCs w:val="21"/>
        </w:rPr>
        <w:t xml:space="preserve">3.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The rate of the pathway can be controlled by altering the activity of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individual enzymes.</w:t>
      </w:r>
    </w:p>
    <w:p w14:paraId="5CB270F8" w14:textId="117CAD96" w:rsidR="005A2EA2" w:rsidRDefault="005A2EA2" w:rsidP="008D4952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3A6DCBE6" w14:textId="619AB42D" w:rsidR="00A12D23" w:rsidRDefault="00593B74" w:rsidP="008D4952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0D1460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Phase 1-5: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 w:rsidR="00E36C24">
        <w:rPr>
          <w:rFonts w:ascii="AGaramond-Regular" w:hAnsi="AGaramond-Regular" w:cs="AGaramond-Regular"/>
          <w:color w:val="231F20"/>
          <w:kern w:val="0"/>
          <w:sz w:val="21"/>
          <w:szCs w:val="21"/>
        </w:rPr>
        <w:t>preparatory phase (investing free energy in form of two ATP molecules)</w:t>
      </w:r>
    </w:p>
    <w:p w14:paraId="27717497" w14:textId="7E8E88A3" w:rsidR="004646C7" w:rsidRPr="00470BB9" w:rsidRDefault="004646C7" w:rsidP="007876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CA292D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 xml:space="preserve">Glucose </w:t>
      </w:r>
      <w:r w:rsidRPr="00470BB9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Phosphorylation</w:t>
      </w:r>
      <w:r w:rsidRPr="00470BB9">
        <w:rPr>
          <w:rFonts w:ascii="AGaramond-Regular" w:hAnsi="AGaramond-Regular" w:cs="AGaramond-Regular"/>
          <w:color w:val="231F20"/>
          <w:kern w:val="0"/>
          <w:sz w:val="21"/>
          <w:szCs w:val="21"/>
        </w:rPr>
        <w:t>:</w:t>
      </w:r>
      <w:r w:rsidRPr="004646C7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A phosphate group is added to glucose, trapping it inside the cell and committing it to glycolysis.</w:t>
      </w:r>
    </w:p>
    <w:p w14:paraId="1BE09424" w14:textId="5A488B38" w:rsidR="00470BB9" w:rsidRPr="00470BB9" w:rsidRDefault="004646C7" w:rsidP="007876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470BB9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Isomerization</w:t>
      </w:r>
      <w:r w:rsidRPr="00470BB9">
        <w:rPr>
          <w:rFonts w:ascii="AGaramond-Regular" w:hAnsi="AGaramond-Regular" w:cs="AGaramond-Regular"/>
          <w:color w:val="231F20"/>
          <w:kern w:val="0"/>
          <w:sz w:val="21"/>
          <w:szCs w:val="21"/>
        </w:rPr>
        <w:t>:</w:t>
      </w:r>
      <w:r w:rsidRPr="00CA292D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Glucose is rearranged into fructose-6-phosphate, preparing for the cleavage reaction.</w:t>
      </w:r>
    </w:p>
    <w:p w14:paraId="0CAFEEDD" w14:textId="69781446" w:rsidR="00470BB9" w:rsidRPr="00470BB9" w:rsidRDefault="004646C7" w:rsidP="007876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470BB9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Phosphorylation</w:t>
      </w:r>
      <w:r w:rsidRPr="00470BB9">
        <w:rPr>
          <w:rFonts w:ascii="AGaramond-Regular" w:hAnsi="AGaramond-Regular" w:cs="AGaramond-Regular"/>
          <w:color w:val="231F20"/>
          <w:kern w:val="0"/>
          <w:sz w:val="21"/>
          <w:szCs w:val="21"/>
        </w:rPr>
        <w:t>: Another phosphate group is added to fructose-6-phosphate, adding energy for the upcoming split.</w:t>
      </w:r>
    </w:p>
    <w:p w14:paraId="06819239" w14:textId="4B78D55E" w:rsidR="00470BB9" w:rsidRPr="00470BB9" w:rsidRDefault="004646C7" w:rsidP="007876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FB4A95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Cleavage</w:t>
      </w:r>
      <w:r w:rsidRPr="00470BB9">
        <w:rPr>
          <w:rFonts w:ascii="AGaramond-Regular" w:hAnsi="AGaramond-Regular" w:cs="AGaramond-Regular"/>
          <w:color w:val="231F20"/>
          <w:kern w:val="0"/>
          <w:sz w:val="21"/>
          <w:szCs w:val="21"/>
        </w:rPr>
        <w:t>: The 6-carbon fructose-1,6-bisphosphate is cleaved into two 3-carbon molecules: glyceraldehyde-3-phosphate (G3P) and dihydroxyacetone phosphate (DHAP).</w:t>
      </w:r>
    </w:p>
    <w:p w14:paraId="074ED983" w14:textId="7E089962" w:rsidR="004646C7" w:rsidRPr="00470BB9" w:rsidRDefault="004646C7" w:rsidP="007876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FB4A95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Isomerization</w:t>
      </w:r>
      <w:r w:rsidRPr="00470BB9">
        <w:rPr>
          <w:rFonts w:ascii="AGaramond-Regular" w:hAnsi="AGaramond-Regular" w:cs="AGaramond-Regular"/>
          <w:color w:val="231F20"/>
          <w:kern w:val="0"/>
          <w:sz w:val="21"/>
          <w:szCs w:val="21"/>
        </w:rPr>
        <w:t>: Dihydroxyacetone phosphate is converted into its isomer, glyceraldehyde-3-phosphate, ensuring two identical molecules for the next steps.</w:t>
      </w:r>
    </w:p>
    <w:p w14:paraId="76FB281D" w14:textId="77777777" w:rsidR="004646C7" w:rsidRDefault="004646C7" w:rsidP="00A47AD9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50698E91" w14:textId="5AC5660E" w:rsidR="00470BB9" w:rsidRDefault="00A47AD9" w:rsidP="00A47AD9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0D1460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Phase 6-10: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energy-producing phase</w:t>
      </w:r>
    </w:p>
    <w:p w14:paraId="435A8A6E" w14:textId="77777777" w:rsidR="00470BB9" w:rsidRDefault="004646C7" w:rsidP="007876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FB4A95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Oxidation and Phosphorylation</w:t>
      </w:r>
      <w:r w:rsidRPr="00470BB9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: Glyceraldehyde-3-phosphate is oxidized, losing </w:t>
      </w:r>
      <w:proofErr w:type="gramStart"/>
      <w:r w:rsidRPr="00470BB9">
        <w:rPr>
          <w:rFonts w:ascii="AGaramond-Regular" w:hAnsi="AGaramond-Regular" w:cs="AGaramond-Regular"/>
          <w:color w:val="231F20"/>
          <w:kern w:val="0"/>
          <w:sz w:val="21"/>
          <w:szCs w:val="21"/>
        </w:rPr>
        <w:t>electrons</w:t>
      </w:r>
      <w:proofErr w:type="gramEnd"/>
      <w:r w:rsidRPr="00470BB9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and gaining a phosphate group, generating ATP and NADH.</w:t>
      </w:r>
    </w:p>
    <w:p w14:paraId="184B1C32" w14:textId="77777777" w:rsidR="00470BB9" w:rsidRDefault="004646C7" w:rsidP="007876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0052A7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Substrate-level Phosphorylation</w:t>
      </w:r>
      <w:r w:rsidRPr="00470BB9">
        <w:rPr>
          <w:rFonts w:ascii="AGaramond-Regular" w:hAnsi="AGaramond-Regular" w:cs="AGaramond-Regular"/>
          <w:color w:val="231F20"/>
          <w:kern w:val="0"/>
          <w:sz w:val="21"/>
          <w:szCs w:val="21"/>
        </w:rPr>
        <w:t>: A high-energy phosphate group is transferred from a phosphorylated intermediate to ADP, forming ATP.</w:t>
      </w:r>
    </w:p>
    <w:p w14:paraId="1FBAEF47" w14:textId="77777777" w:rsidR="00470BB9" w:rsidRDefault="004646C7" w:rsidP="007876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0052A7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Substrate-level Phosphorylation (repeat):</w:t>
      </w:r>
      <w:r w:rsidRPr="00470BB9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The same process as phase 7 occurs again with the other glyceraldehyde-3-phosphate molecule, producing another ATP.</w:t>
      </w:r>
    </w:p>
    <w:p w14:paraId="36FE0C03" w14:textId="77777777" w:rsidR="00470BB9" w:rsidRDefault="004646C7" w:rsidP="007876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90791A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Enolization</w:t>
      </w:r>
      <w:r w:rsidRPr="00470BB9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: Pyruvate is formed from phosphoenolpyruvate, losing </w:t>
      </w:r>
      <w:proofErr w:type="gramStart"/>
      <w:r w:rsidRPr="00470BB9">
        <w:rPr>
          <w:rFonts w:ascii="AGaramond-Regular" w:hAnsi="AGaramond-Regular" w:cs="AGaramond-Regular"/>
          <w:color w:val="231F20"/>
          <w:kern w:val="0"/>
          <w:sz w:val="21"/>
          <w:szCs w:val="21"/>
        </w:rPr>
        <w:t>water</w:t>
      </w:r>
      <w:proofErr w:type="gramEnd"/>
      <w:r w:rsidRPr="00470BB9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and gaining a double bond, becoming more reactive.</w:t>
      </w:r>
    </w:p>
    <w:p w14:paraId="18E1841C" w14:textId="357079D1" w:rsidR="004646C7" w:rsidRDefault="004646C7" w:rsidP="007876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90791A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Pyruvate Kinase</w:t>
      </w:r>
      <w:r w:rsidRPr="00470BB9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: A final phosphate group is transferred from phosphoenolpyruvate to ADP, forming ATP and yielding pyruvate as the </w:t>
      </w:r>
      <w:proofErr w:type="gramStart"/>
      <w:r w:rsidRPr="00470BB9">
        <w:rPr>
          <w:rFonts w:ascii="AGaramond-Regular" w:hAnsi="AGaramond-Regular" w:cs="AGaramond-Regular"/>
          <w:color w:val="231F20"/>
          <w:kern w:val="0"/>
          <w:sz w:val="21"/>
          <w:szCs w:val="21"/>
        </w:rPr>
        <w:t>end product</w:t>
      </w:r>
      <w:proofErr w:type="gramEnd"/>
      <w:r w:rsidRPr="00470BB9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of glycolysis.</w:t>
      </w:r>
    </w:p>
    <w:p w14:paraId="24A45F56" w14:textId="77777777" w:rsidR="00757CD7" w:rsidRDefault="00757CD7" w:rsidP="00757CD7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60587495" w14:textId="77777777" w:rsidR="00757CD7" w:rsidRPr="00757CD7" w:rsidRDefault="00757CD7" w:rsidP="00757CD7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62289CFF" w14:textId="553101F8" w:rsidR="00470BB9" w:rsidRDefault="00A71985" w:rsidP="00A71985">
      <w:pPr>
        <w:autoSpaceDE w:val="0"/>
        <w:autoSpaceDN w:val="0"/>
        <w:adjustRightInd w:val="0"/>
        <w:spacing w:after="0" w:line="240" w:lineRule="auto"/>
        <w:jc w:val="center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A71985">
        <w:rPr>
          <w:rFonts w:ascii="AGaramond-Regular" w:hAnsi="AGaramond-Regular" w:cs="AGaramond-Regular"/>
          <w:color w:val="231F20"/>
          <w:kern w:val="0"/>
          <w:sz w:val="21"/>
          <w:szCs w:val="21"/>
        </w:rPr>
        <w:drawing>
          <wp:inline distT="0" distB="0" distL="0" distR="0" wp14:anchorId="54255DC9" wp14:editId="43D54552">
            <wp:extent cx="6858000" cy="2530475"/>
            <wp:effectExtent l="0" t="0" r="0" b="3175"/>
            <wp:docPr id="1401485055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85055" name="Picture 1" descr="A graph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3E4B" w14:textId="77777777" w:rsidR="00757CD7" w:rsidRPr="0090791A" w:rsidRDefault="00757CD7" w:rsidP="00A71985">
      <w:pPr>
        <w:autoSpaceDE w:val="0"/>
        <w:autoSpaceDN w:val="0"/>
        <w:adjustRightInd w:val="0"/>
        <w:spacing w:after="0" w:line="240" w:lineRule="auto"/>
        <w:jc w:val="center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5C8F3B99" w14:textId="12B63744" w:rsidR="00C615A8" w:rsidRDefault="00850665" w:rsidP="00850665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This catabolic pathway is accompanied by the phosphorylation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of </w:t>
      </w:r>
      <w:r w:rsidRPr="00850665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two molecules of ADP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(to produce 2 ATP) and the reduction of </w:t>
      </w:r>
      <w:r w:rsidRPr="00850665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two molecules</w:t>
      </w:r>
      <w:r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 xml:space="preserve"> </w:t>
      </w:r>
      <w:r w:rsidRPr="00850665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of NA</w:t>
      </w:r>
      <w:r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D+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. The net equation for the pathway (ignoring water and protons) is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,</w:t>
      </w:r>
    </w:p>
    <w:p w14:paraId="4B11B9A4" w14:textId="62BBA836" w:rsidR="00850665" w:rsidRDefault="00246191" w:rsidP="00246191">
      <w:pPr>
        <w:autoSpaceDE w:val="0"/>
        <w:autoSpaceDN w:val="0"/>
        <w:adjustRightInd w:val="0"/>
        <w:spacing w:after="0" w:line="240" w:lineRule="auto"/>
        <w:jc w:val="center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246191">
        <w:rPr>
          <w:rFonts w:ascii="AGaramond-Regular" w:hAnsi="AGaramond-Regular" w:cs="AGaramond-Regular"/>
          <w:color w:val="231F20"/>
          <w:kern w:val="0"/>
          <w:sz w:val="21"/>
          <w:szCs w:val="21"/>
        </w:rPr>
        <w:drawing>
          <wp:inline distT="0" distB="0" distL="0" distR="0" wp14:anchorId="23C13C5C" wp14:editId="2CEB4BEA">
            <wp:extent cx="5315692" cy="409632"/>
            <wp:effectExtent l="0" t="0" r="0" b="9525"/>
            <wp:docPr id="67008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84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ECDD" w14:textId="193CDAE1" w:rsidR="00850665" w:rsidRDefault="00850665" w:rsidP="00BE06ED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779CEEBC" w14:textId="77777777" w:rsidR="00BE06ED" w:rsidRDefault="00BE06ED" w:rsidP="00BE06ED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41B4C6AE" w14:textId="339F2753" w:rsidR="00787615" w:rsidRPr="00295CD2" w:rsidRDefault="00A969B0" w:rsidP="00BE06ED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bCs/>
          <w:color w:val="231F20"/>
          <w:kern w:val="0"/>
          <w:sz w:val="28"/>
          <w:szCs w:val="28"/>
        </w:rPr>
      </w:pPr>
      <w:r w:rsidRPr="00295CD2">
        <w:rPr>
          <w:rFonts w:ascii="AGaramond-Regular" w:hAnsi="AGaramond-Regular" w:cs="AGaramond-Regular"/>
          <w:b/>
          <w:bCs/>
          <w:color w:val="231F20"/>
          <w:kern w:val="0"/>
          <w:sz w:val="28"/>
          <w:szCs w:val="28"/>
        </w:rPr>
        <w:t>A</w:t>
      </w:r>
      <w:r w:rsidRPr="00295CD2">
        <w:rPr>
          <w:rFonts w:ascii="AGaramond-Regular" w:hAnsi="AGaramond-Regular" w:cs="AGaramond-Regular"/>
          <w:b/>
          <w:bCs/>
          <w:color w:val="231F20"/>
          <w:kern w:val="0"/>
          <w:sz w:val="28"/>
          <w:szCs w:val="28"/>
        </w:rPr>
        <w:t>naerobic glucose catabolism</w:t>
      </w:r>
      <w:r w:rsidRPr="00295CD2">
        <w:rPr>
          <w:rFonts w:ascii="AGaramond-Regular" w:hAnsi="AGaramond-Regular" w:cs="AGaramond-Regular"/>
          <w:b/>
          <w:bCs/>
          <w:color w:val="231F20"/>
          <w:kern w:val="0"/>
          <w:sz w:val="28"/>
          <w:szCs w:val="28"/>
        </w:rPr>
        <w:t xml:space="preserve"> d</w:t>
      </w:r>
      <w:r w:rsidR="00B054C7" w:rsidRPr="00295CD2">
        <w:rPr>
          <w:rFonts w:ascii="AGaramond-Regular" w:hAnsi="AGaramond-Regular" w:cs="AGaramond-Regular"/>
          <w:b/>
          <w:bCs/>
          <w:color w:val="231F20"/>
          <w:kern w:val="0"/>
          <w:sz w:val="28"/>
          <w:szCs w:val="28"/>
        </w:rPr>
        <w:t>uring exercise</w:t>
      </w:r>
      <w:r w:rsidRPr="00295CD2">
        <w:rPr>
          <w:rFonts w:ascii="AGaramond-Regular" w:hAnsi="AGaramond-Regular" w:cs="AGaramond-Regular"/>
          <w:b/>
          <w:bCs/>
          <w:color w:val="231F20"/>
          <w:kern w:val="0"/>
          <w:sz w:val="28"/>
          <w:szCs w:val="28"/>
        </w:rPr>
        <w:t xml:space="preserve"> and</w:t>
      </w:r>
      <w:r w:rsidR="00B054C7" w:rsidRPr="00295CD2">
        <w:rPr>
          <w:rFonts w:ascii="AGaramond-Regular" w:hAnsi="AGaramond-Regular" w:cs="AGaramond-Regular"/>
          <w:b/>
          <w:bCs/>
          <w:color w:val="231F20"/>
          <w:kern w:val="0"/>
          <w:sz w:val="28"/>
          <w:szCs w:val="28"/>
        </w:rPr>
        <w:t xml:space="preserve"> </w:t>
      </w:r>
      <w:r w:rsidRPr="00295CD2">
        <w:rPr>
          <w:rFonts w:ascii="AGaramond-Regular" w:hAnsi="AGaramond-Regular" w:cs="AGaramond-Regular"/>
          <w:b/>
          <w:bCs/>
          <w:color w:val="231F20"/>
          <w:kern w:val="0"/>
          <w:sz w:val="28"/>
          <w:szCs w:val="28"/>
        </w:rPr>
        <w:t>L</w:t>
      </w:r>
      <w:r w:rsidR="00B054C7" w:rsidRPr="00295CD2">
        <w:rPr>
          <w:rFonts w:ascii="AGaramond-Regular" w:hAnsi="AGaramond-Regular" w:cs="AGaramond-Regular"/>
          <w:b/>
          <w:bCs/>
          <w:color w:val="231F20"/>
          <w:kern w:val="0"/>
          <w:sz w:val="28"/>
          <w:szCs w:val="28"/>
        </w:rPr>
        <w:t>actate</w:t>
      </w:r>
    </w:p>
    <w:p w14:paraId="63C5BAE1" w14:textId="4A27A3B8" w:rsidR="006B1FD0" w:rsidRPr="00295CD2" w:rsidRDefault="00825FA8" w:rsidP="00825FA8">
      <w:pPr>
        <w:autoSpaceDE w:val="0"/>
        <w:autoSpaceDN w:val="0"/>
        <w:adjustRightInd w:val="0"/>
        <w:spacing w:after="0" w:line="240" w:lineRule="auto"/>
        <w:jc w:val="center"/>
        <w:rPr>
          <w:rFonts w:ascii="AGaramond-Regular" w:hAnsi="AGaramond-Regular" w:cs="AGaramond-Regular"/>
          <w:b/>
          <w:bCs/>
          <w:i/>
          <w:iCs/>
          <w:color w:val="231F20"/>
          <w:kern w:val="0"/>
          <w:sz w:val="24"/>
          <w:szCs w:val="24"/>
        </w:rPr>
      </w:pPr>
      <w:r w:rsidRPr="00825FA8">
        <w:rPr>
          <w:rFonts w:ascii="AGaramond-Regular" w:hAnsi="AGaramond-Regular" w:cs="AGaramond-Regular"/>
          <w:b/>
          <w:bCs/>
          <w:color w:val="231F20"/>
          <w:kern w:val="0"/>
          <w:sz w:val="24"/>
          <w:szCs w:val="24"/>
        </w:rPr>
        <w:drawing>
          <wp:inline distT="0" distB="0" distL="0" distR="0" wp14:anchorId="7709441D" wp14:editId="6A928F41">
            <wp:extent cx="2771996" cy="1795081"/>
            <wp:effectExtent l="0" t="0" r="0" b="0"/>
            <wp:docPr id="1627833348" name="Picture 1" descr="A diagram of a chemical rea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33348" name="Picture 1" descr="A diagram of a chemical reac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9635" cy="180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3B5" w:rsidRPr="00295CD2">
        <w:rPr>
          <w:rFonts w:ascii="AGaramond-Regular" w:hAnsi="AGaramond-Regular" w:cs="AGaramond-Regular"/>
          <w:i/>
          <w:iCs/>
          <w:color w:val="231F20"/>
          <w:kern w:val="0"/>
          <w:sz w:val="21"/>
          <w:szCs w:val="21"/>
        </w:rPr>
        <w:t>(Fates of pyruvate)</w:t>
      </w:r>
    </w:p>
    <w:p w14:paraId="4570467D" w14:textId="7AB68BCD" w:rsidR="00A969B0" w:rsidRDefault="009F3773" w:rsidP="009F3773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In a highly active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muscle cell, glycolysis rapidly provides ATP to power muscle contraction, </w:t>
      </w:r>
      <w:r w:rsidRPr="006B1FD0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but the</w:t>
      </w:r>
      <w:r w:rsidR="00D414D2" w:rsidRPr="006B1FD0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 xml:space="preserve"> </w:t>
      </w:r>
      <w:r w:rsidRPr="006B1FD0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pathway also consumes NAD</w:t>
      </w:r>
      <w:r w:rsidR="00D414D2" w:rsidRPr="006B1FD0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+</w:t>
      </w:r>
      <w:r w:rsidR="003739B3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 xml:space="preserve"> </w:t>
      </w:r>
      <w:r w:rsidR="003739B3" w:rsidRPr="00BE7F5B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(which </w:t>
      </w:r>
      <w:r w:rsidR="00BE7F5B" w:rsidRPr="00BE7F5B">
        <w:rPr>
          <w:rFonts w:ascii="AGaramond-Regular" w:hAnsi="AGaramond-Regular" w:cs="AGaramond-Regular"/>
          <w:color w:val="231F20"/>
          <w:kern w:val="0"/>
          <w:sz w:val="21"/>
          <w:szCs w:val="21"/>
        </w:rPr>
        <w:t>are</w:t>
      </w:r>
      <w:r w:rsidR="00BE7F5B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crucial</w:t>
      </w:r>
      <w:r w:rsidR="00BE7F5B" w:rsidRPr="00BE7F5B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electron carriers</w:t>
      </w:r>
      <w:r w:rsidR="003739B3" w:rsidRPr="00BE7F5B">
        <w:rPr>
          <w:rFonts w:ascii="AGaramond-Regular" w:hAnsi="AGaramond-Regular" w:cs="AGaramond-Regular"/>
          <w:color w:val="231F20"/>
          <w:kern w:val="0"/>
          <w:sz w:val="21"/>
          <w:szCs w:val="21"/>
        </w:rPr>
        <w:t>)</w:t>
      </w:r>
      <w:r>
        <w:rPr>
          <w:rFonts w:ascii="MathematicalPiOTF1" w:hAnsi="MathematicalPiOTF1" w:cs="MathematicalPiOTF1"/>
          <w:color w:val="231F20"/>
          <w:kern w:val="0"/>
          <w:sz w:val="14"/>
          <w:szCs w:val="14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at the glyceraldehyde-3- phosphate dehydrogenase step</w:t>
      </w:r>
      <w:r w:rsidR="006B1FD0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(</w:t>
      </w:r>
      <w:r w:rsidR="006B1FD0" w:rsidRPr="006B1FD0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Step 6</w:t>
      </w:r>
      <w:r w:rsidR="006B1FD0">
        <w:rPr>
          <w:rFonts w:ascii="AGaramond-Regular" w:hAnsi="AGaramond-Regular" w:cs="AGaramond-Regular"/>
          <w:color w:val="231F20"/>
          <w:kern w:val="0"/>
          <w:sz w:val="21"/>
          <w:szCs w:val="21"/>
        </w:rPr>
        <w:t>)</w:t>
      </w:r>
      <w:r w:rsidR="00D414D2">
        <w:rPr>
          <w:rFonts w:ascii="AGaramond-Regular" w:hAnsi="AGaramond-Regular" w:cs="AGaramond-Regular"/>
          <w:color w:val="231F20"/>
          <w:kern w:val="0"/>
          <w:sz w:val="21"/>
          <w:szCs w:val="21"/>
        </w:rPr>
        <w:t>.</w:t>
      </w:r>
    </w:p>
    <w:p w14:paraId="4BF9E632" w14:textId="77777777" w:rsidR="00BE7F5B" w:rsidRDefault="00BE7F5B" w:rsidP="009F3773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36D7E249" w14:textId="661C2885" w:rsidR="00BE7F5B" w:rsidRDefault="004663D0" w:rsidP="009F3773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proofErr w:type="spellStart"/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Reoxidizing</w:t>
      </w:r>
      <w:proofErr w:type="spellEnd"/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NADH by oxygen is too slow</w:t>
      </w:r>
      <w:r w:rsidR="0044739B">
        <w:rPr>
          <w:rFonts w:ascii="AGaramond-Regular" w:hAnsi="AGaramond-Regular" w:cs="AGaramond-Regular"/>
          <w:color w:val="231F20"/>
          <w:kern w:val="0"/>
          <w:sz w:val="21"/>
          <w:szCs w:val="21"/>
        </w:rPr>
        <w:t>. To compensate, NAD+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 w:rsidR="0044739B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needed for rapid ATP production </w:t>
      </w:r>
      <w:r w:rsidR="006F7F8D">
        <w:rPr>
          <w:rFonts w:ascii="AGaramond-Regular" w:hAnsi="AGaramond-Regular" w:cs="AGaramond-Regular"/>
          <w:color w:val="231F20"/>
          <w:kern w:val="0"/>
          <w:sz w:val="21"/>
          <w:szCs w:val="21"/>
        </w:rPr>
        <w:t>is replenished by the enzyme lactate dehydrogenase, which reduces pyruvate to lactate</w:t>
      </w:r>
      <w:r w:rsidR="009F6776">
        <w:rPr>
          <w:rFonts w:ascii="AGaramond-Regular" w:hAnsi="AGaramond-Regular" w:cs="AGaramond-Regular"/>
          <w:color w:val="231F20"/>
          <w:kern w:val="0"/>
          <w:sz w:val="21"/>
          <w:szCs w:val="21"/>
        </w:rPr>
        <w:t>, allowing muscle to function anaerobically for a few minutes</w:t>
      </w:r>
      <w:r w:rsidR="00862D45">
        <w:rPr>
          <w:rFonts w:ascii="AGaramond-Regular" w:hAnsi="AGaramond-Regular" w:cs="AGaramond-Regular"/>
          <w:color w:val="231F20"/>
          <w:kern w:val="0"/>
          <w:sz w:val="21"/>
          <w:szCs w:val="21"/>
        </w:rPr>
        <w:t>:</w:t>
      </w:r>
    </w:p>
    <w:p w14:paraId="4572F0CC" w14:textId="2C46EC4B" w:rsidR="00862D45" w:rsidRDefault="00862D45" w:rsidP="00625EBF">
      <w:pPr>
        <w:autoSpaceDE w:val="0"/>
        <w:autoSpaceDN w:val="0"/>
        <w:adjustRightInd w:val="0"/>
        <w:spacing w:after="0" w:line="240" w:lineRule="auto"/>
        <w:jc w:val="center"/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</w:pPr>
      <w:r w:rsidRPr="00862D45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lastRenderedPageBreak/>
        <w:drawing>
          <wp:inline distT="0" distB="0" distL="0" distR="0" wp14:anchorId="37E3C8D2" wp14:editId="213254D1">
            <wp:extent cx="6166884" cy="1482907"/>
            <wp:effectExtent l="0" t="0" r="5715" b="3175"/>
            <wp:docPr id="1165574326" name="Picture 1" descr="A formula of lact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74326" name="Picture 1" descr="A formula of lacta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256" cy="148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B03D" w14:textId="5C24AD25" w:rsidR="00862D45" w:rsidRDefault="006E4F29" w:rsidP="009F3773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The net reaction is:</w:t>
      </w:r>
    </w:p>
    <w:p w14:paraId="70470F6C" w14:textId="7B04351B" w:rsidR="006E4F29" w:rsidRDefault="006E4F29" w:rsidP="006E4F29">
      <w:pPr>
        <w:autoSpaceDE w:val="0"/>
        <w:autoSpaceDN w:val="0"/>
        <w:adjustRightInd w:val="0"/>
        <w:spacing w:after="0" w:line="240" w:lineRule="auto"/>
        <w:jc w:val="center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6E4F29">
        <w:rPr>
          <w:rFonts w:ascii="AGaramond-Regular" w:hAnsi="AGaramond-Regular" w:cs="AGaramond-Regular"/>
          <w:color w:val="231F20"/>
          <w:kern w:val="0"/>
          <w:sz w:val="21"/>
          <w:szCs w:val="21"/>
        </w:rPr>
        <w:drawing>
          <wp:inline distT="0" distB="0" distL="0" distR="0" wp14:anchorId="6B7639C1" wp14:editId="31927F26">
            <wp:extent cx="3334215" cy="371527"/>
            <wp:effectExtent l="0" t="0" r="0" b="9525"/>
            <wp:docPr id="69284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40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C437" w14:textId="77777777" w:rsidR="006E4F29" w:rsidRDefault="006E4F29" w:rsidP="009F3773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74CD447F" w14:textId="2E7979B8" w:rsidR="009E73F2" w:rsidRPr="009E73F2" w:rsidRDefault="009E73F2" w:rsidP="009F3773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</w:pPr>
      <w:r w:rsidRPr="009E73F2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Acetyl-CoA</w:t>
      </w:r>
    </w:p>
    <w:p w14:paraId="606499BB" w14:textId="35D7A992" w:rsidR="00671D1D" w:rsidRDefault="00FE5C01" w:rsidP="00FE5C01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The further catabolism of pyruvate begins with its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decarboxylation to form a two-carbon acetyl group linked to coenzyme A</w:t>
      </w:r>
      <w:r w:rsidR="002F2A21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, </w:t>
      </w:r>
      <w:r w:rsidR="009E73F2">
        <w:rPr>
          <w:rFonts w:ascii="AGaramond-Regular" w:hAnsi="AGaramond-Regular" w:cs="AGaramond-Regular"/>
          <w:color w:val="231F20"/>
          <w:kern w:val="0"/>
          <w:sz w:val="21"/>
          <w:szCs w:val="21"/>
        </w:rPr>
        <w:t>Acetyl</w:t>
      </w:r>
      <w:r w:rsidR="00351327">
        <w:rPr>
          <w:rFonts w:ascii="AGaramond-Regular" w:hAnsi="AGaramond-Regular" w:cs="AGaramond-Regular"/>
          <w:color w:val="231F20"/>
          <w:kern w:val="0"/>
          <w:sz w:val="21"/>
          <w:szCs w:val="21"/>
        </w:rPr>
        <w:t>-CoA – a substrate for the TCA cycle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.</w:t>
      </w:r>
    </w:p>
    <w:p w14:paraId="2B932F7D" w14:textId="5858C8CD" w:rsidR="00FE5C01" w:rsidRDefault="00FE5C01" w:rsidP="00FE5C01">
      <w:pPr>
        <w:autoSpaceDE w:val="0"/>
        <w:autoSpaceDN w:val="0"/>
        <w:adjustRightInd w:val="0"/>
        <w:spacing w:after="0" w:line="240" w:lineRule="auto"/>
        <w:jc w:val="center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FE5C01">
        <w:rPr>
          <w:rFonts w:ascii="AGaramond-Regular" w:hAnsi="AGaramond-Regular" w:cs="AGaramond-Regular"/>
          <w:color w:val="231F20"/>
          <w:kern w:val="0"/>
          <w:sz w:val="21"/>
          <w:szCs w:val="21"/>
        </w:rPr>
        <w:drawing>
          <wp:inline distT="0" distB="0" distL="0" distR="0" wp14:anchorId="611C5044" wp14:editId="16401AD8">
            <wp:extent cx="4077269" cy="1124107"/>
            <wp:effectExtent l="0" t="0" r="0" b="0"/>
            <wp:docPr id="2054525340" name="Picture 1" descr="A diagram of a chemical rea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25340" name="Picture 1" descr="A diagram of a chemical reac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859E" w14:textId="271226A2" w:rsidR="00FE5C01" w:rsidRPr="009E73F2" w:rsidRDefault="009E73F2" w:rsidP="00FE5C01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</w:pPr>
      <w:r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O</w:t>
      </w:r>
      <w:r w:rsidRPr="009E73F2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xaloacetate</w:t>
      </w:r>
    </w:p>
    <w:p w14:paraId="34204578" w14:textId="17411C12" w:rsidR="009E73F2" w:rsidRDefault="009E73F2" w:rsidP="009E73F2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Pyruvate is also the precursor of oxaloacetate, a four-carbon molecule that is an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intermediate in the synthesis of several amino acids. It is also one of the intermediates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of the citric acid cycle. Oxaloacetate is synthesized by the action of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p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yruvate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carboxylase:</w:t>
      </w:r>
    </w:p>
    <w:p w14:paraId="722C9CD7" w14:textId="47FAA3A8" w:rsidR="00625EBF" w:rsidRDefault="00625EBF" w:rsidP="00625EBF">
      <w:pPr>
        <w:autoSpaceDE w:val="0"/>
        <w:autoSpaceDN w:val="0"/>
        <w:adjustRightInd w:val="0"/>
        <w:spacing w:after="0" w:line="240" w:lineRule="auto"/>
        <w:jc w:val="center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625EBF">
        <w:rPr>
          <w:rFonts w:ascii="AGaramond-Regular" w:hAnsi="AGaramond-Regular" w:cs="AGaramond-Regular"/>
          <w:color w:val="231F20"/>
          <w:kern w:val="0"/>
          <w:sz w:val="21"/>
          <w:szCs w:val="21"/>
        </w:rPr>
        <w:drawing>
          <wp:inline distT="0" distB="0" distL="0" distR="0" wp14:anchorId="75655206" wp14:editId="28E0526D">
            <wp:extent cx="5213498" cy="1444280"/>
            <wp:effectExtent l="0" t="0" r="6350" b="3810"/>
            <wp:docPr id="1356623647" name="Picture 1" descr="A close-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23647" name="Picture 1" descr="A close-up of a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2795" cy="144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14E4" w14:textId="77777777" w:rsidR="00625EBF" w:rsidRDefault="00625EBF" w:rsidP="009E73F2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53BC7A58" w14:textId="77777777" w:rsidR="00FB68CD" w:rsidRDefault="00FB68CD" w:rsidP="009E73F2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bCs/>
          <w:color w:val="231F20"/>
          <w:kern w:val="0"/>
          <w:sz w:val="36"/>
          <w:szCs w:val="36"/>
        </w:rPr>
      </w:pPr>
    </w:p>
    <w:p w14:paraId="7EAF8C41" w14:textId="575EBEDB" w:rsidR="00FB68CD" w:rsidRPr="00FB68CD" w:rsidRDefault="00FB68CD" w:rsidP="00FB68CD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</w:pPr>
      <w:r w:rsidRPr="00FB68CD">
        <w:rPr>
          <w:rFonts w:ascii="Interstate-Regular" w:hAnsi="Interstate-Regular" w:cs="Interstate-Regular"/>
          <w:b/>
          <w:bCs/>
          <w:color w:val="231F20"/>
          <w:kern w:val="0"/>
          <w:sz w:val="21"/>
          <w:szCs w:val="21"/>
        </w:rPr>
        <w:t>Pyruvate</w:t>
      </w:r>
      <w:r w:rsidRPr="00FB68CD">
        <w:rPr>
          <w:rFonts w:ascii="Interstate-Regular" w:hAnsi="Interstate-Regular" w:cs="Interstate-Regular"/>
          <w:color w:val="231F20"/>
          <w:kern w:val="0"/>
          <w:sz w:val="21"/>
          <w:szCs w:val="21"/>
        </w:rPr>
        <w:t xml:space="preserve"> </w:t>
      </w:r>
      <w:r>
        <w:rPr>
          <w:rFonts w:ascii="Interstate-Regular" w:hAnsi="Interstate-Regular" w:cs="Interstate-Regular"/>
          <w:color w:val="231F20"/>
          <w:kern w:val="0"/>
          <w:sz w:val="21"/>
          <w:szCs w:val="21"/>
        </w:rPr>
        <w:t xml:space="preserve">can be </w:t>
      </w:r>
      <w:r w:rsidRPr="00FB68CD">
        <w:rPr>
          <w:rFonts w:ascii="Interstate-Regular" w:hAnsi="Interstate-Regular" w:cs="Interstate-Regular"/>
          <w:color w:val="231F20"/>
          <w:kern w:val="0"/>
          <w:sz w:val="21"/>
          <w:szCs w:val="21"/>
        </w:rPr>
        <w:t xml:space="preserve">converted to glucose by </w:t>
      </w:r>
      <w:r w:rsidRPr="00FB68CD">
        <w:rPr>
          <w:rFonts w:ascii="Interstate-Regular" w:hAnsi="Interstate-Regular" w:cs="Interstate-Regular"/>
          <w:b/>
          <w:bCs/>
          <w:color w:val="231F20"/>
          <w:kern w:val="0"/>
          <w:sz w:val="21"/>
          <w:szCs w:val="21"/>
        </w:rPr>
        <w:t>glycolytic enzymes operating in reverse</w:t>
      </w:r>
      <w:r w:rsidRPr="00FB68CD">
        <w:rPr>
          <w:rFonts w:ascii="Interstate-Regular" w:hAnsi="Interstate-Regular" w:cs="Interstate-Regular"/>
          <w:color w:val="231F20"/>
          <w:kern w:val="0"/>
          <w:sz w:val="21"/>
          <w:szCs w:val="21"/>
        </w:rPr>
        <w:t xml:space="preserve"> and by </w:t>
      </w:r>
      <w:r w:rsidRPr="00FB68CD">
        <w:rPr>
          <w:rFonts w:ascii="Interstate-Regular" w:hAnsi="Interstate-Regular" w:cs="Interstate-Regular"/>
          <w:b/>
          <w:bCs/>
          <w:color w:val="231F20"/>
          <w:kern w:val="0"/>
          <w:sz w:val="21"/>
          <w:szCs w:val="21"/>
        </w:rPr>
        <w:t>enzymes that bypass the irreversible steps of glycolysis</w:t>
      </w:r>
      <w:r w:rsidRPr="00FB68CD">
        <w:rPr>
          <w:rFonts w:ascii="Interstate-Regular" w:hAnsi="Interstate-Regular" w:cs="Interstate-Regular"/>
          <w:color w:val="231F20"/>
          <w:kern w:val="0"/>
          <w:sz w:val="21"/>
          <w:szCs w:val="21"/>
        </w:rPr>
        <w:t>.</w:t>
      </w:r>
    </w:p>
    <w:p w14:paraId="61D9E192" w14:textId="77777777" w:rsidR="00FB68CD" w:rsidRDefault="00FB68CD" w:rsidP="009E73F2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bCs/>
          <w:color w:val="231F20"/>
          <w:kern w:val="0"/>
          <w:sz w:val="36"/>
          <w:szCs w:val="36"/>
        </w:rPr>
      </w:pPr>
    </w:p>
    <w:p w14:paraId="3AA91585" w14:textId="77777777" w:rsidR="00FB68CD" w:rsidRDefault="00FB68CD" w:rsidP="009E73F2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bCs/>
          <w:color w:val="231F20"/>
          <w:kern w:val="0"/>
          <w:sz w:val="36"/>
          <w:szCs w:val="36"/>
        </w:rPr>
      </w:pPr>
    </w:p>
    <w:p w14:paraId="46E5BE7D" w14:textId="00AE52BF" w:rsidR="003713F0" w:rsidRPr="003713F0" w:rsidRDefault="003713F0" w:rsidP="009E73F2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bCs/>
          <w:color w:val="231F20"/>
          <w:kern w:val="0"/>
          <w:sz w:val="36"/>
          <w:szCs w:val="36"/>
        </w:rPr>
      </w:pPr>
      <w:r w:rsidRPr="003713F0">
        <w:rPr>
          <w:rFonts w:ascii="AGaramond-Regular" w:hAnsi="AGaramond-Regular" w:cs="AGaramond-Regular"/>
          <w:b/>
          <w:bCs/>
          <w:color w:val="231F20"/>
          <w:kern w:val="0"/>
          <w:sz w:val="36"/>
          <w:szCs w:val="36"/>
        </w:rPr>
        <w:t>Gluconeogenesis</w:t>
      </w:r>
    </w:p>
    <w:p w14:paraId="5FAE6D89" w14:textId="77777777" w:rsidR="00F07DB3" w:rsidRDefault="00F07DB3" w:rsidP="0072181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</w:pPr>
    </w:p>
    <w:p w14:paraId="12E3350D" w14:textId="799EE46F" w:rsidR="0072181C" w:rsidRPr="0072181C" w:rsidRDefault="0072181C" w:rsidP="0072181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72181C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Gluconeogenesis,</w:t>
      </w:r>
      <w:r w:rsidRPr="0072181C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occurring mainly in the liver and kidneys, is the synthesis of glucose from non-carbohydrate sources.</w:t>
      </w:r>
    </w:p>
    <w:p w14:paraId="3176EFAB" w14:textId="77777777" w:rsidR="0072181C" w:rsidRPr="0072181C" w:rsidRDefault="0072181C" w:rsidP="0072181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3AD53296" w14:textId="77777777" w:rsidR="0072181C" w:rsidRPr="0072181C" w:rsidRDefault="0072181C" w:rsidP="0072181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72181C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Purpose:</w:t>
      </w:r>
      <w:r w:rsidRPr="0072181C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Vital for maintaining blood glucose levels during fasting or low-carbohydrate states.</w:t>
      </w:r>
    </w:p>
    <w:p w14:paraId="20027890" w14:textId="77777777" w:rsidR="0072181C" w:rsidRPr="0072181C" w:rsidRDefault="0072181C" w:rsidP="0072181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19D7FE83" w14:textId="77777777" w:rsidR="0072181C" w:rsidRPr="0072181C" w:rsidRDefault="0072181C" w:rsidP="0072181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72181C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Substrates:</w:t>
      </w:r>
      <w:r w:rsidRPr="0072181C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Utilizes substrates like lactate, glycerol, and amino acids, converting them into glucose.</w:t>
      </w:r>
    </w:p>
    <w:p w14:paraId="0E4BA509" w14:textId="77777777" w:rsidR="0072181C" w:rsidRPr="0072181C" w:rsidRDefault="0072181C" w:rsidP="0072181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0706FBA7" w14:textId="77777777" w:rsidR="0072181C" w:rsidRPr="0072181C" w:rsidRDefault="0072181C" w:rsidP="0072181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72181C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Irreversible Steps</w:t>
      </w:r>
      <w:r w:rsidRPr="0072181C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(Steps 1, 3, 10 in Glycolysis): Bypasses three irreversible steps in glycolysis using specific enzymes, including pyruvate carboxylase (Step 1), phosphoenolpyruvate </w:t>
      </w:r>
      <w:proofErr w:type="spellStart"/>
      <w:r w:rsidRPr="0072181C">
        <w:rPr>
          <w:rFonts w:ascii="AGaramond-Regular" w:hAnsi="AGaramond-Regular" w:cs="AGaramond-Regular"/>
          <w:color w:val="231F20"/>
          <w:kern w:val="0"/>
          <w:sz w:val="21"/>
          <w:szCs w:val="21"/>
        </w:rPr>
        <w:t>carboxykinase</w:t>
      </w:r>
      <w:proofErr w:type="spellEnd"/>
      <w:r w:rsidRPr="0072181C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(Step 3), and fructose-1,6-bisphosphatase (Step 10).</w:t>
      </w:r>
    </w:p>
    <w:p w14:paraId="31F0DDAE" w14:textId="77777777" w:rsidR="0072181C" w:rsidRPr="0072181C" w:rsidRDefault="0072181C" w:rsidP="0072181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007535E8" w14:textId="77777777" w:rsidR="0072181C" w:rsidRPr="0072181C" w:rsidRDefault="0072181C" w:rsidP="0072181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72181C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lastRenderedPageBreak/>
        <w:t>Role of Oxaloacetate</w:t>
      </w:r>
      <w:r w:rsidRPr="0072181C">
        <w:rPr>
          <w:rFonts w:ascii="AGaramond-Regular" w:hAnsi="AGaramond-Regular" w:cs="AGaramond-Regular"/>
          <w:color w:val="231F20"/>
          <w:kern w:val="0"/>
          <w:sz w:val="21"/>
          <w:szCs w:val="21"/>
        </w:rPr>
        <w:t>: Oxaloacetate, a crucial intermediate, combines with acetyl-CoA to form citrate in the citric acid cycle and serves as a starting point for gluconeogenesis.</w:t>
      </w:r>
    </w:p>
    <w:p w14:paraId="2BA1A2A8" w14:textId="77777777" w:rsidR="0072181C" w:rsidRPr="0072181C" w:rsidRDefault="0072181C" w:rsidP="0072181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72E9C24C" w14:textId="77777777" w:rsidR="0072181C" w:rsidRPr="0072181C" w:rsidRDefault="0072181C" w:rsidP="0072181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72181C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Energy Cost</w:t>
      </w:r>
      <w:r w:rsidRPr="0072181C">
        <w:rPr>
          <w:rFonts w:ascii="AGaramond-Regular" w:hAnsi="AGaramond-Regular" w:cs="AGaramond-Regular"/>
          <w:color w:val="231F20"/>
          <w:kern w:val="0"/>
          <w:sz w:val="21"/>
          <w:szCs w:val="21"/>
        </w:rPr>
        <w:t>: Demands ATP and GTP, making it energetically demanding.</w:t>
      </w:r>
    </w:p>
    <w:p w14:paraId="0CCFDCF4" w14:textId="77777777" w:rsidR="0072181C" w:rsidRPr="0072181C" w:rsidRDefault="0072181C" w:rsidP="0072181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1D5C37C3" w14:textId="77777777" w:rsidR="0072181C" w:rsidRPr="0072181C" w:rsidRDefault="0072181C" w:rsidP="0072181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72181C">
        <w:rPr>
          <w:rFonts w:ascii="AGaramond-Regular" w:hAnsi="AGaramond-Regular" w:cs="AGaramond-Regular"/>
          <w:color w:val="231F20"/>
          <w:kern w:val="0"/>
          <w:sz w:val="21"/>
          <w:szCs w:val="21"/>
        </w:rPr>
        <w:t>Reciprocal Regulation with Glycolysis: Regulated to avoid futile cycling, ensuring a balance with glycolysis.</w:t>
      </w:r>
    </w:p>
    <w:p w14:paraId="75D3F360" w14:textId="77777777" w:rsidR="0072181C" w:rsidRPr="0072181C" w:rsidRDefault="0072181C" w:rsidP="0072181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5F2CAB46" w14:textId="77777777" w:rsidR="0072181C" w:rsidRPr="0072181C" w:rsidRDefault="0072181C" w:rsidP="0072181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935807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Hormonal Control</w:t>
      </w:r>
      <w:r w:rsidRPr="0072181C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(e.g., cortisol, glucagon): Influenced by hormones such as cortisol (stress hormone) and glucagon (raises blood glucose levels).</w:t>
      </w:r>
    </w:p>
    <w:p w14:paraId="4FB390F1" w14:textId="77777777" w:rsidR="0072181C" w:rsidRPr="0072181C" w:rsidRDefault="0072181C" w:rsidP="0072181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36CC58B3" w14:textId="77777777" w:rsidR="0072181C" w:rsidRPr="0072181C" w:rsidRDefault="0072181C" w:rsidP="0072181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935807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Integration with Metabolism</w:t>
      </w:r>
      <w:r w:rsidRPr="0072181C">
        <w:rPr>
          <w:rFonts w:ascii="AGaramond-Regular" w:hAnsi="AGaramond-Regular" w:cs="AGaramond-Regular"/>
          <w:color w:val="231F20"/>
          <w:kern w:val="0"/>
          <w:sz w:val="21"/>
          <w:szCs w:val="21"/>
        </w:rPr>
        <w:t>: Connected with the citric acid cycle and fatty acid metabolism for overall metabolic balance.</w:t>
      </w:r>
    </w:p>
    <w:p w14:paraId="58739B20" w14:textId="77777777" w:rsidR="0072181C" w:rsidRPr="0072181C" w:rsidRDefault="0072181C" w:rsidP="0072181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323D74A3" w14:textId="6612FB21" w:rsidR="003713F0" w:rsidRDefault="0072181C" w:rsidP="0072181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935807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Physiological Importance</w:t>
      </w:r>
      <w:r w:rsidRPr="0072181C">
        <w:rPr>
          <w:rFonts w:ascii="AGaramond-Regular" w:hAnsi="AGaramond-Regular" w:cs="AGaramond-Regular"/>
          <w:color w:val="231F20"/>
          <w:kern w:val="0"/>
          <w:sz w:val="21"/>
          <w:szCs w:val="21"/>
        </w:rPr>
        <w:t>: Ensures a constant glucose supply for tissues, especially the brain, during nutrient scarcity or fasting.</w:t>
      </w:r>
    </w:p>
    <w:p w14:paraId="042EEB70" w14:textId="77777777" w:rsidR="00C049F6" w:rsidRDefault="00C049F6" w:rsidP="0072181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13D1EB1A" w14:textId="77777777" w:rsidR="00C049F6" w:rsidRDefault="00C049F6" w:rsidP="0072181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2B8FC93C" w14:textId="2C5311F7" w:rsidR="000D1460" w:rsidRPr="000D1460" w:rsidRDefault="000D1460" w:rsidP="0072181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bCs/>
          <w:color w:val="231F20"/>
          <w:kern w:val="0"/>
          <w:sz w:val="28"/>
          <w:szCs w:val="28"/>
        </w:rPr>
      </w:pPr>
      <w:r w:rsidRPr="000D1460">
        <w:rPr>
          <w:rFonts w:ascii="AGaramond-Regular" w:hAnsi="AGaramond-Regular" w:cs="AGaramond-Regular"/>
          <w:b/>
          <w:bCs/>
          <w:color w:val="231F20"/>
          <w:kern w:val="0"/>
          <w:sz w:val="28"/>
          <w:szCs w:val="28"/>
        </w:rPr>
        <w:t>Storage</w:t>
      </w:r>
    </w:p>
    <w:p w14:paraId="4562D28E" w14:textId="6142DFD0" w:rsidR="00C049F6" w:rsidRDefault="00C049F6" w:rsidP="00C049F6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Dietary glucose and the glucose produced by gluconeogenesis are stored in the liver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and other tissues as glycogen.</w:t>
      </w:r>
    </w:p>
    <w:p w14:paraId="5F46F45E" w14:textId="065288A9" w:rsidR="00285E1F" w:rsidRPr="006E4F29" w:rsidRDefault="00285E1F" w:rsidP="00285E1F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G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lycogen degradation is thermodynamically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spontaneous; thus,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glycogen synthesis requires the input of free energy.</w:t>
      </w:r>
    </w:p>
    <w:sectPr w:rsidR="00285E1F" w:rsidRPr="006E4F29" w:rsidSect="00C36E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radeGothic-BoldTw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OT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terstat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7059D"/>
    <w:multiLevelType w:val="hybridMultilevel"/>
    <w:tmpl w:val="4FB09C96"/>
    <w:lvl w:ilvl="0" w:tplc="9822C8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08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3s7AwMDM1tDS3tDRW0lEKTi0uzszPAykwrAUAdUXZxiwAAAA="/>
  </w:docVars>
  <w:rsids>
    <w:rsidRoot w:val="00C36E20"/>
    <w:rsid w:val="000052A7"/>
    <w:rsid w:val="000D1460"/>
    <w:rsid w:val="001A1153"/>
    <w:rsid w:val="00246191"/>
    <w:rsid w:val="00285E1F"/>
    <w:rsid w:val="00295CD2"/>
    <w:rsid w:val="002F2A21"/>
    <w:rsid w:val="00351327"/>
    <w:rsid w:val="003713F0"/>
    <w:rsid w:val="003739B3"/>
    <w:rsid w:val="003C2E06"/>
    <w:rsid w:val="0044739B"/>
    <w:rsid w:val="004646C7"/>
    <w:rsid w:val="004663D0"/>
    <w:rsid w:val="00470BB9"/>
    <w:rsid w:val="00520DA7"/>
    <w:rsid w:val="00593B74"/>
    <w:rsid w:val="005A2EA2"/>
    <w:rsid w:val="005E71E3"/>
    <w:rsid w:val="00625EBF"/>
    <w:rsid w:val="00671D1D"/>
    <w:rsid w:val="0067212D"/>
    <w:rsid w:val="00674B34"/>
    <w:rsid w:val="006B1FD0"/>
    <w:rsid w:val="006E4F29"/>
    <w:rsid w:val="006F494F"/>
    <w:rsid w:val="006F7F8D"/>
    <w:rsid w:val="0072181C"/>
    <w:rsid w:val="00757CD7"/>
    <w:rsid w:val="00787615"/>
    <w:rsid w:val="00825FA8"/>
    <w:rsid w:val="00850665"/>
    <w:rsid w:val="00862D45"/>
    <w:rsid w:val="00875406"/>
    <w:rsid w:val="008D4952"/>
    <w:rsid w:val="0090791A"/>
    <w:rsid w:val="00935807"/>
    <w:rsid w:val="00987045"/>
    <w:rsid w:val="009E73F2"/>
    <w:rsid w:val="009F3773"/>
    <w:rsid w:val="009F6776"/>
    <w:rsid w:val="00A12D23"/>
    <w:rsid w:val="00A47AD9"/>
    <w:rsid w:val="00A71985"/>
    <w:rsid w:val="00A969B0"/>
    <w:rsid w:val="00B054C7"/>
    <w:rsid w:val="00B06D09"/>
    <w:rsid w:val="00BE06ED"/>
    <w:rsid w:val="00BE7F5B"/>
    <w:rsid w:val="00BF43BE"/>
    <w:rsid w:val="00C049F6"/>
    <w:rsid w:val="00C36E20"/>
    <w:rsid w:val="00C40635"/>
    <w:rsid w:val="00C615A8"/>
    <w:rsid w:val="00CA292D"/>
    <w:rsid w:val="00CA42ED"/>
    <w:rsid w:val="00D10C93"/>
    <w:rsid w:val="00D414D2"/>
    <w:rsid w:val="00DA13B5"/>
    <w:rsid w:val="00DB1BEC"/>
    <w:rsid w:val="00DB53C3"/>
    <w:rsid w:val="00E36C24"/>
    <w:rsid w:val="00E4766B"/>
    <w:rsid w:val="00E6786D"/>
    <w:rsid w:val="00F07DB3"/>
    <w:rsid w:val="00FB4A95"/>
    <w:rsid w:val="00FB68CD"/>
    <w:rsid w:val="00FE00E3"/>
    <w:rsid w:val="00FE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C165"/>
  <w15:chartTrackingRefBased/>
  <w15:docId w15:val="{A3FE0985-FFB9-45AC-9EC9-18604846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62</cp:revision>
  <dcterms:created xsi:type="dcterms:W3CDTF">2023-12-23T01:33:00Z</dcterms:created>
  <dcterms:modified xsi:type="dcterms:W3CDTF">2023-12-23T03:41:00Z</dcterms:modified>
</cp:coreProperties>
</file>