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0000"/>
          <w:sz w:val="32"/>
        </w:rPr>
        <w:t>DANH SÁCH ĐƯỜNG DẪN TRUY CẬP VÀ LIÊN KẾT TÀI LIỆU THAM KHẢO (ĐÃ CẬP NHẬT)</w:t>
      </w:r>
    </w:p>
    <w:p>
      <w:r>
        <w:rPr>
          <w:rFonts w:ascii="Calibri" w:hAnsi="Calibri"/>
          <w:sz w:val="22"/>
        </w:rPr>
        <w:t>Tài liệu này tổng hợp toàn bộ các đường dẫn truy cập trực tuyến chính thức, chuẩn hóa các liên kết bị lỗi hoặc bị chặn (như IEEE Xplore Error 418 hay link sách Leanpub/Manning), giúp dễ dàng tra cứu và tải tài liệu nguồn.</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864"/>
          </w:tcPr>
          <w:p>
            <w:pPr>
              <w:jc w:val="center"/>
            </w:pPr>
            <w:r>
              <w:rPr>
                <w:rFonts w:ascii="Calibri" w:hAnsi="Calibri"/>
                <w:b/>
                <w:sz w:val="20"/>
              </w:rPr>
              <w:t>STT</w:t>
            </w:r>
          </w:p>
        </w:tc>
        <w:tc>
          <w:tcPr>
            <w:tcW w:type="dxa" w:w="3312"/>
          </w:tcPr>
          <w:p>
            <w:pPr>
              <w:jc w:val="center"/>
            </w:pPr>
            <w:r>
              <w:rPr>
                <w:rFonts w:ascii="Calibri" w:hAnsi="Calibri"/>
                <w:b/>
                <w:sz w:val="20"/>
              </w:rPr>
              <w:t>Tên tài liệu / Công trình nguồn</w:t>
            </w:r>
          </w:p>
        </w:tc>
        <w:tc>
          <w:tcPr>
            <w:tcW w:type="dxa" w:w="1584"/>
          </w:tcPr>
          <w:p>
            <w:pPr>
              <w:jc w:val="center"/>
            </w:pPr>
            <w:r>
              <w:rPr>
                <w:rFonts w:ascii="Calibri" w:hAnsi="Calibri"/>
                <w:b/>
                <w:sz w:val="20"/>
              </w:rPr>
              <w:t>Phân loại</w:t>
            </w:r>
          </w:p>
        </w:tc>
        <w:tc>
          <w:tcPr>
            <w:tcW w:type="dxa" w:w="3600"/>
          </w:tcPr>
          <w:p>
            <w:pPr>
              <w:jc w:val="center"/>
            </w:pPr>
            <w:r>
              <w:rPr>
                <w:rFonts w:ascii="Calibri" w:hAnsi="Calibri"/>
                <w:b/>
                <w:sz w:val="20"/>
              </w:rPr>
              <w:t>Đường dẫn truy cập trực tuyến (Đã cập nhật)</w:t>
            </w:r>
          </w:p>
        </w:tc>
      </w:tr>
      <w:tr>
        <w:tc>
          <w:tcPr>
            <w:tcW w:type="dxa" w:w="864"/>
          </w:tcPr>
          <w:p>
            <w:pPr>
              <w:jc w:val="center"/>
            </w:pPr>
            <w:r>
              <w:rPr>
                <w:rFonts w:ascii="Calibri" w:hAnsi="Calibri"/>
                <w:color w:val="000000"/>
                <w:sz w:val="19"/>
              </w:rPr>
              <w:t>1</w:t>
            </w:r>
          </w:p>
        </w:tc>
        <w:tc>
          <w:tcPr>
            <w:tcW w:type="dxa" w:w="3312"/>
          </w:tcPr>
          <w:p>
            <w:pPr>
              <w:jc w:val="left"/>
            </w:pPr>
            <w:r>
              <w:rPr>
                <w:rFonts w:ascii="Calibri" w:hAnsi="Calibri"/>
                <w:color w:val="000000"/>
                <w:sz w:val="19"/>
              </w:rPr>
              <w:t>The Art of Unit Testing (3rd Edition)</w:t>
              <w:br/>
              <w:t>Tác giả: Roy Osherove (Manning Publications, 2024)</w:t>
            </w:r>
          </w:p>
        </w:tc>
        <w:tc>
          <w:tcPr>
            <w:tcW w:type="dxa" w:w="1584"/>
          </w:tcPr>
          <w:p>
            <w:pPr>
              <w:jc w:val="center"/>
            </w:pPr>
            <w:r>
              <w:rPr>
                <w:rFonts w:ascii="Calibri" w:hAnsi="Calibri"/>
                <w:color w:val="000000"/>
                <w:sz w:val="19"/>
              </w:rPr>
              <w:t>Sách giáo trình</w:t>
            </w:r>
          </w:p>
        </w:tc>
        <w:tc>
          <w:tcPr>
            <w:tcW w:type="dxa" w:w="3600"/>
          </w:tcPr>
          <w:p>
            <w:pPr>
              <w:jc w:val="left"/>
            </w:pPr>
            <w:r>
              <w:rPr>
                <w:rFonts w:ascii="Calibri" w:hAnsi="Calibri"/>
                <w:color w:val="000000"/>
                <w:sz w:val="19"/>
              </w:rPr>
              <w:t>Manning Livebook:</w:t>
              <w:br/>
              <w:t>https://livebook.manning.com/book/the-art-of-unit-testing-third-edition/</w:t>
              <w:br/>
              <w:br/>
              <w:t>Kho mã nguồn GitHub:</w:t>
              <w:br/>
              <w:t>https://github.com/royosherove/aout3-samples</w:t>
            </w:r>
          </w:p>
        </w:tc>
      </w:tr>
      <w:tr>
        <w:tc>
          <w:tcPr>
            <w:tcW w:type="dxa" w:w="864"/>
          </w:tcPr>
          <w:p>
            <w:pPr>
              <w:jc w:val="center"/>
            </w:pPr>
            <w:r>
              <w:rPr>
                <w:rFonts w:ascii="Calibri" w:hAnsi="Calibri"/>
                <w:color w:val="000000"/>
                <w:sz w:val="19"/>
              </w:rPr>
              <w:t>2</w:t>
            </w:r>
          </w:p>
        </w:tc>
        <w:tc>
          <w:tcPr>
            <w:tcW w:type="dxa" w:w="3312"/>
          </w:tcPr>
          <w:p>
            <w:pPr>
              <w:jc w:val="left"/>
            </w:pPr>
            <w:r>
              <w:rPr>
                <w:rFonts w:ascii="Calibri" w:hAnsi="Calibri"/>
                <w:color w:val="000000"/>
                <w:sz w:val="19"/>
              </w:rPr>
              <w:t>Mimicking Production Behavior with Generated Mocks</w:t>
              <w:br/>
              <w:t>Tác giả: Deepika Tiwari et al. (IEEE TSE 2024)</w:t>
            </w:r>
          </w:p>
        </w:tc>
        <w:tc>
          <w:tcPr>
            <w:tcW w:type="dxa" w:w="1584"/>
          </w:tcPr>
          <w:p>
            <w:pPr>
              <w:jc w:val="center"/>
            </w:pPr>
            <w:r>
              <w:rPr>
                <w:rFonts w:ascii="Calibri" w:hAnsi="Calibri"/>
                <w:color w:val="000000"/>
                <w:sz w:val="19"/>
              </w:rPr>
              <w:t>Bài báo khoa học</w:t>
            </w:r>
          </w:p>
        </w:tc>
        <w:tc>
          <w:tcPr>
            <w:tcW w:type="dxa" w:w="3600"/>
          </w:tcPr>
          <w:p>
            <w:pPr>
              <w:jc w:val="left"/>
            </w:pPr>
            <w:r>
              <w:rPr>
                <w:rFonts w:ascii="Calibri" w:hAnsi="Calibri"/>
                <w:color w:val="000000"/>
                <w:sz w:val="19"/>
              </w:rPr>
              <w:t>Trang arXiv chính thức:</w:t>
              <w:br/>
              <w:t>https://arxiv.org/abs/2208.01321</w:t>
              <w:br/>
              <w:br/>
              <w:t>Tải tệp PDF trực tiếp:</w:t>
              <w:br/>
              <w:t>https://arxiv.org/pdf/2208.01321</w:t>
              <w:br/>
              <w:br/>
              <w:t>DOI IEEE TSE:</w:t>
              <w:br/>
              <w:t>https://doi.org/10.1109/tse.2024.3458448</w:t>
            </w:r>
          </w:p>
        </w:tc>
      </w:tr>
      <w:tr>
        <w:tc>
          <w:tcPr>
            <w:tcW w:type="dxa" w:w="864"/>
          </w:tcPr>
          <w:p>
            <w:pPr>
              <w:jc w:val="center"/>
            </w:pPr>
            <w:r>
              <w:rPr>
                <w:rFonts w:ascii="Calibri" w:hAnsi="Calibri"/>
                <w:color w:val="000000"/>
                <w:sz w:val="19"/>
              </w:rPr>
              <w:t>3</w:t>
            </w:r>
          </w:p>
        </w:tc>
        <w:tc>
          <w:tcPr>
            <w:tcW w:type="dxa" w:w="3312"/>
          </w:tcPr>
          <w:p>
            <w:pPr>
              <w:jc w:val="left"/>
            </w:pPr>
            <w:r>
              <w:rPr>
                <w:rFonts w:ascii="Calibri" w:hAnsi="Calibri"/>
                <w:color w:val="000000"/>
                <w:sz w:val="19"/>
              </w:rPr>
              <w:t>MockSniffer: Characterizing and Recommending Mocking Decisions for Unit Tests</w:t>
              <w:br/>
              <w:t>Tác giả: Hengcheng Zhu et al. (IEEE/ACM ASE 2020)</w:t>
              <w:br/>
              <w:t>(Khắc phục lỗi bị chặn IEEE Xplore Error 418)</w:t>
            </w:r>
          </w:p>
        </w:tc>
        <w:tc>
          <w:tcPr>
            <w:tcW w:type="dxa" w:w="1584"/>
          </w:tcPr>
          <w:p>
            <w:pPr>
              <w:jc w:val="center"/>
            </w:pPr>
            <w:r>
              <w:rPr>
                <w:rFonts w:ascii="Calibri" w:hAnsi="Calibri"/>
                <w:color w:val="000000"/>
                <w:sz w:val="19"/>
              </w:rPr>
              <w:t>Bài báo khoa học</w:t>
            </w:r>
          </w:p>
        </w:tc>
        <w:tc>
          <w:tcPr>
            <w:tcW w:type="dxa" w:w="3600"/>
          </w:tcPr>
          <w:p>
            <w:pPr>
              <w:jc w:val="left"/>
            </w:pPr>
            <w:r>
              <w:rPr>
                <w:rFonts w:ascii="Calibri" w:hAnsi="Calibri"/>
                <w:color w:val="000000"/>
                <w:sz w:val="19"/>
              </w:rPr>
              <w:t>Cổng thông tin nghiên cứu HKUST:</w:t>
              <w:br/>
              <w:t>https://researchportal.hkust.edu.hk/en/publications/mocksniffer-characterizing-and-recommending-mocking-decisions-for/</w:t>
              <w:br/>
              <w:br/>
              <w:t>Liên kết DOI chính thức:</w:t>
              <w:br/>
              <w:t>https://doi.org/10.1145/3324884.3416539</w:t>
            </w:r>
          </w:p>
        </w:tc>
      </w:tr>
      <w:tr>
        <w:tc>
          <w:tcPr>
            <w:tcW w:type="dxa" w:w="864"/>
          </w:tcPr>
          <w:p>
            <w:pPr>
              <w:jc w:val="center"/>
            </w:pPr>
            <w:r>
              <w:rPr>
                <w:rFonts w:ascii="Calibri" w:hAnsi="Calibri"/>
                <w:color w:val="000000"/>
                <w:sz w:val="19"/>
              </w:rPr>
              <w:t>4</w:t>
            </w:r>
          </w:p>
        </w:tc>
        <w:tc>
          <w:tcPr>
            <w:tcW w:type="dxa" w:w="3312"/>
          </w:tcPr>
          <w:p>
            <w:pPr>
              <w:jc w:val="left"/>
            </w:pPr>
            <w:r>
              <w:rPr>
                <w:rFonts w:ascii="Calibri" w:hAnsi="Calibri"/>
                <w:color w:val="000000"/>
                <w:sz w:val="19"/>
              </w:rPr>
              <w:t>JUnit and Mockito Best Practices for Unit Testing in Java</w:t>
              <w:br/>
              <w:t>Tác giả: Madhan Kumar (2025)</w:t>
            </w:r>
          </w:p>
        </w:tc>
        <w:tc>
          <w:tcPr>
            <w:tcW w:type="dxa" w:w="1584"/>
          </w:tcPr>
          <w:p>
            <w:pPr>
              <w:jc w:val="center"/>
            </w:pPr>
            <w:r>
              <w:rPr>
                <w:rFonts w:ascii="Calibri" w:hAnsi="Calibri"/>
                <w:color w:val="000000"/>
                <w:sz w:val="19"/>
              </w:rPr>
              <w:t>Hướng dẫn kỹ thuật</w:t>
            </w:r>
          </w:p>
        </w:tc>
        <w:tc>
          <w:tcPr>
            <w:tcW w:type="dxa" w:w="3600"/>
          </w:tcPr>
          <w:p>
            <w:pPr>
              <w:jc w:val="left"/>
            </w:pPr>
            <w:r>
              <w:rPr>
                <w:rFonts w:ascii="Calibri" w:hAnsi="Calibri"/>
                <w:color w:val="000000"/>
                <w:sz w:val="19"/>
              </w:rPr>
              <w:t>DEV Community:</w:t>
              <w:br/>
              <w:t>https://dev.to/iammadhankumar/junit-and-mockito-best-practices-for-unit-testing-in-java-4icb</w:t>
            </w:r>
          </w:p>
        </w:tc>
      </w:tr>
      <w:tr>
        <w:tc>
          <w:tcPr>
            <w:tcW w:type="dxa" w:w="864"/>
          </w:tcPr>
          <w:p>
            <w:pPr>
              <w:jc w:val="center"/>
            </w:pPr>
            <w:r>
              <w:rPr>
                <w:rFonts w:ascii="Calibri" w:hAnsi="Calibri"/>
                <w:color w:val="000000"/>
                <w:sz w:val="19"/>
              </w:rPr>
              <w:t>5</w:t>
            </w:r>
          </w:p>
        </w:tc>
        <w:tc>
          <w:tcPr>
            <w:tcW w:type="dxa" w:w="3312"/>
          </w:tcPr>
          <w:p>
            <w:pPr>
              <w:jc w:val="left"/>
            </w:pPr>
            <w:r>
              <w:rPr>
                <w:rFonts w:ascii="Calibri" w:hAnsi="Calibri"/>
                <w:color w:val="000000"/>
                <w:sz w:val="19"/>
              </w:rPr>
              <w:t>Modern Mocking Tools and Black Magic</w:t>
              <w:br/>
              <w:t>Tác giả: Brett L. Schuchert &amp; Martin Fowler (2012)</w:t>
            </w:r>
          </w:p>
        </w:tc>
        <w:tc>
          <w:tcPr>
            <w:tcW w:type="dxa" w:w="1584"/>
          </w:tcPr>
          <w:p>
            <w:pPr>
              <w:jc w:val="center"/>
            </w:pPr>
            <w:r>
              <w:rPr>
                <w:rFonts w:ascii="Calibri" w:hAnsi="Calibri"/>
                <w:color w:val="000000"/>
                <w:sz w:val="19"/>
              </w:rPr>
              <w:t>Bài viết chuyên gia</w:t>
            </w:r>
          </w:p>
        </w:tc>
        <w:tc>
          <w:tcPr>
            <w:tcW w:type="dxa" w:w="3600"/>
          </w:tcPr>
          <w:p>
            <w:pPr>
              <w:jc w:val="left"/>
            </w:pPr>
            <w:r>
              <w:rPr>
                <w:rFonts w:ascii="Calibri" w:hAnsi="Calibri"/>
                <w:color w:val="000000"/>
                <w:sz w:val="19"/>
              </w:rPr>
              <w:t>Trang chính thức Martin Fowler:</w:t>
              <w:br/>
              <w:t>https://martinfowler.com/articles/modernMockingTools.html</w:t>
            </w:r>
          </w:p>
        </w:tc>
      </w:tr>
      <w:tr>
        <w:tc>
          <w:tcPr>
            <w:tcW w:type="dxa" w:w="864"/>
          </w:tcPr>
          <w:p>
            <w:pPr>
              <w:jc w:val="center"/>
            </w:pPr>
            <w:r>
              <w:rPr>
                <w:rFonts w:ascii="Calibri" w:hAnsi="Calibri"/>
                <w:color w:val="000000"/>
                <w:sz w:val="19"/>
              </w:rPr>
              <w:t>6</w:t>
            </w:r>
          </w:p>
        </w:tc>
        <w:tc>
          <w:tcPr>
            <w:tcW w:type="dxa" w:w="3312"/>
          </w:tcPr>
          <w:p>
            <w:pPr>
              <w:jc w:val="left"/>
            </w:pPr>
            <w:r>
              <w:rPr>
                <w:rFonts w:ascii="Calibri" w:hAnsi="Calibri"/>
                <w:color w:val="000000"/>
                <w:sz w:val="19"/>
              </w:rPr>
              <w:t>Practical Unit Testing with JUnit and Mockito</w:t>
              <w:br/>
              <w:t>Tác giả: Tomek Kaczanowski</w:t>
              <w:br/>
              <w:t>(Cập nhật link phiên bản 2 đang hoạt động)</w:t>
            </w:r>
          </w:p>
        </w:tc>
        <w:tc>
          <w:tcPr>
            <w:tcW w:type="dxa" w:w="1584"/>
          </w:tcPr>
          <w:p>
            <w:pPr>
              <w:jc w:val="center"/>
            </w:pPr>
            <w:r>
              <w:rPr>
                <w:rFonts w:ascii="Calibri" w:hAnsi="Calibri"/>
                <w:color w:val="000000"/>
                <w:sz w:val="19"/>
              </w:rPr>
              <w:t>Sách chuyên khảo</w:t>
            </w:r>
          </w:p>
        </w:tc>
        <w:tc>
          <w:tcPr>
            <w:tcW w:type="dxa" w:w="3600"/>
          </w:tcPr>
          <w:p>
            <w:pPr>
              <w:jc w:val="left"/>
            </w:pPr>
            <w:r>
              <w:rPr>
                <w:rFonts w:ascii="Calibri" w:hAnsi="Calibri"/>
                <w:color w:val="000000"/>
                <w:sz w:val="19"/>
              </w:rPr>
              <w:t>Trang mua sách Leanpub (2nd Edition):</w:t>
              <w:br/>
              <w:t>https://leanpub.com/practicalunittestingwithjunitandmockito-2ndedition</w:t>
              <w:br/>
              <w:br/>
              <w:t>Trang tác giả Leanpub:</w:t>
              <w:br/>
              <w:t>https://leanpub.com/u/tomekkaczanowski</w:t>
            </w:r>
          </w:p>
        </w:tc>
      </w:tr>
      <w:tr>
        <w:tc>
          <w:tcPr>
            <w:tcW w:type="dxa" w:w="864"/>
          </w:tcPr>
          <w:p>
            <w:pPr>
              <w:jc w:val="center"/>
            </w:pPr>
            <w:r>
              <w:rPr>
                <w:rFonts w:ascii="Calibri" w:hAnsi="Calibri"/>
                <w:color w:val="000000"/>
                <w:sz w:val="19"/>
              </w:rPr>
              <w:t>7</w:t>
            </w:r>
          </w:p>
        </w:tc>
        <w:tc>
          <w:tcPr>
            <w:tcW w:type="dxa" w:w="3312"/>
          </w:tcPr>
          <w:p>
            <w:pPr>
              <w:jc w:val="left"/>
            </w:pPr>
            <w:r>
              <w:rPr>
                <w:rFonts w:ascii="Calibri" w:hAnsi="Calibri"/>
                <w:color w:val="000000"/>
                <w:sz w:val="19"/>
              </w:rPr>
              <w:t>Unit Testing Principles, Practices, and Patterns</w:t>
              <w:br/>
              <w:t>Tác giả: Vladimir Khorikov (Manning Publications, 2020)</w:t>
              <w:br/>
              <w:t>(Cập nhật link trang sách Manning)</w:t>
            </w:r>
          </w:p>
        </w:tc>
        <w:tc>
          <w:tcPr>
            <w:tcW w:type="dxa" w:w="1584"/>
          </w:tcPr>
          <w:p>
            <w:pPr>
              <w:jc w:val="center"/>
            </w:pPr>
            <w:r>
              <w:rPr>
                <w:rFonts w:ascii="Calibri" w:hAnsi="Calibri"/>
                <w:color w:val="000000"/>
                <w:sz w:val="19"/>
              </w:rPr>
              <w:t>Sách giáo trình</w:t>
            </w:r>
          </w:p>
        </w:tc>
        <w:tc>
          <w:tcPr>
            <w:tcW w:type="dxa" w:w="3600"/>
          </w:tcPr>
          <w:p>
            <w:pPr>
              <w:jc w:val="left"/>
            </w:pPr>
            <w:r>
              <w:rPr>
                <w:rFonts w:ascii="Calibri" w:hAnsi="Calibri"/>
                <w:color w:val="000000"/>
                <w:sz w:val="19"/>
              </w:rPr>
              <w:t>Trang giới thiệu sách Manning:</w:t>
              <w:br/>
              <w:t>https://www.manning.com/books/unit-testing</w:t>
              <w:br/>
              <w:br/>
              <w:t>Đọc trực tuyến Manning Livebook:</w:t>
              <w:br/>
              <w:t>https://livebook.manning.com/book/unit-testing</w:t>
            </w:r>
          </w:p>
        </w:tc>
      </w:tr>
      <w:tr>
        <w:tc>
          <w:tcPr>
            <w:tcW w:type="dxa" w:w="864"/>
          </w:tcPr>
          <w:p>
            <w:pPr>
              <w:jc w:val="center"/>
            </w:pPr>
            <w:r>
              <w:rPr>
                <w:rFonts w:ascii="Calibri" w:hAnsi="Calibri"/>
                <w:color w:val="000000"/>
                <w:sz w:val="19"/>
              </w:rPr>
              <w:t>8</w:t>
            </w:r>
          </w:p>
        </w:tc>
        <w:tc>
          <w:tcPr>
            <w:tcW w:type="dxa" w:w="3312"/>
          </w:tcPr>
          <w:p>
            <w:pPr>
              <w:jc w:val="left"/>
            </w:pPr>
            <w:r>
              <w:rPr>
                <w:rFonts w:ascii="Calibri" w:hAnsi="Calibri"/>
                <w:color w:val="000000"/>
                <w:sz w:val="19"/>
              </w:rPr>
              <w:t>Using Dependency Structures for Prioritisation of Functional Test Suites</w:t>
              <w:br/>
              <w:t>Tác giả: Shifa-e-Zehra Haidry &amp; Tim Miller (IEEE TSE 2012)</w:t>
            </w:r>
          </w:p>
        </w:tc>
        <w:tc>
          <w:tcPr>
            <w:tcW w:type="dxa" w:w="1584"/>
          </w:tcPr>
          <w:p>
            <w:pPr>
              <w:jc w:val="center"/>
            </w:pPr>
            <w:r>
              <w:rPr>
                <w:rFonts w:ascii="Calibri" w:hAnsi="Calibri"/>
                <w:color w:val="000000"/>
                <w:sz w:val="19"/>
              </w:rPr>
              <w:t>Bài báo khoa học</w:t>
            </w:r>
          </w:p>
        </w:tc>
        <w:tc>
          <w:tcPr>
            <w:tcW w:type="dxa" w:w="3600"/>
          </w:tcPr>
          <w:p>
            <w:pPr>
              <w:jc w:val="left"/>
            </w:pPr>
            <w:r>
              <w:rPr>
                <w:rFonts w:ascii="Calibri" w:hAnsi="Calibri"/>
                <w:color w:val="000000"/>
                <w:sz w:val="19"/>
              </w:rPr>
              <w:t>Tệp PDF trong bộ nguồn:</w:t>
              <w:br/>
              <w:t>tse-2012-dsp-prioritisation.pdf</w:t>
              <w:br/>
              <w:br/>
              <w:t>Liên kết DOI IEEE Xplore:</w:t>
              <w:br/>
              <w:t>https://doi.org/10.1109/TSE.2012.38</w:t>
            </w:r>
          </w:p>
        </w:tc>
      </w:tr>
      <w:tr>
        <w:tc>
          <w:tcPr>
            <w:tcW w:type="dxa" w:w="864"/>
          </w:tcPr>
          <w:p>
            <w:pPr>
              <w:jc w:val="center"/>
            </w:pPr>
            <w:r>
              <w:rPr>
                <w:rFonts w:ascii="Calibri" w:hAnsi="Calibri"/>
                <w:color w:val="000000"/>
                <w:sz w:val="19"/>
              </w:rPr>
              <w:t>9</w:t>
            </w:r>
          </w:p>
        </w:tc>
        <w:tc>
          <w:tcPr>
            <w:tcW w:type="dxa" w:w="3312"/>
          </w:tcPr>
          <w:p>
            <w:pPr>
              <w:jc w:val="left"/>
            </w:pPr>
            <w:r>
              <w:rPr>
                <w:rFonts w:ascii="Calibri" w:hAnsi="Calibri"/>
                <w:color w:val="000000"/>
                <w:sz w:val="19"/>
              </w:rPr>
              <w:t>Test Case Prioritization in a Specification-based Testing Environment</w:t>
              <w:br/>
              <w:t>Tác giả: Gary Yu-Hsin Chen &amp; Pei-Qi Wang (Journal of Software, 2014)</w:t>
            </w:r>
          </w:p>
        </w:tc>
        <w:tc>
          <w:tcPr>
            <w:tcW w:type="dxa" w:w="1584"/>
          </w:tcPr>
          <w:p>
            <w:pPr>
              <w:jc w:val="center"/>
            </w:pPr>
            <w:r>
              <w:rPr>
                <w:rFonts w:ascii="Calibri" w:hAnsi="Calibri"/>
                <w:color w:val="000000"/>
                <w:sz w:val="19"/>
              </w:rPr>
              <w:t>Bài báo khoa học</w:t>
            </w:r>
          </w:p>
        </w:tc>
        <w:tc>
          <w:tcPr>
            <w:tcW w:type="dxa" w:w="3600"/>
          </w:tcPr>
          <w:p>
            <w:pPr>
              <w:jc w:val="left"/>
            </w:pPr>
            <w:r>
              <w:rPr>
                <w:rFonts w:ascii="Calibri" w:hAnsi="Calibri"/>
                <w:color w:val="000000"/>
                <w:sz w:val="19"/>
              </w:rPr>
              <w:t>Tệp PDF trong bộ nguồn:</w:t>
              <w:br/>
              <w:t>11846-28216-1-PB.pdf</w:t>
            </w:r>
          </w:p>
        </w:tc>
      </w:tr>
      <w:tr>
        <w:tc>
          <w:tcPr>
            <w:tcW w:type="dxa" w:w="864"/>
          </w:tcPr>
          <w:p>
            <w:pPr>
              <w:jc w:val="center"/>
            </w:pPr>
            <w:r>
              <w:rPr>
                <w:rFonts w:ascii="Calibri" w:hAnsi="Calibri"/>
                <w:color w:val="000000"/>
                <w:sz w:val="19"/>
              </w:rPr>
              <w:t>10</w:t>
            </w:r>
          </w:p>
        </w:tc>
        <w:tc>
          <w:tcPr>
            <w:tcW w:type="dxa" w:w="3312"/>
          </w:tcPr>
          <w:p>
            <w:pPr>
              <w:jc w:val="left"/>
            </w:pPr>
            <w:r>
              <w:rPr>
                <w:rFonts w:ascii="Calibri" w:hAnsi="Calibri"/>
                <w:color w:val="000000"/>
                <w:sz w:val="19"/>
              </w:rPr>
              <w:t>Đề cương Đồ án Tốt nghiệp &amp; Báo cáo Tiến độ Kiểm thử Dự án Speed Delivery</w:t>
              <w:br/>
              <w:t>Tác giả: Đặng Anh Vũ (Trường Đại học Quy Nhơn, 2026)</w:t>
            </w:r>
          </w:p>
        </w:tc>
        <w:tc>
          <w:tcPr>
            <w:tcW w:type="dxa" w:w="1584"/>
          </w:tcPr>
          <w:p>
            <w:pPr>
              <w:jc w:val="center"/>
            </w:pPr>
            <w:r>
              <w:rPr>
                <w:rFonts w:ascii="Calibri" w:hAnsi="Calibri"/>
                <w:color w:val="000000"/>
                <w:sz w:val="19"/>
              </w:rPr>
              <w:t>Báo cáo đồ án</w:t>
            </w:r>
          </w:p>
        </w:tc>
        <w:tc>
          <w:tcPr>
            <w:tcW w:type="dxa" w:w="3600"/>
          </w:tcPr>
          <w:p>
            <w:pPr>
              <w:jc w:val="left"/>
            </w:pPr>
            <w:r>
              <w:rPr>
                <w:rFonts w:ascii="Calibri" w:hAnsi="Calibri"/>
                <w:color w:val="000000"/>
                <w:sz w:val="19"/>
              </w:rPr>
              <w:t>Các tệp Word / Markdown lưu trực tiếp trong thư mục bộ nguồn của dự án.</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