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E3A8A"/>
          <w:sz w:val="40"/>
        </w:rPr>
        <w:t>TEXT MINING &amp; RETRIEVAL-AUGMENTED GENERATION (RAG) SYSTEM</w:t>
      </w:r>
    </w:p>
    <w:p>
      <w:pPr>
        <w:spacing w:before="0" w:after="280"/>
      </w:pPr>
      <w:r>
        <w:rPr>
          <w:i/>
          <w:color w:val="0D9488"/>
          <w:sz w:val="24"/>
        </w:rPr>
        <w:t>Comprehensive Technical Report: Domain Benchmark Analysis, Architecture, Implemented Techniques, Baseline Performance &amp; Future Experimental Roadmap</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24" w:space="0" w:color="0D9488"/>
              <w:bottom w:val="none"/>
              <w:right w:val="none"/>
            </w:tcBorders>
          </w:tcPr>
          <w:p>
            <w:pPr>
              <w:spacing w:before="40" w:after="80"/>
            </w:pPr>
            <w:r>
              <w:rPr>
                <w:rFonts w:ascii="Arial" w:hAnsi="Arial"/>
                <w:b/>
                <w:color w:val="1E3A8A"/>
                <w:sz w:val="22"/>
              </w:rPr>
              <w:t>PROJECT SPECIFICATION METADATA</w:t>
            </w:r>
          </w:p>
          <w:p>
            <w:pPr>
              <w:spacing w:before="0" w:after="40"/>
            </w:pPr>
            <w:r>
              <w:rPr>
                <w:rFonts w:ascii="Arial" w:hAnsi="Arial"/>
                <w:color w:val="334155"/>
                <w:sz w:val="19"/>
              </w:rPr>
              <w:t>Domain: Cybersecurity Intelligence &amp; MITRE ATT&amp;CK Framework QA</w:t>
              <w:br/>
              <w:t>Codebase Scope: Data Ingestion &amp; Deduplication, BM25 Lexical Search, FAISS Vector Search, Hybrid RRF Fusion, Llama-3.3-70B &amp; Qwen2.5-1.5B Generation, FastAPI Backend, Streamlit Web App, LLM-as-a-Judge Evaluation</w:t>
              <w:br/>
              <w:t>Primary Benchmark Dataset: AttackQA Parquet Dataset (17,760 Deduplicated Corpus Passages, 25,335 QA Pairs)</w:t>
            </w:r>
          </w:p>
        </w:tc>
      </w:tr>
    </w:tbl>
    <w:p>
      <w:pPr>
        <w:spacing w:before="0" w:after="80"/>
      </w:pPr>
    </w:p>
    <w:p>
      <w:pPr>
        <w:keepNext/>
        <w:spacing w:before="320" w:after="120"/>
      </w:pPr>
      <w:r>
        <w:rPr>
          <w:rFonts w:ascii="Arial" w:hAnsi="Arial"/>
          <w:b/>
          <w:color w:val="1E3A8A"/>
          <w:sz w:val="28"/>
        </w:rPr>
        <w:t>1. Project Overview &amp; Problem Statement</w:t>
      </w:r>
    </w:p>
    <w:p>
      <w:pPr>
        <w:spacing w:before="0" w:after="120" w:line="276" w:lineRule="auto"/>
      </w:pPr>
      <w:r>
        <w:rPr>
          <w:color w:val="334155"/>
        </w:rPr>
        <w:t>This project develops a domain-specific Text Mining and Retrieval-Augmented Generation (RAG) system tailored for cybersecurity threat intelligence based on the MITRE ATT&amp;CK knowledge base. Cybersecurity Operations Centers (SOCs) and security analysts deal with highly specialized taxonomies, Technique IDs (e.g., T1055 Process Injection, T1027 Obfuscated Files), software execution behavior, detection rules, and mitigation procedures. General-purpose LLMs without retrieval context often hallucinate specific ATT&amp;CK codes or fail to deliver exact defensive procedures.</w:t>
      </w:r>
    </w:p>
    <w:p>
      <w:pPr>
        <w:spacing w:before="0" w:after="120" w:line="276" w:lineRule="auto"/>
      </w:pPr>
      <w:r>
        <w:rPr>
          <w:color w:val="334155"/>
        </w:rPr>
        <w:t>The codebase is constructed as an end-to-end experimental testbed. It allows researchers and developers to rigorously ingest, index, retrieve, generate, evaluate, and analyze text mining pipelines under multiple retrieval modalities (Lexical BM25S, Dense FAISS vector embeddings, and Hybrid RRF fusion) combined with state-of-the-art open-weights and API-based LLMs (Groq Llama-3.3-70B and local Qwen2.5-1.5B).</w:t>
      </w:r>
    </w:p>
    <w:p>
      <w:pPr>
        <w:keepNext/>
        <w:spacing w:before="240" w:after="80"/>
      </w:pPr>
      <w:r>
        <w:rPr>
          <w:rFonts w:ascii="Arial" w:hAnsi="Arial"/>
          <w:b/>
          <w:color w:val="0D9488"/>
          <w:sz w:val="24"/>
        </w:rPr>
        <w:t>1.1 Key Technical Objectives</w:t>
      </w:r>
    </w:p>
    <w:p>
      <w:pPr>
        <w:pStyle w:val="ListBullet"/>
        <w:spacing w:before="0" w:after="60"/>
      </w:pPr>
      <w:r>
        <w:rPr>
          <w:b/>
          <w:color w:val="0F172A"/>
        </w:rPr>
        <w:t xml:space="preserve">1. Precision Knowledge Retrieval: </w:t>
      </w:r>
      <w:r>
        <w:rPr>
          <w:color w:val="334155"/>
        </w:rPr>
        <w:t>Achieve high retrieval accuracy across domain-specific queries using sparse lexical indexing and dense semantic representation.</w:t>
      </w:r>
    </w:p>
    <w:p>
      <w:pPr>
        <w:pStyle w:val="ListBullet"/>
        <w:spacing w:before="0" w:after="60"/>
      </w:pPr>
      <w:r>
        <w:rPr>
          <w:b/>
          <w:color w:val="0F172A"/>
        </w:rPr>
        <w:t xml:space="preserve">2. Structured &amp; Auditable Output: </w:t>
      </w:r>
      <w:r>
        <w:rPr>
          <w:color w:val="334155"/>
        </w:rPr>
        <w:t>Enforce strict JSON schema contracts from generators containing both natural language answers and explicit context chunk citations (`doc_id`).</w:t>
      </w:r>
    </w:p>
    <w:p>
      <w:pPr>
        <w:pStyle w:val="ListBullet"/>
        <w:spacing w:before="0" w:after="60"/>
      </w:pPr>
      <w:r>
        <w:rPr>
          <w:b/>
          <w:color w:val="0F172A"/>
        </w:rPr>
        <w:t xml:space="preserve">3. Rigorous Stratified Benchmark Evaluation: </w:t>
      </w:r>
      <w:r>
        <w:rPr>
          <w:color w:val="334155"/>
        </w:rPr>
        <w:t>Evaluate retrieval performance (MRR, Recall@1, Recall@5, Recall@10) and LLM answer quality (Hard Accuracy, Faithfulness, Answer Relevancy) across 12 distinct MITRE ATT&amp;CK source categories.</w:t>
      </w:r>
    </w:p>
    <w:p>
      <w:pPr>
        <w:pStyle w:val="ListBullet"/>
        <w:spacing w:before="0" w:after="60"/>
      </w:pPr>
      <w:r>
        <w:rPr>
          <w:b/>
          <w:color w:val="0F172A"/>
        </w:rPr>
        <w:t xml:space="preserve">4. Modular &amp; Production-Ready Codebase: </w:t>
      </w:r>
      <w:r>
        <w:rPr>
          <w:color w:val="334155"/>
        </w:rPr>
        <w:t>Provide clean abstractions (Base Indexer, Base Retriever, Base Generator, Base Pipeline), supported by a FastAPI REST service and an interactive Streamlit UI.</w:t>
      </w:r>
    </w:p>
    <w:p>
      <w:pPr>
        <w:keepNext/>
        <w:spacing w:before="320" w:after="120"/>
      </w:pPr>
      <w:r>
        <w:rPr>
          <w:rFonts w:ascii="Arial" w:hAnsi="Arial"/>
          <w:b/>
          <w:color w:val="1E3A8A"/>
          <w:sz w:val="28"/>
        </w:rPr>
        <w:t>2. Benchmark Dataset Analysis: AttackQA</w:t>
      </w:r>
    </w:p>
    <w:p>
      <w:pPr>
        <w:spacing w:before="0" w:after="120" w:line="276" w:lineRule="auto"/>
      </w:pPr>
      <w:r>
        <w:rPr>
          <w:color w:val="334155"/>
        </w:rPr>
        <w:t>The project utilizes the AttackQA benchmark dataset (developed by SambaNova Systems). AttackQA contains curated Question-Answer pairs constructed from MITRE ATT&amp;CK data structures, pairing complex cybersecurity queries with atomic background passages.</w:t>
      </w:r>
    </w:p>
    <w:p>
      <w:pPr>
        <w:keepNext/>
        <w:spacing w:before="240" w:after="80"/>
      </w:pPr>
      <w:r>
        <w:rPr>
          <w:rFonts w:ascii="Arial" w:hAnsi="Arial"/>
          <w:b/>
          <w:color w:val="0D9488"/>
          <w:sz w:val="24"/>
        </w:rPr>
        <w:t>2.1 Data Ingestion &amp; Deduplication Pipeline</w:t>
      </w:r>
    </w:p>
    <w:p>
      <w:pPr>
        <w:spacing w:before="0" w:after="120" w:line="276" w:lineRule="auto"/>
      </w:pPr>
      <w:r>
        <w:rPr>
          <w:color w:val="334155"/>
        </w:rPr>
        <w:t>Raw parquet data (`data/benchmark/attackqa.parquet`) consists of pre-segmented text passages in the `document` column. The ingestion engine (`src/ingestion/core.py`) executes a strict deduplication and stratification protocol:</w:t>
      </w:r>
    </w:p>
    <w:p>
      <w:pPr>
        <w:pStyle w:val="ListBullet"/>
        <w:spacing w:before="0" w:after="60"/>
      </w:pPr>
      <w:r>
        <w:rPr>
          <w:b/>
          <w:color w:val="0F172A"/>
        </w:rPr>
        <w:t xml:space="preserve">SHA-1 Content Hashing (`compute_doc_id`): </w:t>
      </w:r>
      <w:r>
        <w:rPr>
          <w:color w:val="334155"/>
        </w:rPr>
        <w:t>Normalized passage text (preserving internal whitespace/newlines) is hashed using SHA-1 (truncated to 16 hex chars) to generate stable, deterministic `doc_id` keys.</w:t>
      </w:r>
    </w:p>
    <w:p>
      <w:pPr>
        <w:pStyle w:val="ListBullet"/>
        <w:spacing w:before="0" w:after="60"/>
      </w:pPr>
      <w:r>
        <w:rPr>
          <w:b/>
          <w:color w:val="0F172A"/>
        </w:rPr>
        <w:t xml:space="preserve">Corpus Deduplication: </w:t>
      </w:r>
      <w:r>
        <w:rPr>
          <w:color w:val="334155"/>
        </w:rPr>
        <w:t>Reduces raw redundant rows down to 17,760 unique canonical document passages.</w:t>
      </w:r>
    </w:p>
    <w:p>
      <w:pPr>
        <w:pStyle w:val="ListBullet"/>
        <w:spacing w:before="0" w:after="60"/>
      </w:pPr>
      <w:r>
        <w:rPr>
          <w:b/>
          <w:color w:val="0F172A"/>
        </w:rPr>
        <w:t xml:space="preserve">QA Pair Construction: </w:t>
      </w:r>
      <w:r>
        <w:rPr>
          <w:color w:val="334155"/>
        </w:rPr>
        <w:t>Generates 25,335 QA examples, linking each question and answer to its ground-truth `doc_id` and metadata (`subject_id`, `subject_type`, `source`, `url`, `references`).</w:t>
      </w:r>
    </w:p>
    <w:p>
      <w:pPr>
        <w:pStyle w:val="ListBullet"/>
        <w:spacing w:before="0" w:after="60"/>
      </w:pPr>
      <w:r>
        <w:rPr>
          <w:b/>
          <w:color w:val="0F172A"/>
        </w:rPr>
        <w:t xml:space="preserve">Stratified 80/10/10 Allocation (`stratified_split`): </w:t>
      </w:r>
      <w:r>
        <w:rPr>
          <w:color w:val="334155"/>
        </w:rPr>
        <w:t>Applies a custom manual per-group allocator based on the `source` category, creating Train (20,268 rows), Dev (2,533 rows), and Test (2,534 rows). This prevents errors on rare source classes with few samples.</w:t>
      </w:r>
    </w:p>
    <w:p>
      <w:pPr>
        <w:keepNext/>
        <w:spacing w:before="240" w:after="80"/>
      </w:pPr>
      <w:r>
        <w:rPr>
          <w:rFonts w:ascii="Arial" w:hAnsi="Arial"/>
          <w:b/>
          <w:color w:val="0D9488"/>
          <w:sz w:val="24"/>
        </w:rPr>
        <w:t>2.2 Dataset Profile &amp; Source Mix</w:t>
      </w:r>
    </w:p>
    <w:p>
      <w:pPr>
        <w:spacing w:before="0" w:after="120" w:line="276" w:lineRule="auto"/>
      </w:pPr>
      <w:r>
        <w:rPr>
          <w:color w:val="334155"/>
        </w:rPr>
        <w:t>The table below details the distribution of source template categories in the deduplicated corpus: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20" w:type="dxa"/>
              <w:bottom w:w="120" w:type="dxa"/>
              <w:left w:w="150" w:type="dxa"/>
              <w:right w:w="150" w:type="dxa"/>
            </w:tcMar>
          </w:tcPr>
          <w:p>
            <w:pPr>
              <w:spacing w:before="40" w:after="40"/>
              <w:jc w:val="center"/>
            </w:pPr>
            <w:r>
              <w:rPr>
                <w:rFonts w:ascii="Arial" w:hAnsi="Arial"/>
                <w:b/>
                <w:color w:val="FFFFFF"/>
                <w:sz w:val="19"/>
              </w:rPr>
              <w:t>Source Template Category</w:t>
            </w:r>
          </w:p>
        </w:tc>
        <w:tc>
          <w:tcPr>
            <w:tcW w:type="dxa" w:w="3120"/>
            <w:shd w:fill="1E3A8A"/>
            <w:tcMar>
              <w:top w:w="120" w:type="dxa"/>
              <w:bottom w:w="120" w:type="dxa"/>
              <w:left w:w="150" w:type="dxa"/>
              <w:right w:w="150" w:type="dxa"/>
            </w:tcMar>
          </w:tcPr>
          <w:p>
            <w:pPr>
              <w:spacing w:before="40" w:after="40"/>
              <w:jc w:val="center"/>
            </w:pPr>
            <w:r>
              <w:rPr>
                <w:rFonts w:ascii="Arial" w:hAnsi="Arial"/>
                <w:b/>
                <w:color w:val="FFFFFF"/>
                <w:sz w:val="19"/>
              </w:rPr>
              <w:t>Corpus Doc Count</w:t>
            </w:r>
          </w:p>
        </w:tc>
        <w:tc>
          <w:tcPr>
            <w:tcW w:type="dxa" w:w="3120"/>
            <w:shd w:fill="1E3A8A"/>
            <w:tcMar>
              <w:top w:w="120" w:type="dxa"/>
              <w:bottom w:w="120" w:type="dxa"/>
              <w:left w:w="150" w:type="dxa"/>
              <w:right w:w="150" w:type="dxa"/>
            </w:tcMar>
          </w:tcPr>
          <w:p>
            <w:pPr>
              <w:spacing w:before="40" w:after="40"/>
              <w:jc w:val="center"/>
            </w:pPr>
            <w:r>
              <w:rPr>
                <w:rFonts w:ascii="Arial" w:hAnsi="Arial"/>
                <w:b/>
                <w:color w:val="FFFFFF"/>
                <w:sz w:val="19"/>
              </w:rPr>
              <w:t>Corpus Share (%)</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relationships_uses_software</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8,534</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48.05%</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relationships_detects</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1,618</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9.11%</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relationships_mitigations</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1,131</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6.37%</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relationships_techniques_for_software</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677</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3.81%</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software</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676</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3.81%</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techniques_tactics</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637</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3.59%</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techniques</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618</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3.48%</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relationships_detections_summaries</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597</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3.36%</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relationships_mitigations_summaries</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544</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3.06%</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relationships_groups_for_software</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498</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2.80%</w:t>
            </w:r>
          </w:p>
        </w:tc>
      </w:tr>
      <w:tr>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techniques_parent</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435</w:t>
            </w:r>
          </w:p>
        </w:tc>
        <w:tc>
          <w:tcPr>
            <w:tcW w:type="dxa" w:w="312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2.45%</w:t>
            </w:r>
          </w:p>
        </w:tc>
      </w:tr>
      <w:tr>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relationships_software_for_technique</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428</w:t>
            </w:r>
          </w:p>
        </w:tc>
        <w:tc>
          <w:tcPr>
            <w:tcW w:type="dxa" w:w="312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2.41%</w:t>
            </w:r>
          </w:p>
        </w:tc>
      </w:tr>
    </w:tbl>
    <w:p>
      <w:pPr>
        <w:spacing w:before="80"/>
      </w:pPr>
    </w:p>
    <w:p>
      <w:pPr>
        <w:keepNext/>
        <w:spacing w:before="240" w:after="80"/>
      </w:pPr>
      <w:r>
        <w:rPr>
          <w:rFonts w:ascii="Arial" w:hAnsi="Arial"/>
          <w:b/>
          <w:color w:val="0D9488"/>
          <w:sz w:val="24"/>
        </w:rPr>
        <w:t>2.3 Exploratory Data Analysis (EDA) &amp; Key Insights</w:t>
      </w:r>
    </w:p>
    <w:p>
      <w:pPr>
        <w:pStyle w:val="ListBullet"/>
        <w:spacing w:before="0" w:after="60"/>
      </w:pPr>
      <w:r>
        <w:rPr>
          <w:b/>
          <w:color w:val="0F172A"/>
        </w:rPr>
        <w:t xml:space="preserve">Question Intent Taxonomy: </w:t>
      </w:r>
      <w:r>
        <w:rPr>
          <w:color w:val="334155"/>
        </w:rPr>
        <w:t>Categorized into Relation/Detection (65.2%), Direct Lookup (26.6%), Rewrite/Summarize (5.6%), and Reasoning/Translation (2.6%).</w:t>
      </w:r>
    </w:p>
    <w:p>
      <w:pPr>
        <w:pStyle w:val="ListBullet"/>
        <w:spacing w:before="0" w:after="60"/>
      </w:pPr>
      <w:r>
        <w:rPr>
          <w:b/>
          <w:color w:val="0F172A"/>
        </w:rPr>
        <w:t xml:space="preserve">Document Length Skew: </w:t>
      </w:r>
      <w:r>
        <w:rPr>
          <w:color w:val="334155"/>
        </w:rPr>
        <w:t>Corpus length ranges from short snippets (&lt;= 159 chars, 27.8% of QA rows) containing crisp entity facts to long documents (&gt;= 222 chars, 42.3% of QA rows) detailing detection rules.</w:t>
      </w:r>
    </w:p>
    <w:p>
      <w:pPr>
        <w:pStyle w:val="ListBullet"/>
        <w:spacing w:before="0" w:after="60"/>
      </w:pPr>
      <w:r>
        <w:rPr>
          <w:b/>
          <w:color w:val="0F172A"/>
        </w:rPr>
        <w:t xml:space="preserve">Answer Grounding Distribution: </w:t>
      </w:r>
      <w:r>
        <w:rPr>
          <w:color w:val="334155"/>
        </w:rPr>
        <w:t>75.5% of answers are strictly extractive from the document passage, 22.8% are semi-extractive, and only 1.7% are abstractive. 96.7% of dominant answer vocabulary originates directly from the retrieved document text.</w:t>
      </w: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200" w:type="dxa"/>
              <w:right w:w="160" w:type="dxa"/>
            </w:tcMar>
            <w:tcBorders>
              <w:top w:val="none"/>
              <w:left w:val="single" w:sz="24" w:space="0" w:color="1E3A8A"/>
              <w:bottom w:val="none"/>
              <w:right w:val="none"/>
            </w:tcBorders>
          </w:tcPr>
          <w:p>
            <w:pPr>
              <w:spacing w:before="40" w:after="80"/>
            </w:pPr>
            <w:r>
              <w:rPr>
                <w:rFonts w:ascii="Arial" w:hAnsi="Arial"/>
                <w:b/>
                <w:color w:val="1E3A8A"/>
                <w:sz w:val="22"/>
              </w:rPr>
              <w:t>EDA TAKEAWAY: RETRIEVAL DEPENDENCY</w:t>
            </w:r>
          </w:p>
          <w:p>
            <w:pPr>
              <w:spacing w:before="0" w:after="40"/>
            </w:pPr>
            <w:r>
              <w:rPr>
                <w:rFonts w:ascii="Arial" w:hAnsi="Arial"/>
                <w:color w:val="334155"/>
                <w:sz w:val="19"/>
              </w:rPr>
              <w:t>Because 96.7% of answer keywords are anchored directly in the document text (average token recall = 0.873), the downstream generation accuracy is strictly bounded by retrieval recall. Improving retrieval ranking directly improves answer correctness.</w:t>
            </w:r>
          </w:p>
        </w:tc>
      </w:tr>
    </w:tbl>
    <w:p>
      <w:pPr>
        <w:spacing w:before="0" w:after="80"/>
      </w:pPr>
    </w:p>
    <w:p>
      <w:pPr>
        <w:keepNext/>
        <w:spacing w:before="320" w:after="120"/>
      </w:pPr>
      <w:r>
        <w:rPr>
          <w:rFonts w:ascii="Arial" w:hAnsi="Arial"/>
          <w:b/>
          <w:color w:val="1E3A8A"/>
          <w:sz w:val="28"/>
        </w:rPr>
        <w:t>3. System Architecture &amp; Component Design</w:t>
      </w:r>
    </w:p>
    <w:p>
      <w:pPr>
        <w:spacing w:before="0" w:after="120" w:line="276" w:lineRule="auto"/>
      </w:pPr>
      <w:r>
        <w:rPr>
          <w:color w:val="334155"/>
        </w:rPr>
        <w:t>The system adopts a modular RAG pipeline design where each component is isolated by clean abstract base classes (`Index`, `Retriever`, `Generator`).</w:t>
      </w:r>
    </w:p>
    <w:p>
      <w:pPr>
        <w:keepNext/>
        <w:spacing w:before="240" w:after="80"/>
      </w:pPr>
      <w:r>
        <w:rPr>
          <w:rFonts w:ascii="Arial" w:hAnsi="Arial"/>
          <w:b/>
          <w:color w:val="0D9488"/>
          <w:sz w:val="24"/>
        </w:rPr>
        <w:t>3.1 Pipeline Data Flow</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top w:val="none"/>
              <w:left w:val="single" w:sz="24" w:space="0" w:color="0F172A"/>
              <w:bottom w:val="none"/>
              <w:right w:val="none"/>
            </w:tcBorders>
          </w:tcPr>
          <w:p>
            <w:pPr>
              <w:spacing w:before="40" w:after="80"/>
            </w:pPr>
            <w:r>
              <w:rPr>
                <w:rFonts w:ascii="Arial" w:hAnsi="Arial"/>
                <w:b/>
                <w:color w:val="1E3A8A"/>
                <w:sz w:val="22"/>
              </w:rPr>
              <w:t>END-TO-END SYSTEM PIPELINE</w:t>
            </w:r>
          </w:p>
          <w:p>
            <w:pPr>
              <w:spacing w:before="0" w:after="40"/>
            </w:pPr>
            <w:r>
              <w:rPr>
                <w:rFonts w:ascii="Arial" w:hAnsi="Arial"/>
                <w:color w:val="334155"/>
                <w:sz w:val="19"/>
              </w:rPr>
              <w:t>[User Query] ──► [FastAPI / Streamlit] ──► [RetrieverFactory]</w:t>
              <w:br/>
              <w:t xml:space="preserve">                                                 │</w:t>
              <w:br/>
              <w:t xml:space="preserve">                     ┌───────────────────────────┴───────────────────────────┐</w:t>
              <w:br/>
              <w:t xml:space="preserve">                     ▼                                                       ▼</w:t>
              <w:br/>
              <w:t xml:space="preserve">           [Lexical Index (BM25S)]                                 [Dense Index (FAISS BGE)]</w:t>
              <w:br/>
              <w:t xml:space="preserve">                     │                                                       │</w:t>
              <w:br/>
              <w:t xml:space="preserve">                     └───────────────────────► [Hybrid RRF Fusion] ◄─────────┘</w:t>
              <w:br/>
              <w:t xml:space="preserve">                                                      │</w:t>
              <w:br/>
              <w:t xml:space="preserve">                                                      ▼ (Top-K Context Chunks)</w:t>
              <w:br/>
              <w:t xml:space="preserve">                                           [Generator (Llama-3.3 / Qwen2.5)]</w:t>
              <w:br/>
              <w:t xml:space="preserve">                                                      │</w:t>
              <w:br/>
              <w:t xml:space="preserve">                                                      ▼ (JSON GenerationResult)</w:t>
              <w:br/>
              <w:t xml:space="preserve">                                           [ResponseBuilder (Answer + Citations)]</w:t>
            </w:r>
          </w:p>
        </w:tc>
      </w:tr>
    </w:tbl>
    <w:p>
      <w:pPr>
        <w:spacing w:before="0" w:after="80"/>
      </w:pPr>
    </w:p>
    <w:p>
      <w:pPr>
        <w:keepNext/>
        <w:spacing w:before="240" w:after="80"/>
      </w:pPr>
      <w:r>
        <w:rPr>
          <w:rFonts w:ascii="Arial" w:hAnsi="Arial"/>
          <w:b/>
          <w:color w:val="0D9488"/>
          <w:sz w:val="24"/>
        </w:rPr>
        <w:t>3.2 Core Codebase Modules &amp; Directory Structure</w:t>
      </w:r>
    </w:p>
    <w:p>
      <w:pPr>
        <w:pStyle w:val="ListBullet"/>
        <w:spacing w:before="0" w:after="60"/>
      </w:pPr>
      <w:r>
        <w:rPr>
          <w:b/>
          <w:color w:val="0F172A"/>
        </w:rPr>
        <w:t xml:space="preserve">`src/data_models/`: </w:t>
      </w:r>
      <w:r>
        <w:rPr>
          <w:color w:val="334155"/>
        </w:rPr>
        <w:t>Defines Pydantic/dataclass schema representations (`Document`, `QAExample`, `RetrievalResult`, `GenerationResult`, `Answer`, `Citation`).</w:t>
      </w:r>
    </w:p>
    <w:p>
      <w:pPr>
        <w:pStyle w:val="ListBullet"/>
        <w:spacing w:before="0" w:after="60"/>
      </w:pPr>
      <w:r>
        <w:rPr>
          <w:b/>
          <w:color w:val="0F172A"/>
        </w:rPr>
        <w:t xml:space="preserve">`src/ingestion/`: </w:t>
      </w:r>
      <w:r>
        <w:rPr>
          <w:color w:val="334155"/>
        </w:rPr>
        <w:t>Handles raw parquet parsing, SHA-1 doc/qa ID hashing, deduplication, and stratified dataset splitting.</w:t>
      </w:r>
    </w:p>
    <w:p>
      <w:pPr>
        <w:pStyle w:val="ListBullet"/>
        <w:spacing w:before="0" w:after="60"/>
      </w:pPr>
      <w:r>
        <w:rPr>
          <w:b/>
          <w:color w:val="0F172A"/>
        </w:rPr>
        <w:t xml:space="preserve">`src/indexing/`: </w:t>
      </w:r>
      <w:r>
        <w:rPr>
          <w:color w:val="334155"/>
        </w:rPr>
        <w:t>Provides `BM25Index` (bm25s backend) and `DenseIndex` (FAISS `IndexFlatIP` over `BAAI/bge-small-en-v1.5` embeddings).</w:t>
      </w:r>
    </w:p>
    <w:p>
      <w:pPr>
        <w:pStyle w:val="ListBullet"/>
        <w:spacing w:before="0" w:after="60"/>
      </w:pPr>
      <w:r>
        <w:rPr>
          <w:b/>
          <w:color w:val="0F172A"/>
        </w:rPr>
        <w:t xml:space="preserve">`src/retrieval/`: </w:t>
      </w:r>
      <w:r>
        <w:rPr>
          <w:color w:val="334155"/>
        </w:rPr>
        <w:t>Implements `BM25Retriever`, `DenseRetriever`, `HybridRetriever` (Reciprocal Rank Fusion and Min-Max weighted scoring), and `RetrieverFactory`.</w:t>
      </w:r>
    </w:p>
    <w:p>
      <w:pPr>
        <w:pStyle w:val="ListBullet"/>
        <w:spacing w:before="0" w:after="60"/>
      </w:pPr>
      <w:r>
        <w:rPr>
          <w:b/>
          <w:color w:val="0F172A"/>
        </w:rPr>
        <w:t xml:space="preserve">`src/generation/`: </w:t>
      </w:r>
      <w:r>
        <w:rPr>
          <w:color w:val="334155"/>
        </w:rPr>
        <w:t>Contains `LlamaGenerator` (Groq API), `QwenGenerator` (Hugging Face Transformers), prompt mode configurations (`baseline`, `structured`, `evidence`), and `ResponseBuilder`.</w:t>
      </w:r>
    </w:p>
    <w:p>
      <w:pPr>
        <w:pStyle w:val="ListBullet"/>
        <w:spacing w:before="0" w:after="60"/>
      </w:pPr>
      <w:r>
        <w:rPr>
          <w:b/>
          <w:color w:val="0F172A"/>
        </w:rPr>
        <w:t xml:space="preserve">`src/eval/`: </w:t>
      </w:r>
      <w:r>
        <w:rPr>
          <w:color w:val="334155"/>
        </w:rPr>
        <w:t>Retrieval evaluation (`retrieval_eval.py` for MRR and Recall@k) and LLM-as-a-Judge generation evaluation (`generation_eval.py` via `llama-3.1-8b-instant`).</w:t>
      </w:r>
    </w:p>
    <w:p>
      <w:pPr>
        <w:pStyle w:val="ListBullet"/>
        <w:spacing w:before="0" w:after="60"/>
      </w:pPr>
      <w:r>
        <w:rPr>
          <w:b/>
          <w:color w:val="0F172A"/>
        </w:rPr>
        <w:t xml:space="preserve">`app/`: </w:t>
      </w:r>
      <w:r>
        <w:rPr>
          <w:color w:val="334155"/>
        </w:rPr>
        <w:t>FastAPI backend (`full_api.py`) exposing `/retrieve` and `/query` endpoints alongside a Streamlit interactive frontend (`app.py`).</w:t>
      </w:r>
    </w:p>
    <w:p>
      <w:pPr>
        <w:keepNext/>
        <w:spacing w:before="320" w:after="120"/>
      </w:pPr>
      <w:r>
        <w:rPr>
          <w:rFonts w:ascii="Arial" w:hAnsi="Arial"/>
          <w:b/>
          <w:color w:val="1E3A8A"/>
          <w:sz w:val="28"/>
        </w:rPr>
        <w:t>4. Techniques Implemented</w:t>
      </w:r>
    </w:p>
    <w:p>
      <w:pPr>
        <w:keepNext/>
        <w:spacing w:before="240" w:after="80"/>
      </w:pPr>
      <w:r>
        <w:rPr>
          <w:rFonts w:ascii="Arial" w:hAnsi="Arial"/>
          <w:b/>
          <w:color w:val="0D9488"/>
          <w:sz w:val="24"/>
        </w:rPr>
        <w:t>4.1 Lexical Retrieval (BM25S)</w:t>
      </w:r>
    </w:p>
    <w:p>
      <w:pPr>
        <w:spacing w:before="0" w:after="120" w:line="276" w:lineRule="auto"/>
      </w:pPr>
      <w:r>
        <w:rPr>
          <w:color w:val="334155"/>
        </w:rPr>
        <w:t>Lexical indexing (`src/indexing/bm25_index.py`) uses the `bm25s` library. Tokenization uses a custom regex splitter (`[a-z0-9]+`) converted to lowercase without stopword removal or stemming. This ensures that ATT&amp;CK IDs (e.g. `T1055.001` -&gt; `t1055`, `001`) remain intact. Lucene scoring parameters are set to k1 = 1.5, b = 0.75.</w:t>
      </w:r>
    </w:p>
    <w:p>
      <w:pPr>
        <w:keepNext/>
        <w:spacing w:before="240" w:after="80"/>
      </w:pPr>
      <w:r>
        <w:rPr>
          <w:rFonts w:ascii="Arial" w:hAnsi="Arial"/>
          <w:b/>
          <w:color w:val="0D9488"/>
          <w:sz w:val="24"/>
        </w:rPr>
        <w:t>4.2 Dense Vector Retrieval (FAISS + BGE)</w:t>
      </w:r>
    </w:p>
    <w:p>
      <w:pPr>
        <w:spacing w:before="0" w:after="120" w:line="276" w:lineRule="auto"/>
      </w:pPr>
      <w:r>
        <w:rPr>
          <w:color w:val="334155"/>
        </w:rPr>
        <w:t>Dense vector search (`src/indexing/dense_index.py`) employs `BAAI/bge-small-en-v1.5` (384 dimensions). Queries are prepended with the BGE instruction prefix: 'Represent this sentence for searching relevant passages: '. Embeddings are L2-normalized and indexed using FAISS `IndexFlatIP` (Exact Inner Product), providing exact Cosine Similarity matching.</w:t>
      </w:r>
    </w:p>
    <w:p>
      <w:pPr>
        <w:keepNext/>
        <w:spacing w:before="240" w:after="80"/>
      </w:pPr>
      <w:r>
        <w:rPr>
          <w:rFonts w:ascii="Arial" w:hAnsi="Arial"/>
          <w:b/>
          <w:color w:val="0D9488"/>
          <w:sz w:val="24"/>
        </w:rPr>
        <w:t>4.3 Hybrid Rank Fusion (Reciprocal Rank Fusion)</w:t>
      </w:r>
    </w:p>
    <w:p>
      <w:pPr>
        <w:spacing w:before="0" w:after="120" w:line="276" w:lineRule="auto"/>
      </w:pPr>
      <w:r>
        <w:rPr>
          <w:color w:val="334155"/>
        </w:rPr>
        <w:t>The `HybridRetriever` (`src/retrieval/hybrid_retriever.py`) combines candidates from dense and lexical retrievers using Reciprocal Rank Fusion (RRF):</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top w:val="none"/>
              <w:left w:val="single" w:sz="24" w:space="0" w:color="166534"/>
              <w:bottom w:val="none"/>
              <w:right w:val="none"/>
            </w:tcBorders>
          </w:tcPr>
          <w:p>
            <w:pPr>
              <w:spacing w:before="40" w:after="80"/>
            </w:pPr>
            <w:r>
              <w:rPr>
                <w:rFonts w:ascii="Arial" w:hAnsi="Arial"/>
                <w:b/>
                <w:color w:val="1E3A8A"/>
                <w:sz w:val="22"/>
              </w:rPr>
              <w:t>RECIPROCAL RANK FUSION (RRF) FORMULA</w:t>
            </w:r>
          </w:p>
          <w:p>
            <w:pPr>
              <w:spacing w:before="0" w:after="40"/>
            </w:pPr>
            <w:r>
              <w:rPr>
                <w:rFonts w:ascii="Arial" w:hAnsi="Arial"/>
                <w:color w:val="334155"/>
                <w:sz w:val="19"/>
              </w:rPr>
              <w:t>RRF_Score(d) = alpha / (k + rank_dense(d)) + (1 - alpha) / (k + rank_bm25(d))</w:t>
              <w:br/>
              <w:br/>
              <w:t>Where k = 60 (smoothing constant) and alpha = 0.5 (equal dense/lexical weight). Min-Max weighted score normalization is also available.</w:t>
            </w:r>
          </w:p>
        </w:tc>
      </w:tr>
    </w:tbl>
    <w:p>
      <w:pPr>
        <w:spacing w:before="0" w:after="80"/>
      </w:pPr>
    </w:p>
    <w:p>
      <w:pPr>
        <w:keepNext/>
        <w:spacing w:before="240" w:after="80"/>
      </w:pPr>
      <w:r>
        <w:rPr>
          <w:rFonts w:ascii="Arial" w:hAnsi="Arial"/>
          <w:b/>
          <w:color w:val="0D9488"/>
          <w:sz w:val="24"/>
        </w:rPr>
        <w:t>4.4 Generator Models &amp; Prompt Strategies</w:t>
      </w:r>
    </w:p>
    <w:p>
      <w:pPr>
        <w:pStyle w:val="ListBullet"/>
        <w:spacing w:before="0" w:after="60"/>
      </w:pPr>
      <w:r>
        <w:rPr>
          <w:b/>
          <w:color w:val="0F172A"/>
        </w:rPr>
        <w:t xml:space="preserve">Llama-3.3-70B-Versatile (Groq API): </w:t>
      </w:r>
      <w:r>
        <w:rPr>
          <w:color w:val="334155"/>
        </w:rPr>
        <w:t>Primary generator, delivering ultra-fast inference (~1 sec latency) with 131k context window.</w:t>
      </w:r>
    </w:p>
    <w:p>
      <w:pPr>
        <w:pStyle w:val="ListBullet"/>
        <w:spacing w:before="0" w:after="60"/>
      </w:pPr>
      <w:r>
        <w:rPr>
          <w:b/>
          <w:color w:val="0F172A"/>
        </w:rPr>
        <w:t xml:space="preserve">Qwen2.5-1.5B-Instruct (Hugging Face): </w:t>
      </w:r>
      <w:r>
        <w:rPr>
          <w:color w:val="334155"/>
        </w:rPr>
        <w:t>Secondary open-weights local generator for offline execution.</w:t>
      </w:r>
    </w:p>
    <w:p>
      <w:pPr>
        <w:pStyle w:val="ListBullet"/>
        <w:spacing w:before="0" w:after="60"/>
      </w:pPr>
      <w:r>
        <w:rPr>
          <w:b/>
          <w:color w:val="0F172A"/>
        </w:rPr>
        <w:t xml:space="preserve">Prompt Modes (`src/generation/prompt.py`): </w:t>
      </w:r>
      <w:r>
        <w:rPr>
          <w:color w:val="334155"/>
        </w:rPr>
        <w:t>Supports 'baseline' (basic JSON RAG prompt), 'structured' (concise 1-3 sentence extraction), and 'evidence' (strict statement-level citation verification).</w:t>
      </w:r>
    </w:p>
    <w:p>
      <w:pPr>
        <w:keepNext/>
        <w:spacing w:before="320" w:after="120"/>
      </w:pPr>
      <w:r>
        <w:rPr>
          <w:rFonts w:ascii="Arial" w:hAnsi="Arial"/>
          <w:b/>
          <w:color w:val="1E3A8A"/>
          <w:sz w:val="28"/>
        </w:rPr>
        <w:t>5. Baseline Evaluation &amp; Benchmark Results</w:t>
      </w:r>
    </w:p>
    <w:p>
      <w:pPr>
        <w:keepNext/>
        <w:spacing w:before="240" w:after="80"/>
      </w:pPr>
      <w:r>
        <w:rPr>
          <w:rFonts w:ascii="Arial" w:hAnsi="Arial"/>
          <w:b/>
          <w:color w:val="0D9488"/>
          <w:sz w:val="24"/>
        </w:rPr>
        <w:t>5.1 Retrieval Benchmark Metrics</w:t>
      </w:r>
    </w:p>
    <w:p>
      <w:pPr>
        <w:spacing w:before="0" w:after="120" w:line="276" w:lineRule="auto"/>
      </w:pPr>
      <w:r>
        <w:rPr>
          <w:color w:val="334155"/>
        </w:rPr>
        <w:t>Evaluation results on the Dev set (2,533 QA rows) and Test set (2,538 QA rows):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Retriever Method</w:t>
            </w:r>
          </w:p>
        </w:tc>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Split</w:t>
            </w:r>
          </w:p>
        </w:tc>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MRR</w:t>
            </w:r>
          </w:p>
        </w:tc>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Recall@1</w:t>
            </w:r>
          </w:p>
        </w:tc>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Recall@5</w:t>
            </w:r>
          </w:p>
        </w:tc>
        <w:tc>
          <w:tcPr>
            <w:tcW w:type="dxa" w:w="1560"/>
            <w:shd w:fill="1E3A8A"/>
            <w:tcMar>
              <w:top w:w="120" w:type="dxa"/>
              <w:bottom w:w="120" w:type="dxa"/>
              <w:left w:w="150" w:type="dxa"/>
              <w:right w:w="150" w:type="dxa"/>
            </w:tcMar>
          </w:tcPr>
          <w:p>
            <w:pPr>
              <w:spacing w:before="40" w:after="40"/>
              <w:jc w:val="center"/>
            </w:pPr>
            <w:r>
              <w:rPr>
                <w:rFonts w:ascii="Arial" w:hAnsi="Arial"/>
                <w:b/>
                <w:color w:val="FFFFFF"/>
                <w:sz w:val="19"/>
              </w:rPr>
              <w:t>Recall@10</w:t>
            </w:r>
          </w:p>
        </w:tc>
      </w:tr>
      <w:tr>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BM25S (Lucene)</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Dev</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0.724</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0.639</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0.831</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0.886</w:t>
            </w:r>
          </w:p>
        </w:tc>
      </w:tr>
      <w:tr>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Dense (FAISS BGE-small)</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Dev</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0.847</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0.797</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0.914</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0.940</w:t>
            </w:r>
          </w:p>
        </w:tc>
      </w:tr>
      <w:tr>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Hybrid (Dense + BM25 RRF)</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Dev</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0.810</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0.750</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0.887</w:t>
            </w:r>
          </w:p>
        </w:tc>
        <w:tc>
          <w:tcPr>
            <w:tcW w:type="dxa" w:w="1560"/>
            <w:shd w:fill="FFFFFF"/>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0.931</w:t>
            </w:r>
          </w:p>
        </w:tc>
      </w:tr>
      <w:tr>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Hybrid (Dense + BM25 RRF)</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pPr>
            <w:r>
              <w:rPr>
                <w:rFonts w:ascii="Arial" w:hAnsi="Arial"/>
                <w:color w:val="1F2937"/>
                <w:sz w:val="18"/>
              </w:rPr>
              <w:t>Test</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0.804</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0.746</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0.881</w:t>
            </w:r>
          </w:p>
        </w:tc>
        <w:tc>
          <w:tcPr>
            <w:tcW w:type="dxa" w:w="1560"/>
            <w:shd w:fill="F8FAFC"/>
            <w:tcMar>
              <w:top w:w="90" w:type="dxa"/>
              <w:bottom w:w="90" w:type="dxa"/>
              <w:left w:w="120" w:type="dxa"/>
              <w:right w:w="120" w:type="dxa"/>
            </w:tcMar>
            <w:tcBorders>
              <w:top w:val="single" w:sz="4" w:space="0" w:color="E2E8F0"/>
              <w:left w:val="none"/>
              <w:bottom w:val="single" w:sz="4" w:space="0" w:color="E2E8F0"/>
              <w:right w:val="none"/>
            </w:tcBorders>
          </w:tcPr>
          <w:p>
            <w:pPr>
              <w:spacing w:before="40" w:after="40"/>
              <w:jc w:val="right"/>
            </w:pPr>
            <w:r>
              <w:rPr>
                <w:rFonts w:ascii="Arial" w:hAnsi="Arial"/>
                <w:color w:val="1F2937"/>
                <w:sz w:val="18"/>
              </w:rPr>
              <w:t>0.920</w:t>
            </w:r>
          </w:p>
        </w:tc>
      </w:tr>
    </w:tbl>
    <w:p>
      <w:pPr>
        <w:spacing w:before="80"/>
      </w:pPr>
    </w:p>
    <w:p>
      <w:pPr>
        <w:keepNext/>
        <w:spacing w:before="240" w:after="80"/>
      </w:pPr>
      <w:r>
        <w:rPr>
          <w:rFonts w:ascii="Arial" w:hAnsi="Arial"/>
          <w:b/>
          <w:color w:val="0D9488"/>
          <w:sz w:val="24"/>
        </w:rPr>
        <w:t>5.2 Benchmark Analysis</w:t>
      </w:r>
    </w:p>
    <w:p>
      <w:pPr>
        <w:pStyle w:val="ListBullet"/>
        <w:spacing w:before="0" w:after="60"/>
      </w:pPr>
      <w:r>
        <w:rPr>
          <w:b/>
          <w:color w:val="0F172A"/>
        </w:rPr>
        <w:t xml:space="preserve">Dense Vector Dominance: </w:t>
      </w:r>
      <w:r>
        <w:rPr>
          <w:color w:val="334155"/>
        </w:rPr>
        <w:t>Dense retrieval achieves MRR 0.847 vs BM25S MRR 0.724, confirming superior semantic matching on technical cybersecurity queries.</w:t>
      </w:r>
    </w:p>
    <w:p>
      <w:pPr>
        <w:pStyle w:val="ListBullet"/>
        <w:spacing w:before="0" w:after="60"/>
      </w:pPr>
      <w:r>
        <w:rPr>
          <w:b/>
          <w:color w:val="0F172A"/>
        </w:rPr>
        <w:t xml:space="preserve">RRF Fusion Behavior: </w:t>
      </w:r>
      <w:r>
        <w:rPr>
          <w:color w:val="334155"/>
        </w:rPr>
        <w:t>Standard RRF with alpha=0.5 slightly lowers dense top-1 performance (MRR 0.810 vs 0.847) because keyword matches pull noisy items into top ranks. Tuning alpha towards 0.7-0.8 or adding a Cross-Encoder re-ranker will resolve this.</w:t>
      </w:r>
    </w:p>
    <w:p>
      <w:pPr>
        <w:keepNext/>
        <w:spacing w:before="320" w:after="120"/>
      </w:pPr>
      <w:r>
        <w:rPr>
          <w:rFonts w:ascii="Arial" w:hAnsi="Arial"/>
          <w:b/>
          <w:color w:val="1E3A8A"/>
          <w:sz w:val="28"/>
        </w:rPr>
        <w:t>6. Comprehensive Roadmap: Advanced Experiments &amp; Tuning Techniques</w:t>
      </w:r>
    </w:p>
    <w:p>
      <w:pPr>
        <w:spacing w:before="0" w:after="120" w:line="276" w:lineRule="auto"/>
      </w:pPr>
      <w:r>
        <w:rPr>
          <w:color w:val="334155"/>
        </w:rPr>
        <w:t>To expand this project into a comprehensive research testbed, we outline detailed technical proposals across four main experimental axes:</w:t>
      </w:r>
    </w:p>
    <w:p>
      <w:pPr>
        <w:keepNext/>
        <w:spacing w:before="240" w:after="80"/>
      </w:pPr>
      <w:r>
        <w:rPr>
          <w:rFonts w:ascii="Arial" w:hAnsi="Arial"/>
          <w:b/>
          <w:color w:val="0D9488"/>
          <w:sz w:val="24"/>
        </w:rPr>
        <w:t>6.1 Advanced Retrieval &amp; Re-ranking Experiments</w:t>
      </w:r>
    </w:p>
    <w:p>
      <w:pPr>
        <w:pStyle w:val="ListBullet"/>
        <w:spacing w:before="0" w:after="60"/>
      </w:pPr>
      <w:r>
        <w:rPr>
          <w:b/>
          <w:color w:val="0F172A"/>
        </w:rPr>
        <w:t xml:space="preserve">1. Multi-Stage Cross-Encoder Re-ranking: </w:t>
      </w:r>
      <w:r>
        <w:rPr>
          <w:color w:val="334155"/>
        </w:rPr>
        <w:t>Retrieve Top-50 candidates via Hybrid RRF, then re-rank using `bge-reranker-large` or `ms-marco-MiniLM-L-6-v2`. Cross-encoders evaluate full query-document attention, significantly boosting Recall@1 and MRR.</w:t>
      </w:r>
    </w:p>
    <w:p>
      <w:pPr>
        <w:pStyle w:val="ListBullet"/>
        <w:spacing w:before="0" w:after="60"/>
      </w:pPr>
      <w:r>
        <w:rPr>
          <w:b/>
          <w:color w:val="0F172A"/>
        </w:rPr>
        <w:t xml:space="preserve">2. Domain-Adapted Embedding Fine-Tuning: </w:t>
      </w:r>
      <w:r>
        <w:rPr>
          <w:color w:val="334155"/>
        </w:rPr>
        <w:t>Fine-tune `BAAI/bge-small-en-v1.5` on AttackQA training triples (Query, Positive Passage, Hard Negative Passages mined via BM25) using Multiple Negatives Ranking Loss (MNRL).</w:t>
      </w:r>
    </w:p>
    <w:p>
      <w:pPr>
        <w:pStyle w:val="ListBullet"/>
        <w:spacing w:before="0" w:after="60"/>
      </w:pPr>
      <w:r>
        <w:rPr>
          <w:b/>
          <w:color w:val="0F172A"/>
        </w:rPr>
        <w:t xml:space="preserve">3. Parent-Child &amp; Sentence-Window Indexing: </w:t>
      </w:r>
      <w:r>
        <w:rPr>
          <w:color w:val="334155"/>
        </w:rPr>
        <w:t>Index small sentence chunks (1-2 sentences) for dense vector search while returning full parent documents to the LLM context window.</w:t>
      </w:r>
    </w:p>
    <w:p>
      <w:pPr>
        <w:pStyle w:val="ListBullet"/>
        <w:spacing w:before="0" w:after="60"/>
      </w:pPr>
      <w:r>
        <w:rPr>
          <w:b/>
          <w:color w:val="0F172A"/>
        </w:rPr>
        <w:t xml:space="preserve">4. ColBERTv2 Late-Interaction Retrieval: </w:t>
      </w:r>
      <w:r>
        <w:rPr>
          <w:color w:val="334155"/>
        </w:rPr>
        <w:t>Benchmark ColBERTv2 (`ragatouille`), computing token-level vector MaxSim operators to balance single-vector efficiency with cross-encoder accuracy.</w:t>
      </w:r>
    </w:p>
    <w:p>
      <w:pPr>
        <w:keepNext/>
        <w:spacing w:before="240" w:after="80"/>
      </w:pPr>
      <w:r>
        <w:rPr>
          <w:rFonts w:ascii="Arial" w:hAnsi="Arial"/>
          <w:b/>
          <w:color w:val="0D9488"/>
          <w:sz w:val="24"/>
        </w:rPr>
        <w:t>6.2 Query Transformation &amp; Multi-Query Expansion</w:t>
      </w:r>
    </w:p>
    <w:p>
      <w:pPr>
        <w:pStyle w:val="ListBullet"/>
        <w:spacing w:before="0" w:after="60"/>
      </w:pPr>
      <w:r>
        <w:rPr>
          <w:b/>
          <w:color w:val="0F172A"/>
        </w:rPr>
        <w:t xml:space="preserve">1. Hypothetical Document Embeddings (HyDE): </w:t>
      </w:r>
      <w:r>
        <w:rPr>
          <w:color w:val="334155"/>
        </w:rPr>
        <w:t>Use Llama-3.3 to generate a hypothetical answer document for each query, then embed the hypothetical document to retrieve actual passages.</w:t>
      </w:r>
    </w:p>
    <w:p>
      <w:pPr>
        <w:pStyle w:val="ListBullet"/>
        <w:spacing w:before="0" w:after="60"/>
      </w:pPr>
      <w:r>
        <w:rPr>
          <w:b/>
          <w:color w:val="0F172A"/>
        </w:rPr>
        <w:t xml:space="preserve">2. Multi-Query Expansion &amp; Fusion: </w:t>
      </w:r>
      <w:r>
        <w:rPr>
          <w:color w:val="334155"/>
        </w:rPr>
        <w:t>Generate 3-5 query paraphrases using an LLM, execute parallel vector retrievals, and combine candidate sets using RRF.</w:t>
      </w:r>
    </w:p>
    <w:p>
      <w:pPr>
        <w:pStyle w:val="ListBullet"/>
        <w:spacing w:before="0" w:after="60"/>
      </w:pPr>
      <w:r>
        <w:rPr>
          <w:b/>
          <w:color w:val="0F172A"/>
        </w:rPr>
        <w:t xml:space="preserve">3. Step-Back Prompting: </w:t>
      </w:r>
      <w:r>
        <w:rPr>
          <w:color w:val="334155"/>
        </w:rPr>
        <w:t>Extract high-level concepts (e.g. general technique category) before retrieving specific software mitigation details.</w:t>
      </w:r>
    </w:p>
    <w:p>
      <w:pPr>
        <w:keepNext/>
        <w:spacing w:before="240" w:after="80"/>
      </w:pPr>
      <w:r>
        <w:rPr>
          <w:rFonts w:ascii="Arial" w:hAnsi="Arial"/>
          <w:b/>
          <w:color w:val="0D9488"/>
          <w:sz w:val="24"/>
        </w:rPr>
        <w:t>6.3 Advanced RAG Paradigms</w:t>
      </w:r>
    </w:p>
    <w:p>
      <w:pPr>
        <w:pStyle w:val="ListBullet"/>
        <w:spacing w:before="0" w:after="60"/>
      </w:pPr>
      <w:r>
        <w:rPr>
          <w:b/>
          <w:color w:val="0F172A"/>
        </w:rPr>
        <w:t xml:space="preserve">1. Corrective RAG (CRAG): </w:t>
      </w:r>
      <w:r>
        <w:rPr>
          <w:color w:val="334155"/>
        </w:rPr>
        <w:t>Evaluate retrieved document relevance with a lightweight binary scorer; if confidence is low, trigger query reformulation or web search fallback.</w:t>
      </w:r>
    </w:p>
    <w:p>
      <w:pPr>
        <w:pStyle w:val="ListBullet"/>
        <w:spacing w:before="0" w:after="60"/>
      </w:pPr>
      <w:r>
        <w:rPr>
          <w:b/>
          <w:color w:val="0F172A"/>
        </w:rPr>
        <w:t xml:space="preserve">2. Knowledge Graph-Augmented RAG (GraphRAG): </w:t>
      </w:r>
      <w:r>
        <w:rPr>
          <w:color w:val="334155"/>
        </w:rPr>
        <w:t>Extract ATT&amp;CK STIX/TAXII entities (`subject_id`, `software`, `technique`, `mitigation`) into a Neo4j knowledge graph to enable hybrid vector + graph traversal retrieval.</w:t>
      </w:r>
    </w:p>
    <w:p>
      <w:pPr>
        <w:pStyle w:val="ListBullet"/>
        <w:spacing w:before="0" w:after="60"/>
      </w:pPr>
      <w:r>
        <w:rPr>
          <w:b/>
          <w:color w:val="0F172A"/>
        </w:rPr>
        <w:t xml:space="preserve">3. Agentic Intent Routing: </w:t>
      </w:r>
      <w:r>
        <w:rPr>
          <w:color w:val="334155"/>
        </w:rPr>
        <w:t>Route direct lookup queries to BM25, semantic queries to Dense RRF, and multi-hop queries to GraphRAG.</w:t>
      </w:r>
    </w:p>
    <w:p>
      <w:pPr>
        <w:keepNext/>
        <w:spacing w:before="240" w:after="80"/>
      </w:pPr>
      <w:r>
        <w:rPr>
          <w:rFonts w:ascii="Arial" w:hAnsi="Arial"/>
          <w:b/>
          <w:color w:val="0D9488"/>
          <w:sz w:val="24"/>
        </w:rPr>
        <w:t>6.4 Analytics, Cost &amp; Error Taxonomy</w:t>
      </w:r>
    </w:p>
    <w:p>
      <w:pPr>
        <w:pStyle w:val="ListBullet"/>
        <w:spacing w:before="0" w:after="60"/>
      </w:pPr>
      <w:r>
        <w:rPr>
          <w:b/>
          <w:color w:val="0F172A"/>
        </w:rPr>
        <w:t xml:space="preserve">1. Automated RAG Triad Metrics: </w:t>
      </w:r>
      <w:r>
        <w:rPr>
          <w:color w:val="334155"/>
        </w:rPr>
        <w:t>Integrate Ragas / DeepEval for automated offline evaluation of Context Precision, Context Recall, and Faithfulness.</w:t>
      </w:r>
    </w:p>
    <w:p>
      <w:pPr>
        <w:pStyle w:val="ListBullet"/>
        <w:spacing w:before="0" w:after="60"/>
      </w:pPr>
      <w:r>
        <w:rPr>
          <w:b/>
          <w:color w:val="0F172A"/>
        </w:rPr>
        <w:t xml:space="preserve">2. Token Efficiency &amp; Cost-Latency Tradeoffs: </w:t>
      </w:r>
      <w:r>
        <w:rPr>
          <w:color w:val="334155"/>
        </w:rPr>
        <w:t>Benchmark token throughput, cost per 1k queries, and end-to-end latency across Groq Llama-3.3-70B, Qwen2.5-1.5B, and GPT-4o-mini.</w:t>
      </w:r>
    </w:p>
    <w:p>
      <w:pPr>
        <w:pStyle w:val="ListBullet"/>
        <w:spacing w:before="0" w:after="60"/>
      </w:pPr>
      <w:r>
        <w:rPr>
          <w:b/>
          <w:color w:val="0F172A"/>
        </w:rPr>
        <w:t xml:space="preserve">3. Fine-Grained Error Taxonomy Tagging: </w:t>
      </w:r>
      <w:r>
        <w:rPr>
          <w:color w:val="334155"/>
        </w:rPr>
        <w:t>Categorize pipeline failures into Retrieval Miss, Context Overflow, Generator Abstention Error, or Hallucination.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