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CA0ECB">
      <w:pPr>
        <w:spacing w:after="0" w:line="240" w:lineRule="auto"/>
        <w:rPr>
          <w:rFonts w:hint="default" w:ascii="Times New Roman" w:hAnsi="Times New Roman" w:cs="Times New Roman"/>
          <w:lang w:val="vi-VN"/>
        </w:rPr>
      </w:pPr>
    </w:p>
    <w:p w14:paraId="4AA640E9">
      <w:pPr>
        <w:spacing w:after="0" w:line="240" w:lineRule="auto"/>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TRƯỜNG ĐẠI HỌC SÀI GÒN</w:t>
      </w:r>
    </w:p>
    <w:p w14:paraId="67150934">
      <w:pPr>
        <w:spacing w:after="0" w:line="240" w:lineRule="auto"/>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rPr>
        <w:drawing>
          <wp:anchor distT="0" distB="0" distL="114300" distR="114300" simplePos="0" relativeHeight="251659264" behindDoc="0" locked="0" layoutInCell="1" allowOverlap="1">
            <wp:simplePos x="0" y="0"/>
            <wp:positionH relativeFrom="margin">
              <wp:align>center</wp:align>
            </wp:positionH>
            <wp:positionV relativeFrom="paragraph">
              <wp:posOffset>478155</wp:posOffset>
            </wp:positionV>
            <wp:extent cx="2346960" cy="2336165"/>
            <wp:effectExtent l="0" t="0" r="0" b="10795"/>
            <wp:wrapTopAndBottom/>
            <wp:docPr id="67195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53637" name="Picture 1"/>
                    <pic:cNvPicPr>
                      <a:picLocks noChangeAspect="1"/>
                    </pic:cNvPicPr>
                  </pic:nvPicPr>
                  <pic:blipFill>
                    <a:blip r:embed="rId9">
                      <a:extLst>
                        <a:ext uri="{28A0092B-C50C-407E-A947-70E740481C1C}">
                          <a14:useLocalDpi xmlns:a14="http://schemas.microsoft.com/office/drawing/2010/main" val="0"/>
                        </a:ext>
                      </a:extLst>
                    </a:blip>
                    <a:srcRect l="39030" t="37968" r="39182" b="23419"/>
                    <a:stretch>
                      <a:fillRect/>
                    </a:stretch>
                  </pic:blipFill>
                  <pic:spPr>
                    <a:xfrm>
                      <a:off x="0" y="0"/>
                      <a:ext cx="2346960" cy="2336165"/>
                    </a:xfrm>
                    <a:prstGeom prst="flowChartConnector">
                      <a:avLst/>
                    </a:prstGeom>
                    <a:ln>
                      <a:noFill/>
                    </a:ln>
                  </pic:spPr>
                </pic:pic>
              </a:graphicData>
            </a:graphic>
          </wp:anchor>
        </w:drawing>
      </w:r>
      <w:r>
        <w:rPr>
          <w:rFonts w:hint="default" w:ascii="Times New Roman" w:hAnsi="Times New Roman" w:cs="Times New Roman"/>
          <w:b/>
          <w:bCs/>
          <w:sz w:val="32"/>
          <w:szCs w:val="32"/>
          <w:lang w:val="vi-VN"/>
        </w:rPr>
        <w:t>KHOA CÔNG NGHỆ THÔNG TIN</w:t>
      </w:r>
    </w:p>
    <w:p w14:paraId="2D0EF293">
      <w:pPr>
        <w:spacing w:after="0" w:line="240" w:lineRule="auto"/>
        <w:jc w:val="center"/>
        <w:rPr>
          <w:rFonts w:hint="default" w:ascii="Times New Roman" w:hAnsi="Times New Roman" w:cs="Times New Roman"/>
          <w:b/>
          <w:bCs/>
          <w:sz w:val="32"/>
          <w:szCs w:val="32"/>
          <w:lang w:val="vi-VN"/>
        </w:rPr>
      </w:pPr>
    </w:p>
    <w:p w14:paraId="1E43587F">
      <w:pPr>
        <w:spacing w:after="0" w:line="240" w:lineRule="auto"/>
        <w:jc w:val="center"/>
        <w:rPr>
          <w:rFonts w:hint="default" w:ascii="Times New Roman" w:hAnsi="Times New Roman" w:cs="Times New Roman"/>
          <w:b/>
          <w:bCs/>
          <w:sz w:val="32"/>
          <w:szCs w:val="32"/>
          <w:lang w:val="vi-VN"/>
        </w:rPr>
      </w:pPr>
    </w:p>
    <w:p w14:paraId="317CAD59">
      <w:pPr>
        <w:spacing w:after="0" w:line="240" w:lineRule="auto"/>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BÁO CÁO BÀI TẬP MÔN HỌC</w:t>
      </w:r>
      <w:bookmarkStart w:id="38" w:name="_GoBack"/>
      <w:bookmarkEnd w:id="38"/>
    </w:p>
    <w:p w14:paraId="1712EECD">
      <w:pPr>
        <w:spacing w:after="0" w:line="240" w:lineRule="auto"/>
        <w:jc w:val="center"/>
        <w:rPr>
          <w:rFonts w:hint="default" w:ascii="Times New Roman" w:hAnsi="Times New Roman" w:cs="Times New Roman"/>
          <w:b/>
          <w:bCs/>
          <w:sz w:val="32"/>
          <w:szCs w:val="32"/>
          <w:lang w:val="vi-VN"/>
        </w:rPr>
      </w:pPr>
    </w:p>
    <w:p w14:paraId="4C5FDC2E">
      <w:pPr>
        <w:spacing w:after="0" w:line="240" w:lineRule="auto"/>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Học phần:</w:t>
      </w:r>
      <w:r>
        <w:rPr>
          <w:rFonts w:hint="default" w:ascii="Times New Roman" w:hAnsi="Times New Roman" w:cs="Times New Roman"/>
          <w:sz w:val="28"/>
          <w:szCs w:val="28"/>
          <w:lang w:val="vi-VN"/>
        </w:rPr>
        <w:t xml:space="preserve"> MÁY HỌC</w:t>
      </w:r>
    </w:p>
    <w:p w14:paraId="2570F33E">
      <w:pPr>
        <w:spacing w:after="0" w:line="240" w:lineRule="auto"/>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Đề tài:</w:t>
      </w:r>
      <w:r>
        <w:rPr>
          <w:rFonts w:hint="default" w:ascii="Times New Roman" w:hAnsi="Times New Roman" w:cs="Times New Roman"/>
          <w:sz w:val="28"/>
          <w:szCs w:val="28"/>
          <w:lang w:val="vi-VN"/>
        </w:rPr>
        <w:t xml:space="preserve"> LAB - PHÂN TÍCH KHÁM PHÁ DỮ LIỆU (EDA)</w:t>
      </w:r>
    </w:p>
    <w:p w14:paraId="5DE75DBB">
      <w:pPr>
        <w:spacing w:after="0" w:line="240" w:lineRule="auto"/>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xml:space="preserve">Giảng viên hướng dẫn: </w:t>
      </w:r>
      <w:r>
        <w:rPr>
          <w:rFonts w:hint="default" w:ascii="Times New Roman" w:hAnsi="Times New Roman" w:cs="Times New Roman"/>
          <w:sz w:val="28"/>
          <w:szCs w:val="28"/>
          <w:lang w:val="vi-VN"/>
        </w:rPr>
        <w:t>TS. ĐỖ NHƯ TÀI</w:t>
      </w:r>
      <w:r>
        <w:rPr>
          <w:rFonts w:hint="default" w:ascii="Times New Roman" w:hAnsi="Times New Roman" w:cs="Times New Roman"/>
          <w:sz w:val="28"/>
          <w:szCs w:val="28"/>
          <w:lang w:val="vi-VN"/>
        </w:rPr>
        <w:br w:type="textWrapping"/>
      </w:r>
      <w:r>
        <w:rPr>
          <w:rFonts w:hint="default" w:ascii="Times New Roman" w:hAnsi="Times New Roman" w:cs="Times New Roman"/>
          <w:b/>
          <w:bCs/>
          <w:sz w:val="28"/>
          <w:szCs w:val="28"/>
          <w:lang w:val="vi-VN"/>
        </w:rPr>
        <w:t>Lớp:</w:t>
      </w:r>
      <w:r>
        <w:rPr>
          <w:rFonts w:hint="default" w:ascii="Times New Roman" w:hAnsi="Times New Roman" w:cs="Times New Roman"/>
          <w:sz w:val="28"/>
          <w:szCs w:val="28"/>
          <w:lang w:val="vi-VN"/>
        </w:rPr>
        <w:t xml:space="preserve"> DCT124C2</w:t>
      </w:r>
    </w:p>
    <w:tbl>
      <w:tblPr>
        <w:tblStyle w:val="9"/>
        <w:tblpPr w:leftFromText="180" w:rightFromText="180" w:vertAnchor="text" w:horzAnchor="margin" w:tblpY="49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0AC6B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4675" w:type="dxa"/>
          </w:tcPr>
          <w:p w14:paraId="1003C3AD">
            <w:pPr>
              <w:widowControl w:val="0"/>
              <w:spacing w:after="0" w:line="312"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Họ tên sinh viên</w:t>
            </w:r>
          </w:p>
        </w:tc>
        <w:tc>
          <w:tcPr>
            <w:tcW w:w="4675" w:type="dxa"/>
          </w:tcPr>
          <w:p w14:paraId="7B76772C">
            <w:pPr>
              <w:widowControl w:val="0"/>
              <w:spacing w:after="0" w:line="312"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MSSV</w:t>
            </w:r>
          </w:p>
        </w:tc>
      </w:tr>
      <w:tr w14:paraId="64AC6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675" w:type="dxa"/>
          </w:tcPr>
          <w:p w14:paraId="0550B044">
            <w:pPr>
              <w:widowControl w:val="0"/>
              <w:spacing w:after="0" w:line="312"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Hoàng Đăng Hậu</w:t>
            </w:r>
          </w:p>
        </w:tc>
        <w:tc>
          <w:tcPr>
            <w:tcW w:w="4675" w:type="dxa"/>
          </w:tcPr>
          <w:p w14:paraId="0386C7D2">
            <w:pPr>
              <w:widowControl w:val="0"/>
              <w:spacing w:after="0" w:line="312"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rPr>
              <w:t>3124411085</w:t>
            </w:r>
          </w:p>
        </w:tc>
      </w:tr>
      <w:tr w14:paraId="67DB3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675" w:type="dxa"/>
          </w:tcPr>
          <w:p w14:paraId="4646DB08">
            <w:pPr>
              <w:widowControl w:val="0"/>
              <w:spacing w:after="0" w:line="312"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Phan Lê Minh Huy</w:t>
            </w:r>
          </w:p>
        </w:tc>
        <w:tc>
          <w:tcPr>
            <w:tcW w:w="4675" w:type="dxa"/>
          </w:tcPr>
          <w:p w14:paraId="274D9F0B">
            <w:pPr>
              <w:widowControl w:val="0"/>
              <w:spacing w:after="0" w:line="312"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3124411111</w:t>
            </w:r>
          </w:p>
        </w:tc>
      </w:tr>
      <w:tr w14:paraId="535F5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4675" w:type="dxa"/>
          </w:tcPr>
          <w:p w14:paraId="605B0C07">
            <w:pPr>
              <w:widowControl w:val="0"/>
              <w:spacing w:after="0" w:line="312"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Nguyễn Minh Triết</w:t>
            </w:r>
          </w:p>
        </w:tc>
        <w:tc>
          <w:tcPr>
            <w:tcW w:w="4675" w:type="dxa"/>
          </w:tcPr>
          <w:p w14:paraId="1FE94741">
            <w:pPr>
              <w:widowControl w:val="0"/>
              <w:spacing w:after="0" w:line="312"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3124411320</w:t>
            </w:r>
          </w:p>
        </w:tc>
      </w:tr>
      <w:tr w14:paraId="638F9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675" w:type="dxa"/>
          </w:tcPr>
          <w:p w14:paraId="0AFAE8B7">
            <w:pPr>
              <w:widowControl w:val="0"/>
              <w:spacing w:after="0" w:line="312"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Trần Văn Võ Doanh </w:t>
            </w:r>
          </w:p>
        </w:tc>
        <w:tc>
          <w:tcPr>
            <w:tcW w:w="4675" w:type="dxa"/>
          </w:tcPr>
          <w:p w14:paraId="56BE74B1">
            <w:pPr>
              <w:widowControl w:val="0"/>
              <w:spacing w:after="0" w:line="312"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3124411052</w:t>
            </w:r>
          </w:p>
        </w:tc>
      </w:tr>
      <w:tr w14:paraId="21E1E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675" w:type="dxa"/>
          </w:tcPr>
          <w:p w14:paraId="7C366341">
            <w:pPr>
              <w:widowControl w:val="0"/>
              <w:spacing w:after="0" w:line="312"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Trần Đình Bảo Quốc</w:t>
            </w:r>
          </w:p>
        </w:tc>
        <w:tc>
          <w:tcPr>
            <w:tcW w:w="4675" w:type="dxa"/>
          </w:tcPr>
          <w:p w14:paraId="3A595EF2">
            <w:pPr>
              <w:widowControl w:val="0"/>
              <w:spacing w:after="0" w:line="312" w:lineRule="auto"/>
              <w:jc w:val="both"/>
              <w:rPr>
                <w:rFonts w:hint="default" w:ascii="Times New Roman" w:hAnsi="Times New Roman" w:cs="Times New Roman"/>
                <w:sz w:val="28"/>
                <w:szCs w:val="28"/>
              </w:rPr>
            </w:pPr>
            <w:r>
              <w:rPr>
                <w:rFonts w:hint="default" w:ascii="Times New Roman" w:hAnsi="Times New Roman" w:cs="Times New Roman"/>
                <w:sz w:val="28"/>
                <w:szCs w:val="28"/>
              </w:rPr>
              <w:t>3124411252</w:t>
            </w:r>
          </w:p>
        </w:tc>
      </w:tr>
    </w:tbl>
    <w:p w14:paraId="17A15EA7">
      <w:pPr>
        <w:spacing w:after="0" w:line="240" w:lineRule="auto"/>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Danh sách sinh viên:</w:t>
      </w:r>
    </w:p>
    <w:p w14:paraId="24B8EDDC">
      <w:pPr>
        <w:spacing w:after="0" w:line="240" w:lineRule="auto"/>
        <w:rPr>
          <w:rFonts w:hint="default" w:ascii="Times New Roman" w:hAnsi="Times New Roman" w:cs="Times New Roman"/>
          <w:b/>
          <w:bCs/>
          <w:sz w:val="28"/>
          <w:szCs w:val="28"/>
          <w:lang w:val="vi-VN"/>
        </w:rPr>
      </w:pPr>
    </w:p>
    <w:p w14:paraId="6589C572">
      <w:pPr>
        <w:spacing w:after="0" w:line="240" w:lineRule="auto"/>
        <w:rPr>
          <w:rFonts w:hint="default" w:ascii="Times New Roman" w:hAnsi="Times New Roman" w:cs="Times New Roman"/>
          <w:b/>
          <w:bCs/>
          <w:sz w:val="28"/>
          <w:szCs w:val="28"/>
          <w:lang w:val="vi-VN"/>
        </w:rPr>
      </w:pPr>
    </w:p>
    <w:p w14:paraId="0028F441">
      <w:pPr>
        <w:spacing w:after="0" w:line="240" w:lineRule="auto"/>
        <w:jc w:val="center"/>
        <w:rPr>
          <w:rFonts w:hint="default" w:ascii="Times New Roman" w:hAnsi="Times New Roman" w:cs="Times New Roman"/>
          <w:sz w:val="28"/>
          <w:szCs w:val="28"/>
          <w:lang w:val="vi-VN"/>
        </w:rPr>
      </w:pPr>
    </w:p>
    <w:p w14:paraId="6FACDC01">
      <w:pPr>
        <w:spacing w:after="0" w:line="240" w:lineRule="auto"/>
        <w:jc w:val="center"/>
        <w:rPr>
          <w:rFonts w:hint="default" w:ascii="Times New Roman" w:hAnsi="Times New Roman" w:cs="Times New Roman"/>
          <w:sz w:val="28"/>
          <w:szCs w:val="28"/>
          <w:lang w:val="vi-VN"/>
        </w:rPr>
      </w:pPr>
    </w:p>
    <w:p w14:paraId="116C0721">
      <w:pPr>
        <w:spacing w:after="0" w:line="240" w:lineRule="auto"/>
        <w:jc w:val="center"/>
        <w:rPr>
          <w:rFonts w:hint="default" w:ascii="Times New Roman" w:hAnsi="Times New Roman" w:cs="Times New Roman"/>
          <w:sz w:val="28"/>
          <w:szCs w:val="28"/>
          <w:lang w:val="vi-VN"/>
        </w:rPr>
      </w:pPr>
    </w:p>
    <w:p w14:paraId="71688CEA">
      <w:pPr>
        <w:spacing w:after="0" w:line="240" w:lineRule="auto"/>
        <w:jc w:val="center"/>
        <w:rPr>
          <w:rFonts w:hint="default" w:ascii="Times New Roman" w:hAnsi="Times New Roman" w:cs="Times New Roman"/>
          <w:sz w:val="28"/>
          <w:szCs w:val="28"/>
          <w:lang w:val="vi-VN"/>
        </w:rPr>
        <w:sectPr>
          <w:footerReference r:id="rId5" w:type="default"/>
          <w:pgSz w:w="12240" w:h="15840"/>
          <w:pgMar w:top="1440" w:right="1440" w:bottom="1440" w:left="1440" w:header="720" w:footer="720" w:gutter="0"/>
          <w:pgBorders w:display="firstPage" w:offsetFrom="page">
            <w:top w:val="thinThickThinMediumGap" w:color="auto" w:sz="24" w:space="24"/>
            <w:left w:val="thinThickThinMediumGap" w:color="auto" w:sz="24" w:space="24"/>
            <w:bottom w:val="thinThickThinMediumGap" w:color="auto" w:sz="24" w:space="24"/>
            <w:right w:val="thinThickThinMediumGap" w:color="auto" w:sz="24" w:space="24"/>
          </w:pgBorders>
          <w:pgNumType w:fmt="decimal" w:start="1"/>
          <w:cols w:space="720" w:num="1"/>
          <w:docGrid w:linePitch="360" w:charSpace="0"/>
        </w:sectPr>
      </w:pPr>
      <w:r>
        <w:rPr>
          <w:rFonts w:hint="default" w:ascii="Times New Roman" w:hAnsi="Times New Roman" w:cs="Times New Roman"/>
          <w:sz w:val="28"/>
          <w:szCs w:val="28"/>
          <w:lang w:val="vi-VN"/>
        </w:rPr>
        <w:t>TP. Hồ Chí Minh, ngày 11 tháng 10 năm 2026</w:t>
      </w:r>
    </w:p>
    <w:p w14:paraId="346A9EA4">
      <w:pPr>
        <w:pStyle w:val="2"/>
      </w:pPr>
      <w:bookmarkStart w:id="0" w:name="_Toc5001"/>
      <w:r>
        <w:t>LỜI MỞ ĐẦU</w:t>
      </w:r>
      <w:bookmarkEnd w:id="0"/>
    </w:p>
    <w:p w14:paraId="00000019">
      <w:pPr>
        <w:ind w:firstLine="567"/>
        <w:jc w:val="both"/>
        <w:rPr>
          <w:sz w:val="32"/>
          <w:szCs w:val="32"/>
        </w:rPr>
      </w:pPr>
      <w:r>
        <w:rPr>
          <w:rtl w:val="0"/>
        </w:rPr>
        <w:t>Trong thời đại công nghệ số phát triển mạnh mẽ, học máy (Machine Learning) đang trở thành một trong những lĩnh vực quan trọng của trí tuệ nhân tạo, được ứng dụng rộng rãi trong nhiều lĩnh vực như y tế, tài chính, giáo dục và kinh doanh. Học máy giúp máy tính phân tích dữ liệu, nhận diện quy luật và đưa ra những dự đoán nhằm hỗ trợ quá trình ra quyết định.</w:t>
      </w:r>
    </w:p>
    <w:p w14:paraId="0000001A">
      <w:pPr>
        <w:ind w:firstLine="567"/>
        <w:jc w:val="both"/>
        <w:rPr>
          <w:sz w:val="32"/>
          <w:szCs w:val="32"/>
        </w:rPr>
      </w:pPr>
      <w:r>
        <w:rPr>
          <w:rtl w:val="0"/>
        </w:rPr>
        <w:t>Trong khuôn khổ học phần Máy học tại Trường Đại học Sài Gòn, nhóm chúng em thực hiện bài báo cáo nhằm vận dụng những kiến thức đã học vào quá trình phân tích dữ liệu và xây dựng các mô hình học máy.</w:t>
      </w:r>
    </w:p>
    <w:p w14:paraId="0000001B">
      <w:pPr>
        <w:ind w:firstLine="567"/>
        <w:jc w:val="both"/>
        <w:rPr>
          <w:sz w:val="32"/>
          <w:szCs w:val="32"/>
        </w:rPr>
      </w:pPr>
      <w:r>
        <w:rPr>
          <w:rtl w:val="0"/>
        </w:rPr>
        <w:t>Nội dung báo cáo tập trung vào Phân tích khám phá dữ liệu (Exploratory Data Analysis – EDA) thông qua thống kê mô tả, trực quan hóa dữ liệu, phân tích đơn biến và hai biến, đồng thời tìm hiểu các công cụ EDA tự động. Các bài thực hành giúp nhóm nhận diện cấu trúc dữ liệu, giá trị thiếu, dữ liệu bất thường, phân phối và mối quan hệ giữa các thuộc tính trước khi xây dựng mô hình học máy.</w:t>
      </w:r>
    </w:p>
    <w:p w14:paraId="0000001C">
      <w:pPr>
        <w:ind w:firstLine="567"/>
        <w:jc w:val="both"/>
        <w:rPr>
          <w:sz w:val="32"/>
          <w:szCs w:val="32"/>
        </w:rPr>
      </w:pPr>
      <w:r>
        <w:rPr>
          <w:rtl w:val="0"/>
        </w:rPr>
        <w:t>Thông qua bài thực hành, nhóm có cơ hội củng cố kiến thức chuyên môn, nâng cao kỹ năng lập trình Python, xử lý dữ liệu và làm việc nhóm. Đồng thời, quá trình thực hiện giúp nhóm hiểu rõ hơn về cách ứng dụng các thuật toán học máy vào những bài toán thực tế.</w:t>
      </w:r>
    </w:p>
    <w:p w14:paraId="0000001D">
      <w:pPr>
        <w:ind w:firstLine="567"/>
        <w:jc w:val="both"/>
        <w:rPr>
          <w:sz w:val="32"/>
          <w:szCs w:val="32"/>
        </w:rPr>
      </w:pPr>
      <w:r>
        <w:rPr>
          <w:rtl w:val="0"/>
        </w:rPr>
        <w:t>Mặc dù đã cố gắng hoàn thành bài báo cáo, nhưng do kiến thức và kinh nghiệm còn hạn chế nên khó tránh khỏi những thiếu sót. Nhóm chúng em rất mong nhận được những ý kiến đóng góp từ giảng viên để bài báo cáo được hoàn thiện hơn.</w:t>
      </w:r>
    </w:p>
    <w:p w14:paraId="0000001E">
      <w:pPr>
        <w:ind w:firstLine="567"/>
        <w:jc w:val="both"/>
        <w:rPr>
          <w:sz w:val="32"/>
          <w:szCs w:val="32"/>
        </w:rPr>
      </w:pPr>
      <w:r>
        <w:rPr>
          <w:rtl w:val="0"/>
        </w:rPr>
        <w:t>Nhóm chúng em xin chân thành cảm ơn!</w:t>
      </w:r>
    </w:p>
    <w:p w14:paraId="0247CA36">
      <w:pPr>
        <w:pageBreakBefore/>
        <w:spacing w:after="0" w:line="240" w:lineRule="auto"/>
      </w:pPr>
      <w:r>
        <w:rPr>
          <w:b/>
          <w:bCs/>
          <w:sz w:val="30"/>
          <w:szCs w:val="30"/>
        </w:rPr>
        <w:t>MỤC LỤC:</w:t>
      </w:r>
    </w:p>
    <w:p w14:paraId="2C402004">
      <w:pPr>
        <w:spacing w:after="0" w:line="240" w:lineRule="auto"/>
      </w:pPr>
    </w:p>
    <w:p w14:paraId="741404D9">
      <w:pPr>
        <w:pStyle w:val="18"/>
      </w:pPr>
      <w:r>
        <w:fldChar w:fldCharType="begin"/>
      </w:r>
      <w:r>
        <w:instrText xml:space="preserve">TOC \o "1-3" \h \u </w:instrText>
      </w:r>
      <w:r>
        <w:fldChar w:fldCharType="separate"/>
      </w:r>
      <w:r>
        <w:fldChar w:fldCharType="begin"/>
      </w:r>
      <w:r>
        <w:instrText xml:space="preserve"> HYPERLINK \l _Toc5001 </w:instrText>
      </w:r>
      <w:r>
        <w:fldChar w:fldCharType="separate"/>
      </w:r>
      <w:r>
        <w:t>LỜI MỞ ĐẦU</w:t>
      </w:r>
      <w:r>
        <w:tab/>
      </w:r>
      <w:r>
        <w:fldChar w:fldCharType="begin"/>
      </w:r>
      <w:r>
        <w:instrText xml:space="preserve"> PAGEREF _Toc5001 \h </w:instrText>
      </w:r>
      <w:r>
        <w:fldChar w:fldCharType="separate"/>
      </w:r>
      <w:r>
        <w:t>i</w:t>
      </w:r>
      <w:r>
        <w:fldChar w:fldCharType="end"/>
      </w:r>
      <w:r>
        <w:fldChar w:fldCharType="end"/>
      </w:r>
    </w:p>
    <w:p w14:paraId="3B2A9D19">
      <w:pPr>
        <w:pStyle w:val="18"/>
      </w:pPr>
      <w:r>
        <w:fldChar w:fldCharType="begin"/>
      </w:r>
      <w:r>
        <w:instrText xml:space="preserve"> HYPERLINK \l _Toc5002 </w:instrText>
      </w:r>
      <w:r>
        <w:fldChar w:fldCharType="separate"/>
      </w:r>
      <w:r>
        <w:t>CHƯƠNG 1. PHÂN TÍCH KHÁM PHÁ DỮ LIỆU (EDA)</w:t>
      </w:r>
      <w:r>
        <w:tab/>
      </w:r>
      <w:r>
        <w:fldChar w:fldCharType="begin"/>
      </w:r>
      <w:r>
        <w:instrText xml:space="preserve"> PAGEREF _Toc5002 \h </w:instrText>
      </w:r>
      <w:r>
        <w:fldChar w:fldCharType="separate"/>
      </w:r>
      <w:r>
        <w:t>1</w:t>
      </w:r>
      <w:r>
        <w:fldChar w:fldCharType="end"/>
      </w:r>
      <w:r>
        <w:fldChar w:fldCharType="end"/>
      </w:r>
    </w:p>
    <w:p w14:paraId="3EF202B6">
      <w:pPr>
        <w:pStyle w:val="19"/>
      </w:pPr>
      <w:r>
        <w:fldChar w:fldCharType="begin"/>
      </w:r>
      <w:r>
        <w:instrText xml:space="preserve"> HYPERLINK \l _Toc5003 </w:instrText>
      </w:r>
      <w:r>
        <w:fldChar w:fldCharType="separate"/>
      </w:r>
      <w:r>
        <w:t>1.1. THỐNG KÊ MÔ TẢ DỮ LIỆU (EDA)</w:t>
      </w:r>
      <w:r>
        <w:tab/>
      </w:r>
      <w:r>
        <w:fldChar w:fldCharType="begin"/>
      </w:r>
      <w:r>
        <w:instrText xml:space="preserve"> PAGEREF _Toc5003 \h </w:instrText>
      </w:r>
      <w:r>
        <w:fldChar w:fldCharType="separate"/>
      </w:r>
      <w:r>
        <w:t>1</w:t>
      </w:r>
      <w:r>
        <w:fldChar w:fldCharType="end"/>
      </w:r>
      <w:r>
        <w:fldChar w:fldCharType="end"/>
      </w:r>
    </w:p>
    <w:p w14:paraId="38ECDDC4">
      <w:pPr>
        <w:pStyle w:val="20"/>
      </w:pPr>
      <w:r>
        <w:fldChar w:fldCharType="begin"/>
      </w:r>
      <w:r>
        <w:instrText xml:space="preserve"> HYPERLINK \l _Toc5004 </w:instrText>
      </w:r>
      <w:r>
        <w:fldChar w:fldCharType="separate"/>
      </w:r>
      <w:r>
        <w:t>1.1.1. Mục tiêu và phương pháp</w:t>
      </w:r>
      <w:r>
        <w:tab/>
      </w:r>
      <w:r>
        <w:fldChar w:fldCharType="begin"/>
      </w:r>
      <w:r>
        <w:instrText xml:space="preserve"> PAGEREF _Toc5004 \h </w:instrText>
      </w:r>
      <w:r>
        <w:fldChar w:fldCharType="separate"/>
      </w:r>
      <w:r>
        <w:t>1</w:t>
      </w:r>
      <w:r>
        <w:fldChar w:fldCharType="end"/>
      </w:r>
      <w:r>
        <w:fldChar w:fldCharType="end"/>
      </w:r>
    </w:p>
    <w:p w14:paraId="2575D82D">
      <w:pPr>
        <w:pStyle w:val="20"/>
      </w:pPr>
      <w:r>
        <w:fldChar w:fldCharType="begin"/>
      </w:r>
      <w:r>
        <w:instrText xml:space="preserve"> HYPERLINK \l _Toc5005 </w:instrText>
      </w:r>
      <w:r>
        <w:fldChar w:fldCharType="separate"/>
      </w:r>
      <w:r>
        <w:t>1.1.2. Thực hành dữ liệu COVID-19</w:t>
      </w:r>
      <w:r>
        <w:tab/>
      </w:r>
      <w:r>
        <w:fldChar w:fldCharType="begin"/>
      </w:r>
      <w:r>
        <w:instrText xml:space="preserve"> PAGEREF _Toc5005 \h </w:instrText>
      </w:r>
      <w:r>
        <w:fldChar w:fldCharType="separate"/>
      </w:r>
      <w:r>
        <w:t>1</w:t>
      </w:r>
      <w:r>
        <w:fldChar w:fldCharType="end"/>
      </w:r>
      <w:r>
        <w:fldChar w:fldCharType="end"/>
      </w:r>
    </w:p>
    <w:p w14:paraId="68F63DF6">
      <w:pPr>
        <w:pStyle w:val="20"/>
      </w:pPr>
      <w:r>
        <w:fldChar w:fldCharType="begin"/>
      </w:r>
      <w:r>
        <w:instrText xml:space="preserve"> HYPERLINK \l _Toc5006 </w:instrText>
      </w:r>
      <w:r>
        <w:fldChar w:fldCharType="separate"/>
      </w:r>
      <w:r>
        <w:t>1.1.3. Thực hành dữ liệu Marketing Campaign</w:t>
      </w:r>
      <w:r>
        <w:tab/>
      </w:r>
      <w:r>
        <w:fldChar w:fldCharType="begin"/>
      </w:r>
      <w:r>
        <w:instrText xml:space="preserve"> PAGEREF _Toc5006 \h </w:instrText>
      </w:r>
      <w:r>
        <w:fldChar w:fldCharType="separate"/>
      </w:r>
      <w:r>
        <w:t>2</w:t>
      </w:r>
      <w:r>
        <w:fldChar w:fldCharType="end"/>
      </w:r>
      <w:r>
        <w:fldChar w:fldCharType="end"/>
      </w:r>
    </w:p>
    <w:p w14:paraId="685A1F6D">
      <w:pPr>
        <w:pStyle w:val="20"/>
      </w:pPr>
      <w:r>
        <w:fldChar w:fldCharType="begin"/>
      </w:r>
      <w:r>
        <w:instrText xml:space="preserve"> HYPERLINK \l _Toc5007 </w:instrText>
      </w:r>
      <w:r>
        <w:fldChar w:fldCharType="separate"/>
      </w:r>
      <w:r>
        <w:t>1.1.4. Thực hành Red Wine Quality</w:t>
      </w:r>
      <w:r>
        <w:tab/>
      </w:r>
      <w:r>
        <w:fldChar w:fldCharType="begin"/>
      </w:r>
      <w:r>
        <w:instrText xml:space="preserve"> PAGEREF _Toc5007 \h </w:instrText>
      </w:r>
      <w:r>
        <w:fldChar w:fldCharType="separate"/>
      </w:r>
      <w:r>
        <w:t>3</w:t>
      </w:r>
      <w:r>
        <w:fldChar w:fldCharType="end"/>
      </w:r>
      <w:r>
        <w:fldChar w:fldCharType="end"/>
      </w:r>
    </w:p>
    <w:p w14:paraId="3EC4C4D5">
      <w:pPr>
        <w:pStyle w:val="20"/>
      </w:pPr>
      <w:r>
        <w:fldChar w:fldCharType="begin"/>
      </w:r>
      <w:r>
        <w:instrText xml:space="preserve"> HYPERLINK \l _Toc5008 </w:instrText>
      </w:r>
      <w:r>
        <w:fldChar w:fldCharType="separate"/>
      </w:r>
      <w:r>
        <w:t>1.1.5. Thực hành Pima Indians Diabetes</w:t>
      </w:r>
      <w:r>
        <w:tab/>
      </w:r>
      <w:r>
        <w:fldChar w:fldCharType="begin"/>
      </w:r>
      <w:r>
        <w:instrText xml:space="preserve"> PAGEREF _Toc5008 \h </w:instrText>
      </w:r>
      <w:r>
        <w:fldChar w:fldCharType="separate"/>
      </w:r>
      <w:r>
        <w:t>5</w:t>
      </w:r>
      <w:r>
        <w:fldChar w:fldCharType="end"/>
      </w:r>
      <w:r>
        <w:fldChar w:fldCharType="end"/>
      </w:r>
    </w:p>
    <w:p w14:paraId="715F561E">
      <w:pPr>
        <w:pStyle w:val="20"/>
      </w:pPr>
      <w:r>
        <w:fldChar w:fldCharType="begin"/>
      </w:r>
      <w:r>
        <w:instrText xml:space="preserve"> HYPERLINK \l _Toc5009 </w:instrText>
      </w:r>
      <w:r>
        <w:fldChar w:fldCharType="separate"/>
      </w:r>
      <w:r>
        <w:t>1.1.6. Kết luận phần EDA</w:t>
      </w:r>
      <w:r>
        <w:tab/>
      </w:r>
      <w:r>
        <w:fldChar w:fldCharType="begin"/>
      </w:r>
      <w:r>
        <w:instrText xml:space="preserve"> PAGEREF _Toc5009 \h </w:instrText>
      </w:r>
      <w:r>
        <w:fldChar w:fldCharType="separate"/>
      </w:r>
      <w:r>
        <w:t>8</w:t>
      </w:r>
      <w:r>
        <w:fldChar w:fldCharType="end"/>
      </w:r>
      <w:r>
        <w:fldChar w:fldCharType="end"/>
      </w:r>
    </w:p>
    <w:p w14:paraId="1F71991F">
      <w:pPr>
        <w:pStyle w:val="19"/>
      </w:pPr>
      <w:r>
        <w:fldChar w:fldCharType="begin"/>
      </w:r>
      <w:r>
        <w:instrText xml:space="preserve"> HYPERLINK \l _Toc5010 </w:instrText>
      </w:r>
      <w:r>
        <w:fldChar w:fldCharType="separate"/>
      </w:r>
      <w:r>
        <w:t>1.2. Xử lý và trực quan hóa dữ liệu</w:t>
      </w:r>
      <w:r>
        <w:tab/>
      </w:r>
      <w:r>
        <w:fldChar w:fldCharType="begin"/>
      </w:r>
      <w:r>
        <w:instrText xml:space="preserve"> PAGEREF _Toc5010 \h </w:instrText>
      </w:r>
      <w:r>
        <w:fldChar w:fldCharType="separate"/>
      </w:r>
      <w:r>
        <w:t>9</w:t>
      </w:r>
      <w:r>
        <w:fldChar w:fldCharType="end"/>
      </w:r>
      <w:r>
        <w:fldChar w:fldCharType="end"/>
      </w:r>
    </w:p>
    <w:p w14:paraId="77AA0498">
      <w:pPr>
        <w:pStyle w:val="20"/>
      </w:pPr>
      <w:r>
        <w:fldChar w:fldCharType="begin"/>
      </w:r>
      <w:r>
        <w:instrText xml:space="preserve"> HYPERLINK \l _Toc5011 </w:instrText>
      </w:r>
      <w:r>
        <w:fldChar w:fldCharType="separate"/>
      </w:r>
      <w:r>
        <w:t>1.2.1. Mục tiêu và phạm vi</w:t>
      </w:r>
      <w:r>
        <w:tab/>
      </w:r>
      <w:r>
        <w:fldChar w:fldCharType="begin"/>
      </w:r>
      <w:r>
        <w:instrText xml:space="preserve"> PAGEREF _Toc5011 \h </w:instrText>
      </w:r>
      <w:r>
        <w:fldChar w:fldCharType="separate"/>
      </w:r>
      <w:r>
        <w:t>9</w:t>
      </w:r>
      <w:r>
        <w:fldChar w:fldCharType="end"/>
      </w:r>
      <w:r>
        <w:fldChar w:fldCharType="end"/>
      </w:r>
    </w:p>
    <w:p w14:paraId="10A12F16">
      <w:pPr>
        <w:pStyle w:val="20"/>
      </w:pPr>
      <w:r>
        <w:fldChar w:fldCharType="begin"/>
      </w:r>
      <w:r>
        <w:instrText xml:space="preserve"> HYPERLINK \l _Toc5012 </w:instrText>
      </w:r>
      <w:r>
        <w:fldChar w:fldCharType="separate"/>
      </w:r>
      <w:r>
        <w:t>1.2.2. Ôn tập lý thuyết</w:t>
      </w:r>
      <w:r>
        <w:tab/>
      </w:r>
      <w:r>
        <w:fldChar w:fldCharType="begin"/>
      </w:r>
      <w:r>
        <w:instrText xml:space="preserve"> PAGEREF _Toc5012 \h </w:instrText>
      </w:r>
      <w:r>
        <w:fldChar w:fldCharType="separate"/>
      </w:r>
      <w:r>
        <w:t>9</w:t>
      </w:r>
      <w:r>
        <w:fldChar w:fldCharType="end"/>
      </w:r>
      <w:r>
        <w:fldChar w:fldCharType="end"/>
      </w:r>
    </w:p>
    <w:p w14:paraId="4A8263BF">
      <w:pPr>
        <w:pStyle w:val="20"/>
      </w:pPr>
      <w:r>
        <w:fldChar w:fldCharType="begin"/>
      </w:r>
      <w:r>
        <w:instrText xml:space="preserve"> HYPERLINK \l _Toc5013 </w:instrText>
      </w:r>
      <w:r>
        <w:fldChar w:fldCharType="separate"/>
      </w:r>
      <w:r>
        <w:t>1.2.3. Bài mẫu: trực quan hóa giá nhà Amsterdam</w:t>
      </w:r>
      <w:r>
        <w:tab/>
      </w:r>
      <w:r>
        <w:fldChar w:fldCharType="begin"/>
      </w:r>
      <w:r>
        <w:instrText xml:space="preserve"> PAGEREF _Toc5013 \h </w:instrText>
      </w:r>
      <w:r>
        <w:fldChar w:fldCharType="separate"/>
      </w:r>
      <w:r>
        <w:t>11</w:t>
      </w:r>
      <w:r>
        <w:fldChar w:fldCharType="end"/>
      </w:r>
      <w:r>
        <w:fldChar w:fldCharType="end"/>
      </w:r>
    </w:p>
    <w:p w14:paraId="1DD5899A">
      <w:pPr>
        <w:pStyle w:val="20"/>
      </w:pPr>
      <w:r>
        <w:fldChar w:fldCharType="begin"/>
      </w:r>
      <w:r>
        <w:instrText xml:space="preserve"> HYPERLINK \l _Toc5014 </w:instrText>
      </w:r>
      <w:r>
        <w:fldChar w:fldCharType="separate"/>
      </w:r>
      <w:r>
        <w:t>1.2.4. Bài tập: Red Wine Quality</w:t>
      </w:r>
      <w:r>
        <w:tab/>
      </w:r>
      <w:r>
        <w:fldChar w:fldCharType="begin"/>
      </w:r>
      <w:r>
        <w:instrText xml:space="preserve"> PAGEREF _Toc5014 \h </w:instrText>
      </w:r>
      <w:r>
        <w:fldChar w:fldCharType="separate"/>
      </w:r>
      <w:r>
        <w:t>13</w:t>
      </w:r>
      <w:r>
        <w:fldChar w:fldCharType="end"/>
      </w:r>
      <w:r>
        <w:fldChar w:fldCharType="end"/>
      </w:r>
    </w:p>
    <w:p w14:paraId="47251403">
      <w:pPr>
        <w:pStyle w:val="20"/>
      </w:pPr>
      <w:r>
        <w:fldChar w:fldCharType="begin"/>
      </w:r>
      <w:r>
        <w:instrText xml:space="preserve"> HYPERLINK \l _Toc5015 </w:instrText>
      </w:r>
      <w:r>
        <w:fldChar w:fldCharType="separate"/>
      </w:r>
      <w:r>
        <w:t>1.2.5. Bài tập: Pima Indians Diabetes</w:t>
      </w:r>
      <w:r>
        <w:tab/>
      </w:r>
      <w:r>
        <w:fldChar w:fldCharType="begin"/>
      </w:r>
      <w:r>
        <w:instrText xml:space="preserve"> PAGEREF _Toc5015 \h </w:instrText>
      </w:r>
      <w:r>
        <w:fldChar w:fldCharType="separate"/>
      </w:r>
      <w:r>
        <w:t>17</w:t>
      </w:r>
      <w:r>
        <w:fldChar w:fldCharType="end"/>
      </w:r>
      <w:r>
        <w:fldChar w:fldCharType="end"/>
      </w:r>
    </w:p>
    <w:p w14:paraId="03E4364A">
      <w:pPr>
        <w:pStyle w:val="20"/>
      </w:pPr>
      <w:r>
        <w:fldChar w:fldCharType="begin"/>
      </w:r>
      <w:r>
        <w:instrText xml:space="preserve"> HYPERLINK \l _Toc5016 </w:instrText>
      </w:r>
      <w:r>
        <w:fldChar w:fldCharType="separate"/>
      </w:r>
      <w:r>
        <w:t>1.2.6. Bài tập: Online Retail</w:t>
      </w:r>
      <w:r>
        <w:tab/>
      </w:r>
      <w:r>
        <w:fldChar w:fldCharType="begin"/>
      </w:r>
      <w:r>
        <w:instrText xml:space="preserve"> PAGEREF _Toc5016 \h </w:instrText>
      </w:r>
      <w:r>
        <w:fldChar w:fldCharType="separate"/>
      </w:r>
      <w:r>
        <w:t>20</w:t>
      </w:r>
      <w:r>
        <w:fldChar w:fldCharType="end"/>
      </w:r>
      <w:r>
        <w:fldChar w:fldCharType="end"/>
      </w:r>
    </w:p>
    <w:p w14:paraId="64D8DA68">
      <w:pPr>
        <w:pStyle w:val="20"/>
      </w:pPr>
      <w:r>
        <w:fldChar w:fldCharType="begin"/>
      </w:r>
      <w:r>
        <w:instrText xml:space="preserve"> HYPERLINK \l _Toc5017 </w:instrText>
      </w:r>
      <w:r>
        <w:fldChar w:fldCharType="separate"/>
      </w:r>
      <w:r>
        <w:t>1.2.7. Tổng kết phần trực quan hóa</w:t>
      </w:r>
      <w:r>
        <w:tab/>
      </w:r>
      <w:r>
        <w:fldChar w:fldCharType="begin"/>
      </w:r>
      <w:r>
        <w:instrText xml:space="preserve"> PAGEREF _Toc5017 \h </w:instrText>
      </w:r>
      <w:r>
        <w:fldChar w:fldCharType="separate"/>
      </w:r>
      <w:r>
        <w:t>22</w:t>
      </w:r>
      <w:r>
        <w:fldChar w:fldCharType="end"/>
      </w:r>
      <w:r>
        <w:fldChar w:fldCharType="end"/>
      </w:r>
    </w:p>
    <w:p w14:paraId="56B7C8F5">
      <w:pPr>
        <w:pStyle w:val="19"/>
      </w:pPr>
      <w:r>
        <w:fldChar w:fldCharType="begin"/>
      </w:r>
      <w:r>
        <w:instrText xml:space="preserve"> HYPERLINK \l _Toc5018 </w:instrText>
      </w:r>
      <w:r>
        <w:fldChar w:fldCharType="separate"/>
      </w:r>
      <w:r>
        <w:t>1.3. PHÂN TÍCH ĐƠN BIẾN, HAI BIẾN VÀ CÔNG CỤ EDA TỰ ĐỘNG</w:t>
      </w:r>
      <w:r>
        <w:tab/>
      </w:r>
      <w:r>
        <w:fldChar w:fldCharType="begin"/>
      </w:r>
      <w:r>
        <w:instrText xml:space="preserve"> PAGEREF _Toc5018 \h </w:instrText>
      </w:r>
      <w:r>
        <w:fldChar w:fldCharType="separate"/>
      </w:r>
      <w:r>
        <w:t>23</w:t>
      </w:r>
      <w:r>
        <w:fldChar w:fldCharType="end"/>
      </w:r>
      <w:r>
        <w:fldChar w:fldCharType="end"/>
      </w:r>
    </w:p>
    <w:p w14:paraId="11085805">
      <w:pPr>
        <w:pStyle w:val="20"/>
      </w:pPr>
      <w:r>
        <w:fldChar w:fldCharType="begin"/>
      </w:r>
      <w:r>
        <w:instrText xml:space="preserve"> HYPERLINK \l _Toc5019 </w:instrText>
      </w:r>
      <w:r>
        <w:fldChar w:fldCharType="separate"/>
      </w:r>
      <w:r>
        <w:t>1.3.1. Dữ liệu và phương pháp thực hiện</w:t>
      </w:r>
      <w:r>
        <w:tab/>
      </w:r>
      <w:r>
        <w:fldChar w:fldCharType="begin"/>
      </w:r>
      <w:r>
        <w:instrText xml:space="preserve"> PAGEREF _Toc5019 \h </w:instrText>
      </w:r>
      <w:r>
        <w:fldChar w:fldCharType="separate"/>
      </w:r>
      <w:r>
        <w:t>23</w:t>
      </w:r>
      <w:r>
        <w:fldChar w:fldCharType="end"/>
      </w:r>
      <w:r>
        <w:fldChar w:fldCharType="end"/>
      </w:r>
    </w:p>
    <w:p w14:paraId="24310789">
      <w:pPr>
        <w:pStyle w:val="20"/>
      </w:pPr>
      <w:r>
        <w:fldChar w:fldCharType="begin"/>
      </w:r>
      <w:r>
        <w:instrText xml:space="preserve"> HYPERLINK \l _Toc5020 </w:instrText>
      </w:r>
      <w:r>
        <w:fldChar w:fldCharType="separate"/>
      </w:r>
      <w:r>
        <w:t>1.3.2. Phân tích đơn biến (Univariate Analysis)</w:t>
      </w:r>
      <w:r>
        <w:tab/>
      </w:r>
      <w:r>
        <w:fldChar w:fldCharType="begin"/>
      </w:r>
      <w:r>
        <w:instrText xml:space="preserve"> PAGEREF _Toc5020 \h </w:instrText>
      </w:r>
      <w:r>
        <w:fldChar w:fldCharType="separate"/>
      </w:r>
      <w:r>
        <w:t>24</w:t>
      </w:r>
      <w:r>
        <w:fldChar w:fldCharType="end"/>
      </w:r>
      <w:r>
        <w:fldChar w:fldCharType="end"/>
      </w:r>
    </w:p>
    <w:p w14:paraId="0FEF762B">
      <w:pPr>
        <w:pStyle w:val="20"/>
      </w:pPr>
      <w:r>
        <w:fldChar w:fldCharType="begin"/>
      </w:r>
      <w:r>
        <w:instrText xml:space="preserve"> HYPERLINK \l _Toc5021 </w:instrText>
      </w:r>
      <w:r>
        <w:fldChar w:fldCharType="separate"/>
      </w:r>
      <w:r>
        <w:t>1.3.3. Phân tích hai biến (Bivariate Analysis)</w:t>
      </w:r>
      <w:r>
        <w:tab/>
      </w:r>
      <w:r>
        <w:fldChar w:fldCharType="begin"/>
      </w:r>
      <w:r>
        <w:instrText xml:space="preserve"> PAGEREF _Toc5021 \h </w:instrText>
      </w:r>
      <w:r>
        <w:fldChar w:fldCharType="separate"/>
      </w:r>
      <w:r>
        <w:t>27</w:t>
      </w:r>
      <w:r>
        <w:fldChar w:fldCharType="end"/>
      </w:r>
      <w:r>
        <w:fldChar w:fldCharType="end"/>
      </w:r>
    </w:p>
    <w:p w14:paraId="73DB0DE5">
      <w:pPr>
        <w:pStyle w:val="20"/>
      </w:pPr>
      <w:r>
        <w:fldChar w:fldCharType="begin"/>
      </w:r>
      <w:r>
        <w:instrText xml:space="preserve"> HYPERLINK \l _Toc5022 </w:instrText>
      </w:r>
      <w:r>
        <w:fldChar w:fldCharType="separate"/>
      </w:r>
      <w:r>
        <w:t>1.3.4. Sử dụng bốn công cụ EDA tự động</w:t>
      </w:r>
      <w:r>
        <w:tab/>
      </w:r>
      <w:r>
        <w:fldChar w:fldCharType="begin"/>
      </w:r>
      <w:r>
        <w:instrText xml:space="preserve"> PAGEREF _Toc5022 \h </w:instrText>
      </w:r>
      <w:r>
        <w:fldChar w:fldCharType="separate"/>
      </w:r>
      <w:r>
        <w:t>29</w:t>
      </w:r>
      <w:r>
        <w:fldChar w:fldCharType="end"/>
      </w:r>
      <w:r>
        <w:fldChar w:fldCharType="end"/>
      </w:r>
    </w:p>
    <w:p w14:paraId="407DEE87">
      <w:pPr>
        <w:pStyle w:val="20"/>
      </w:pPr>
      <w:r>
        <w:fldChar w:fldCharType="begin"/>
      </w:r>
      <w:r>
        <w:instrText xml:space="preserve"> HYPERLINK \l _Toc5023 </w:instrText>
      </w:r>
      <w:r>
        <w:fldChar w:fldCharType="separate"/>
      </w:r>
      <w:r>
        <w:t>1.3.5. Nhận xét chung và kết luận</w:t>
      </w:r>
      <w:r>
        <w:tab/>
      </w:r>
      <w:r>
        <w:fldChar w:fldCharType="begin"/>
      </w:r>
      <w:r>
        <w:instrText xml:space="preserve"> PAGEREF _Toc5023 \h </w:instrText>
      </w:r>
      <w:r>
        <w:fldChar w:fldCharType="separate"/>
      </w:r>
      <w:r>
        <w:t>31</w:t>
      </w:r>
      <w:r>
        <w:fldChar w:fldCharType="end"/>
      </w:r>
      <w:r>
        <w:fldChar w:fldCharType="end"/>
      </w:r>
    </w:p>
    <w:p w14:paraId="66AF9C23">
      <w:pPr>
        <w:pStyle w:val="18"/>
      </w:pPr>
      <w:r>
        <w:fldChar w:fldCharType="begin"/>
      </w:r>
      <w:r>
        <w:instrText xml:space="preserve"> HYPERLINK \l _Toc5024 </w:instrText>
      </w:r>
      <w:r>
        <w:fldChar w:fldCharType="separate"/>
      </w:r>
      <w:r>
        <w:t>Nguồn dữ liệu và minh chứng</w:t>
      </w:r>
      <w:r>
        <w:tab/>
      </w:r>
      <w:r>
        <w:fldChar w:fldCharType="begin"/>
      </w:r>
      <w:r>
        <w:instrText xml:space="preserve"> PAGEREF _Toc5024 \h </w:instrText>
      </w:r>
      <w:r>
        <w:fldChar w:fldCharType="separate"/>
      </w:r>
      <w:r>
        <w:t>32</w:t>
      </w:r>
      <w:r>
        <w:fldChar w:fldCharType="end"/>
      </w:r>
      <w:r>
        <w:fldChar w:fldCharType="end"/>
      </w:r>
    </w:p>
    <w:p w14:paraId="03EBF3B7">
      <w:pPr>
        <w:spacing w:after="0" w:line="240" w:lineRule="auto"/>
        <w:sectPr>
          <w:footerReference r:id="rId6" w:type="default"/>
          <w:pgSz w:w="11906" w:h="16838"/>
          <w:pgMar w:top="1417" w:right="1134" w:bottom="1417" w:left="1701" w:header="708" w:footer="708" w:gutter="0"/>
          <w:pgNumType w:fmt="lowerRoman" w:start="1"/>
          <w:cols w:space="720" w:num="1"/>
          <w:docGrid w:linePitch="360" w:charSpace="0"/>
        </w:sectPr>
      </w:pPr>
      <w:r>
        <w:fldChar w:fldCharType="end"/>
      </w:r>
    </w:p>
    <w:p w14:paraId="1436F860">
      <w:pPr>
        <w:pStyle w:val="2"/>
      </w:pPr>
      <w:bookmarkStart w:id="1" w:name="_Toc5002"/>
      <w:r>
        <w:t>CHƯƠNG 1. PHÂN TÍCH KHÁM PHÁ DỮ LIỆU (EDA)</w:t>
      </w:r>
      <w:bookmarkEnd w:id="1"/>
    </w:p>
    <w:p w14:paraId="69CDF6B5">
      <w:pPr>
        <w:pStyle w:val="3"/>
      </w:pPr>
      <w:bookmarkStart w:id="2" w:name="bookmark=id.4e89159y4y86" w:colFirst="0" w:colLast="0"/>
      <w:bookmarkEnd w:id="2"/>
      <w:bookmarkStart w:id="3" w:name="_Toc5003"/>
      <w:r>
        <w:t>1.1. THỐNG KÊ MÔ TẢ DỮ LIỆU (EDA)</w:t>
      </w:r>
      <w:bookmarkEnd w:id="3"/>
    </w:p>
    <w:p w14:paraId="31449F40">
      <w:pPr>
        <w:pStyle w:val="4"/>
      </w:pPr>
      <w:bookmarkStart w:id="4" w:name="bookmark=id.tdh7g8hq5fl2" w:colFirst="0" w:colLast="0"/>
      <w:bookmarkEnd w:id="4"/>
      <w:bookmarkStart w:id="5" w:name="_Toc5004"/>
      <w:r>
        <w:t>1.1.1. Mục tiêu và phương pháp</w:t>
      </w:r>
      <w:bookmarkEnd w:id="5"/>
    </w:p>
    <w:p w14:paraId="0000003C">
      <w:pPr>
        <w:ind w:firstLine="567"/>
        <w:jc w:val="both"/>
      </w:pPr>
      <w:r>
        <w:rPr>
          <w:rtl w:val="0"/>
        </w:rPr>
        <w:t>Thống kê mô tả là giai đoạn nền tảng của phân tích khám phá dữ liệu, nhằm mô tả cấu trúc, xu hướng trung tâm và mức độ phân tán của các quan sát. Trong nội dung được phân công, người thực hiện khảo sát bốn bộ dữ liệu COVID-19, Marketing Campaign, Red Wine Quality và Pima Indians Diabetes để nhận diện dữ liệu thiếu, giá trị bất thường, dòng trùng lặp và phân phối nhãn.</w:t>
      </w:r>
    </w:p>
    <w:p w14:paraId="0000003D">
      <w:pPr>
        <w:ind w:firstLine="567"/>
        <w:jc w:val="both"/>
      </w:pPr>
      <w:r>
        <w:rPr>
          <w:rtl w:val="0"/>
        </w:rPr>
        <w:t>Các đại lượng sử dụng gồm trung bình (mean), trung vị (median), yếu vị (mode), phương sai (variance), độ lệch chuẩn (standard deviation), tứ phân vị Q1 và Q3, khoảng tứ phân vị IQR = Q3 − Q1 và độ lệch phân phối (skewness). Trung bình nhạy với giá trị cực đoan; trung vị và IQR thường ổn định hơn khi phân phối bị lệch. Các bước được thực hiện bằng Python, Pandas, NumPy, SciPy và thư viện trực quan hóa Matplotlib/Seaborn.</w:t>
      </w:r>
    </w:p>
    <w:p w14:paraId="465BA3E5">
      <w:pPr>
        <w:pStyle w:val="4"/>
      </w:pPr>
      <w:bookmarkStart w:id="6" w:name="bookmark=id.d9xzwlr5uevp" w:colFirst="0" w:colLast="0"/>
      <w:bookmarkEnd w:id="6"/>
      <w:bookmarkStart w:id="7" w:name="_Toc5005"/>
      <w:r>
        <w:t>1.1.2. Thực hành dữ liệu COVID-19</w:t>
      </w:r>
      <w:bookmarkEnd w:id="7"/>
    </w:p>
    <w:p w14:paraId="0000003F">
      <w:pPr>
        <w:ind w:firstLine="567"/>
        <w:jc w:val="both"/>
      </w:pPr>
      <w:r>
        <w:rPr>
          <w:rtl w:val="0"/>
        </w:rPr>
        <w:t>Bộ dữ liệu có 617.667 quan sát với sáu trường: iso_code, continent, location, date, total_cases và new_cases. Trọng tâm là biến new_cases (số ca mới). Quy trình bắt đầu bằng việc kiểm tra kiểu dữ liệu và dữ liệu thiếu, sau đó loại NaN ở chuỗi đang xét bằng dropna() trước khi tính các thống kê và trực quan hóa phân phối.</w:t>
      </w:r>
    </w:p>
    <w:tbl>
      <w:tblPr>
        <w:tblStyle w:val="30"/>
        <w:tblW w:w="9025" w:type="dxa"/>
        <w:jc w:val="center"/>
        <w:tblLayout w:type="fixed"/>
        <w:tblCellMar>
          <w:top w:w="0" w:type="dxa"/>
          <w:left w:w="108" w:type="dxa"/>
          <w:bottom w:w="0" w:type="dxa"/>
          <w:right w:w="108" w:type="dxa"/>
        </w:tblCellMar>
      </w:tblPr>
      <w:tblGrid>
        <w:gridCol w:w="4505"/>
        <w:gridCol w:w="4520"/>
      </w:tblGrid>
      <w:tr w14:paraId="7F6FFDF4">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40">
            <w:pPr>
              <w:spacing w:before="20" w:after="20" w:line="264" w:lineRule="auto"/>
            </w:pPr>
            <w:r>
              <w:rPr>
                <w:b/>
                <w:bCs/>
                <w:sz w:val="24"/>
                <w:szCs w:val="24"/>
                <w:rtl w:val="0"/>
              </w:rPr>
              <w:t>Chỉ tiêu</w:t>
            </w:r>
          </w:p>
        </w:tc>
        <w:tc>
          <w:tcPr>
            <w:tcBorders>
              <w:top w:val="single" w:color="000000" w:sz="6" w:space="0"/>
              <w:left w:val="single" w:color="000000" w:sz="6" w:space="0"/>
              <w:bottom w:val="single" w:color="000000" w:sz="6" w:space="0"/>
              <w:right w:val="single" w:color="000000" w:sz="6" w:space="0"/>
            </w:tcBorders>
            <w:vAlign w:val="center"/>
          </w:tcPr>
          <w:p w14:paraId="00000041">
            <w:pPr>
              <w:spacing w:before="20" w:after="20" w:line="264" w:lineRule="auto"/>
            </w:pPr>
            <w:r>
              <w:rPr>
                <w:b/>
                <w:bCs/>
                <w:sz w:val="24"/>
                <w:szCs w:val="24"/>
                <w:rtl w:val="0"/>
              </w:rPr>
              <w:t>Giá trị</w:t>
            </w:r>
          </w:p>
        </w:tc>
      </w:tr>
      <w:tr w14:paraId="4D51ADBA">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42">
            <w:pPr>
              <w:spacing w:before="20" w:after="20" w:line="264" w:lineRule="auto"/>
            </w:pPr>
            <w:r>
              <w:rPr>
                <w:sz w:val="24"/>
                <w:szCs w:val="24"/>
                <w:rtl w:val="0"/>
              </w:rPr>
              <w:t>Tổng số dòng</w:t>
            </w:r>
          </w:p>
        </w:tc>
        <w:tc>
          <w:tcPr>
            <w:tcBorders>
              <w:top w:val="single" w:color="000000" w:sz="6" w:space="0"/>
              <w:left w:val="single" w:color="000000" w:sz="6" w:space="0"/>
              <w:bottom w:val="single" w:color="000000" w:sz="6" w:space="0"/>
              <w:right w:val="single" w:color="000000" w:sz="6" w:space="0"/>
            </w:tcBorders>
            <w:vAlign w:val="center"/>
          </w:tcPr>
          <w:p w14:paraId="00000043">
            <w:pPr>
              <w:spacing w:before="20" w:after="20" w:line="264" w:lineRule="auto"/>
            </w:pPr>
            <w:r>
              <w:rPr>
                <w:sz w:val="24"/>
                <w:szCs w:val="24"/>
                <w:rtl w:val="0"/>
              </w:rPr>
              <w:t>617.667</w:t>
            </w:r>
          </w:p>
        </w:tc>
      </w:tr>
      <w:tr w14:paraId="27A4D744">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44">
            <w:pPr>
              <w:spacing w:before="20" w:after="20" w:line="264" w:lineRule="auto"/>
            </w:pPr>
            <w:r>
              <w:rPr>
                <w:sz w:val="24"/>
                <w:szCs w:val="24"/>
                <w:rtl w:val="0"/>
              </w:rPr>
              <w:t>new_cases thiếu</w:t>
            </w:r>
          </w:p>
        </w:tc>
        <w:tc>
          <w:tcPr>
            <w:tcBorders>
              <w:top w:val="single" w:color="000000" w:sz="6" w:space="0"/>
              <w:left w:val="single" w:color="000000" w:sz="6" w:space="0"/>
              <w:bottom w:val="single" w:color="000000" w:sz="6" w:space="0"/>
              <w:right w:val="single" w:color="000000" w:sz="6" w:space="0"/>
            </w:tcBorders>
            <w:vAlign w:val="center"/>
          </w:tcPr>
          <w:p w14:paraId="00000045">
            <w:pPr>
              <w:spacing w:before="20" w:after="20" w:line="264" w:lineRule="auto"/>
            </w:pPr>
            <w:r>
              <w:rPr>
                <w:sz w:val="24"/>
                <w:szCs w:val="24"/>
                <w:rtl w:val="0"/>
              </w:rPr>
              <w:t>17.044</w:t>
            </w:r>
          </w:p>
        </w:tc>
      </w:tr>
      <w:tr w14:paraId="2D703B50">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46">
            <w:pPr>
              <w:spacing w:before="20" w:after="20" w:line="264" w:lineRule="auto"/>
            </w:pPr>
            <w:r>
              <w:rPr>
                <w:sz w:val="24"/>
                <w:szCs w:val="24"/>
                <w:rtl w:val="0"/>
              </w:rPr>
              <w:t>Quan sát hợp lệ</w:t>
            </w:r>
          </w:p>
        </w:tc>
        <w:tc>
          <w:tcPr>
            <w:tcBorders>
              <w:top w:val="single" w:color="000000" w:sz="6" w:space="0"/>
              <w:left w:val="single" w:color="000000" w:sz="6" w:space="0"/>
              <w:bottom w:val="single" w:color="000000" w:sz="6" w:space="0"/>
              <w:right w:val="single" w:color="000000" w:sz="6" w:space="0"/>
            </w:tcBorders>
            <w:vAlign w:val="center"/>
          </w:tcPr>
          <w:p w14:paraId="00000047">
            <w:pPr>
              <w:spacing w:before="20" w:after="20" w:line="264" w:lineRule="auto"/>
            </w:pPr>
            <w:r>
              <w:rPr>
                <w:sz w:val="24"/>
                <w:szCs w:val="24"/>
                <w:rtl w:val="0"/>
              </w:rPr>
              <w:t>600.623</w:t>
            </w:r>
          </w:p>
        </w:tc>
      </w:tr>
      <w:tr w14:paraId="12C5DDF2">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48">
            <w:pPr>
              <w:spacing w:before="20" w:after="20" w:line="264" w:lineRule="auto"/>
            </w:pPr>
            <w:r>
              <w:rPr>
                <w:sz w:val="24"/>
                <w:szCs w:val="24"/>
                <w:rtl w:val="0"/>
              </w:rPr>
              <w:t>Mean</w:t>
            </w:r>
          </w:p>
        </w:tc>
        <w:tc>
          <w:tcPr>
            <w:tcBorders>
              <w:top w:val="single" w:color="000000" w:sz="6" w:space="0"/>
              <w:left w:val="single" w:color="000000" w:sz="6" w:space="0"/>
              <w:bottom w:val="single" w:color="000000" w:sz="6" w:space="0"/>
              <w:right w:val="single" w:color="000000" w:sz="6" w:space="0"/>
            </w:tcBorders>
            <w:vAlign w:val="center"/>
          </w:tcPr>
          <w:p w14:paraId="00000049">
            <w:pPr>
              <w:spacing w:before="20" w:after="20" w:line="264" w:lineRule="auto"/>
            </w:pPr>
            <w:r>
              <w:rPr>
                <w:sz w:val="24"/>
                <w:szCs w:val="24"/>
                <w:rtl w:val="0"/>
              </w:rPr>
              <w:t>9.056,90</w:t>
            </w:r>
          </w:p>
        </w:tc>
      </w:tr>
      <w:tr w14:paraId="3E8693B9">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4A">
            <w:pPr>
              <w:spacing w:before="20" w:after="20" w:line="264" w:lineRule="auto"/>
            </w:pPr>
            <w:r>
              <w:rPr>
                <w:sz w:val="24"/>
                <w:szCs w:val="24"/>
                <w:rtl w:val="0"/>
              </w:rPr>
              <w:t>Median / Mode</w:t>
            </w:r>
          </w:p>
        </w:tc>
        <w:tc>
          <w:tcPr>
            <w:tcBorders>
              <w:top w:val="single" w:color="000000" w:sz="6" w:space="0"/>
              <w:left w:val="single" w:color="000000" w:sz="6" w:space="0"/>
              <w:bottom w:val="single" w:color="000000" w:sz="6" w:space="0"/>
              <w:right w:val="single" w:color="000000" w:sz="6" w:space="0"/>
            </w:tcBorders>
            <w:vAlign w:val="center"/>
          </w:tcPr>
          <w:p w14:paraId="0000004B">
            <w:pPr>
              <w:spacing w:before="20" w:after="20" w:line="264" w:lineRule="auto"/>
            </w:pPr>
            <w:r>
              <w:rPr>
                <w:sz w:val="24"/>
                <w:szCs w:val="24"/>
                <w:rtl w:val="0"/>
              </w:rPr>
              <w:t>0 / 0</w:t>
            </w:r>
          </w:p>
        </w:tc>
      </w:tr>
      <w:tr w14:paraId="7B726178">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4C">
            <w:pPr>
              <w:spacing w:before="20" w:after="20" w:line="264" w:lineRule="auto"/>
            </w:pPr>
            <w:r>
              <w:rPr>
                <w:sz w:val="24"/>
                <w:szCs w:val="24"/>
                <w:rtl w:val="0"/>
              </w:rPr>
              <w:t>Std</w:t>
            </w:r>
          </w:p>
        </w:tc>
        <w:tc>
          <w:tcPr>
            <w:tcBorders>
              <w:top w:val="single" w:color="000000" w:sz="6" w:space="0"/>
              <w:left w:val="single" w:color="000000" w:sz="6" w:space="0"/>
              <w:bottom w:val="single" w:color="000000" w:sz="6" w:space="0"/>
              <w:right w:val="single" w:color="000000" w:sz="6" w:space="0"/>
            </w:tcBorders>
            <w:vAlign w:val="center"/>
          </w:tcPr>
          <w:p w14:paraId="0000004D">
            <w:pPr>
              <w:spacing w:before="20" w:after="20" w:line="264" w:lineRule="auto"/>
            </w:pPr>
            <w:r>
              <w:rPr>
                <w:sz w:val="24"/>
                <w:szCs w:val="24"/>
                <w:rtl w:val="0"/>
              </w:rPr>
              <w:t>108.826,76</w:t>
            </w:r>
          </w:p>
        </w:tc>
      </w:tr>
      <w:tr w14:paraId="52BF49C8">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4E">
            <w:pPr>
              <w:spacing w:before="20" w:after="20" w:line="264" w:lineRule="auto"/>
            </w:pPr>
            <w:r>
              <w:rPr>
                <w:sz w:val="24"/>
                <w:szCs w:val="24"/>
                <w:rtl w:val="0"/>
              </w:rPr>
              <w:t>Min / Max</w:t>
            </w:r>
          </w:p>
        </w:tc>
        <w:tc>
          <w:tcPr>
            <w:tcBorders>
              <w:top w:val="single" w:color="000000" w:sz="6" w:space="0"/>
              <w:left w:val="single" w:color="000000" w:sz="6" w:space="0"/>
              <w:bottom w:val="single" w:color="000000" w:sz="6" w:space="0"/>
              <w:right w:val="single" w:color="000000" w:sz="6" w:space="0"/>
            </w:tcBorders>
            <w:vAlign w:val="center"/>
          </w:tcPr>
          <w:p w14:paraId="0000004F">
            <w:pPr>
              <w:spacing w:before="20" w:after="20" w:line="264" w:lineRule="auto"/>
            </w:pPr>
            <w:r>
              <w:rPr>
                <w:sz w:val="24"/>
                <w:szCs w:val="24"/>
                <w:rtl w:val="0"/>
              </w:rPr>
              <w:t>0 / 8.401.906</w:t>
            </w:r>
          </w:p>
        </w:tc>
      </w:tr>
      <w:tr w14:paraId="2444925A">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50">
            <w:pPr>
              <w:spacing w:before="20" w:after="20" w:line="264" w:lineRule="auto"/>
            </w:pPr>
            <w:r>
              <w:rPr>
                <w:sz w:val="24"/>
                <w:szCs w:val="24"/>
                <w:rtl w:val="0"/>
              </w:rPr>
              <w:t>Q1 / Q3 / IQR</w:t>
            </w:r>
          </w:p>
        </w:tc>
        <w:tc>
          <w:tcPr>
            <w:tcBorders>
              <w:top w:val="single" w:color="000000" w:sz="6" w:space="0"/>
              <w:left w:val="single" w:color="000000" w:sz="6" w:space="0"/>
              <w:bottom w:val="single" w:color="000000" w:sz="6" w:space="0"/>
              <w:right w:val="single" w:color="000000" w:sz="6" w:space="0"/>
            </w:tcBorders>
            <w:vAlign w:val="center"/>
          </w:tcPr>
          <w:p w14:paraId="00000051">
            <w:pPr>
              <w:spacing w:before="20" w:after="20" w:line="264" w:lineRule="auto"/>
            </w:pPr>
            <w:r>
              <w:rPr>
                <w:sz w:val="24"/>
                <w:szCs w:val="24"/>
                <w:rtl w:val="0"/>
              </w:rPr>
              <w:t>0 / 25 / 25</w:t>
            </w:r>
          </w:p>
        </w:tc>
      </w:tr>
      <w:tr w14:paraId="1987A5FC">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52">
            <w:pPr>
              <w:spacing w:before="20" w:after="20" w:line="264" w:lineRule="auto"/>
            </w:pPr>
            <w:r>
              <w:rPr>
                <w:sz w:val="24"/>
                <w:szCs w:val="24"/>
                <w:rtl w:val="0"/>
              </w:rPr>
              <w:t>Skewness</w:t>
            </w:r>
          </w:p>
        </w:tc>
        <w:tc>
          <w:tcPr>
            <w:tcBorders>
              <w:top w:val="single" w:color="000000" w:sz="6" w:space="0"/>
              <w:left w:val="single" w:color="000000" w:sz="6" w:space="0"/>
              <w:bottom w:val="single" w:color="000000" w:sz="6" w:space="0"/>
              <w:right w:val="single" w:color="000000" w:sz="6" w:space="0"/>
            </w:tcBorders>
            <w:vAlign w:val="center"/>
          </w:tcPr>
          <w:p w14:paraId="00000053">
            <w:pPr>
              <w:spacing w:before="20" w:after="20" w:line="264" w:lineRule="auto"/>
            </w:pPr>
            <w:r>
              <w:rPr>
                <w:sz w:val="24"/>
                <w:szCs w:val="24"/>
                <w:rtl w:val="0"/>
              </w:rPr>
              <w:t>35,70</w:t>
            </w:r>
          </w:p>
        </w:tc>
      </w:tr>
    </w:tbl>
    <w:p w14:paraId="00000054">
      <w:pPr>
        <w:ind w:firstLine="567"/>
        <w:jc w:val="both"/>
      </w:pPr>
      <w:r>
        <w:rPr>
          <w:rtl w:val="0"/>
        </w:rPr>
        <w:t xml:space="preserve"> Giá trị trung bình lớn hơn trung vị rất nhiều, trong khi skewness đạt 35,70, cho thấy phân phối lệch phải cực mạnh. Một số quan sát lớn kéo trung bình tăng, dù phần lớn số ca mới nằm ở mức thấp. Do vậy, cần báo cáo đồng thời median và các phân vị thay vì chỉ dựa trên mean. Ngoài ra, 45.240 dòng không có thông tin châu lục, gồm các nhóm tổng hợp; lọc chỉ các dòng có châu lục làm mean new_cases giảm còn khoảng 1.387,32. Đây là tác động từ phạm vi mẫu thống kê, không phải sự thay đổi của dữ liệu gốc.</w:t>
      </w:r>
    </w:p>
    <w:p w14:paraId="00000055">
      <w:pPr>
        <w:spacing w:before="40" w:after="60"/>
        <w:jc w:val="center"/>
      </w:pPr>
      <w:r>
        <w:drawing>
          <wp:inline distT="0" distB="0" distL="0" distR="0">
            <wp:extent cx="5731510" cy="1739900"/>
            <wp:effectExtent l="0" t="0" r="0" b="0"/>
            <wp:docPr id="53" name="image12.png"/>
            <wp:cNvGraphicFramePr/>
            <a:graphic xmlns:a="http://schemas.openxmlformats.org/drawingml/2006/main">
              <a:graphicData uri="http://schemas.openxmlformats.org/drawingml/2006/picture">
                <pic:pic xmlns:pic="http://schemas.openxmlformats.org/drawingml/2006/picture">
                  <pic:nvPicPr>
                    <pic:cNvPr id="53" name="image12.png"/>
                    <pic:cNvPicPr preferRelativeResize="0"/>
                  </pic:nvPicPr>
                  <pic:blipFill>
                    <a:blip r:embed="rId10"/>
                    <a:srcRect/>
                    <a:stretch>
                      <a:fillRect/>
                    </a:stretch>
                  </pic:blipFill>
                  <pic:spPr>
                    <a:xfrm>
                      <a:off x="0" y="0"/>
                      <a:ext cx="5731510" cy="1739900"/>
                    </a:xfrm>
                    <a:prstGeom prst="rect">
                      <a:avLst/>
                    </a:prstGeom>
                  </pic:spPr>
                </pic:pic>
              </a:graphicData>
            </a:graphic>
          </wp:inline>
        </w:drawing>
      </w:r>
      <w:r>
        <w:rPr>
          <w:rtl w:val="0"/>
        </w:rPr>
        <w:t xml:space="preserve"> </w:t>
      </w:r>
    </w:p>
    <w:p w14:paraId="00000056">
      <w:pPr>
        <w:spacing w:before="80" w:after="100" w:line="276" w:lineRule="auto"/>
        <w:jc w:val="center"/>
        <w:rPr>
          <w:i/>
          <w:iCs/>
        </w:rPr>
      </w:pPr>
      <w:r>
        <w:rPr>
          <w:i/>
          <w:iCs/>
          <w:sz w:val="24"/>
          <w:szCs w:val="24"/>
          <w:rtl w:val="0"/>
        </w:rPr>
        <w:t>Hình 1.1. Histogram và boxplot số ca mới COVID-19</w:t>
      </w:r>
    </w:p>
    <w:p w14:paraId="00000057">
      <w:pPr>
        <w:ind w:firstLine="567"/>
        <w:jc w:val="both"/>
      </w:pPr>
      <w:r>
        <w:rPr>
          <w:rtl w:val="0"/>
        </w:rPr>
        <w:t>Phân tích hình: Histogram thể hiện phần lớn quan sát nằm phía giá trị thấp; boxplot cho thấy đuôi phân phối dài và xuất hiện các quan sát lớn. Điều này phù hợp với skewness cao và mean lớn hơn median.</w:t>
      </w:r>
    </w:p>
    <w:p w14:paraId="00000058">
      <w:pPr>
        <w:spacing w:before="20" w:after="100" w:line="324" w:lineRule="auto"/>
      </w:pPr>
      <w:r>
        <w:rPr>
          <w:sz w:val="24"/>
          <w:szCs w:val="24"/>
          <w:rtl w:val="0"/>
        </w:rPr>
        <w:t>Nguồn: PhanTichDuLieu_1.ipynb.</w:t>
      </w:r>
    </w:p>
    <w:p w14:paraId="5DFFA74C">
      <w:pPr>
        <w:pStyle w:val="4"/>
      </w:pPr>
      <w:bookmarkStart w:id="8" w:name="bookmark=id.ss8gkvdhgbuq" w:colFirst="0" w:colLast="0"/>
      <w:bookmarkEnd w:id="8"/>
      <w:bookmarkStart w:id="9" w:name="_Toc5006"/>
      <w:r>
        <w:t>1.1.3. Thực hành dữ liệu Marketing Campaign</w:t>
      </w:r>
      <w:bookmarkEnd w:id="9"/>
    </w:p>
    <w:p w14:paraId="0000005A">
      <w:pPr>
        <w:ind w:firstLine="567"/>
        <w:jc w:val="both"/>
      </w:pPr>
      <w:r>
        <w:rPr>
          <w:rtl w:val="0"/>
        </w:rPr>
        <w:t>Bộ dữ liệu ban đầu gồm 2.240 dòng, 29 thuộc tính; phần thực hành chọn 11 thuộc tính để khảo sát. Sau khi kiểm tra duplicated(), không có dòng trùng lặp trong tập thuộc tính được chọn. Cột Income có 24 giá trị NaN; nếu dùng dropna(), dữ liệu còn 2.216 dòng. Người thực hiện đối chiếu kết quả trung bình khi giữ mặc định bỏ qua NaN, thay bằng 0 và thay bằng trung vị.</w:t>
      </w:r>
    </w:p>
    <w:tbl>
      <w:tblPr>
        <w:tblStyle w:val="31"/>
        <w:tblW w:w="9025" w:type="dxa"/>
        <w:jc w:val="center"/>
        <w:tblLayout w:type="fixed"/>
        <w:tblCellMar>
          <w:top w:w="0" w:type="dxa"/>
          <w:left w:w="108" w:type="dxa"/>
          <w:bottom w:w="0" w:type="dxa"/>
          <w:right w:w="108" w:type="dxa"/>
        </w:tblCellMar>
      </w:tblPr>
      <w:tblGrid>
        <w:gridCol w:w="4482"/>
        <w:gridCol w:w="4543"/>
      </w:tblGrid>
      <w:tr w14:paraId="3A46764D">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5B">
            <w:pPr>
              <w:spacing w:before="20" w:after="20" w:line="264" w:lineRule="auto"/>
            </w:pPr>
            <w:r>
              <w:rPr>
                <w:b/>
                <w:bCs/>
                <w:sz w:val="24"/>
                <w:szCs w:val="24"/>
                <w:rtl w:val="0"/>
              </w:rPr>
              <w:t>Cách xử lý Income</w:t>
            </w:r>
          </w:p>
        </w:tc>
        <w:tc>
          <w:tcPr>
            <w:tcBorders>
              <w:top w:val="single" w:color="000000" w:sz="6" w:space="0"/>
              <w:left w:val="single" w:color="000000" w:sz="6" w:space="0"/>
              <w:bottom w:val="single" w:color="000000" w:sz="6" w:space="0"/>
              <w:right w:val="single" w:color="000000" w:sz="6" w:space="0"/>
            </w:tcBorders>
            <w:vAlign w:val="center"/>
          </w:tcPr>
          <w:p w14:paraId="0000005C">
            <w:pPr>
              <w:spacing w:before="20" w:after="20" w:line="264" w:lineRule="auto"/>
            </w:pPr>
            <w:r>
              <w:rPr>
                <w:b/>
                <w:bCs/>
                <w:sz w:val="24"/>
                <w:szCs w:val="24"/>
                <w:rtl w:val="0"/>
              </w:rPr>
              <w:t>Mean Income</w:t>
            </w:r>
          </w:p>
        </w:tc>
      </w:tr>
      <w:tr w14:paraId="2DECFD80">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5D">
            <w:pPr>
              <w:spacing w:before="20" w:after="20" w:line="264" w:lineRule="auto"/>
            </w:pPr>
            <w:r>
              <w:rPr>
                <w:sz w:val="24"/>
                <w:szCs w:val="24"/>
                <w:rtl w:val="0"/>
              </w:rPr>
              <w:t>Bỏ qua NaN</w:t>
            </w:r>
          </w:p>
        </w:tc>
        <w:tc>
          <w:tcPr>
            <w:tcBorders>
              <w:top w:val="single" w:color="000000" w:sz="6" w:space="0"/>
              <w:left w:val="single" w:color="000000" w:sz="6" w:space="0"/>
              <w:bottom w:val="single" w:color="000000" w:sz="6" w:space="0"/>
              <w:right w:val="single" w:color="000000" w:sz="6" w:space="0"/>
            </w:tcBorders>
            <w:vAlign w:val="center"/>
          </w:tcPr>
          <w:p w14:paraId="0000005E">
            <w:pPr>
              <w:spacing w:before="20" w:after="20" w:line="264" w:lineRule="auto"/>
            </w:pPr>
            <w:r>
              <w:rPr>
                <w:sz w:val="24"/>
                <w:szCs w:val="24"/>
                <w:rtl w:val="0"/>
              </w:rPr>
              <w:t>52.247,25</w:t>
            </w:r>
          </w:p>
        </w:tc>
      </w:tr>
      <w:tr w14:paraId="3F5E2D03">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5F">
            <w:pPr>
              <w:spacing w:before="20" w:after="20" w:line="264" w:lineRule="auto"/>
            </w:pPr>
            <w:r>
              <w:rPr>
                <w:sz w:val="24"/>
                <w:szCs w:val="24"/>
                <w:rtl w:val="0"/>
              </w:rPr>
              <w:t>Thay NaN bằng 0</w:t>
            </w:r>
          </w:p>
        </w:tc>
        <w:tc>
          <w:tcPr>
            <w:tcBorders>
              <w:top w:val="single" w:color="000000" w:sz="6" w:space="0"/>
              <w:left w:val="single" w:color="000000" w:sz="6" w:space="0"/>
              <w:bottom w:val="single" w:color="000000" w:sz="6" w:space="0"/>
              <w:right w:val="single" w:color="000000" w:sz="6" w:space="0"/>
            </w:tcBorders>
            <w:vAlign w:val="center"/>
          </w:tcPr>
          <w:p w14:paraId="00000060">
            <w:pPr>
              <w:spacing w:before="20" w:after="20" w:line="264" w:lineRule="auto"/>
            </w:pPr>
            <w:r>
              <w:rPr>
                <w:sz w:val="24"/>
                <w:szCs w:val="24"/>
                <w:rtl w:val="0"/>
              </w:rPr>
              <w:t>51.687,46</w:t>
            </w:r>
          </w:p>
        </w:tc>
      </w:tr>
      <w:tr w14:paraId="31660454">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61">
            <w:pPr>
              <w:spacing w:before="20" w:after="20" w:line="264" w:lineRule="auto"/>
            </w:pPr>
            <w:r>
              <w:rPr>
                <w:sz w:val="24"/>
                <w:szCs w:val="24"/>
                <w:rtl w:val="0"/>
              </w:rPr>
              <w:t>Thay NaN bằng median</w:t>
            </w:r>
          </w:p>
        </w:tc>
        <w:tc>
          <w:tcPr>
            <w:tcBorders>
              <w:top w:val="single" w:color="000000" w:sz="6" w:space="0"/>
              <w:left w:val="single" w:color="000000" w:sz="6" w:space="0"/>
              <w:bottom w:val="single" w:color="000000" w:sz="6" w:space="0"/>
              <w:right w:val="single" w:color="000000" w:sz="6" w:space="0"/>
            </w:tcBorders>
            <w:vAlign w:val="center"/>
          </w:tcPr>
          <w:p w14:paraId="00000062">
            <w:pPr>
              <w:spacing w:before="20" w:after="20" w:line="264" w:lineRule="auto"/>
            </w:pPr>
            <w:r>
              <w:rPr>
                <w:sz w:val="24"/>
                <w:szCs w:val="24"/>
                <w:rtl w:val="0"/>
              </w:rPr>
              <w:t>52.237,98</w:t>
            </w:r>
          </w:p>
        </w:tc>
      </w:tr>
    </w:tbl>
    <w:p w14:paraId="00000063">
      <w:pPr>
        <w:ind w:firstLine="567"/>
        <w:jc w:val="both"/>
      </w:pPr>
      <w:r>
        <w:rPr>
          <w:rtl w:val="0"/>
        </w:rPr>
        <w:t xml:space="preserve"> Khi thay thu nhập thiếu bằng 0, trung bình bị kéo giảm vì các giá trị chưa biết được diễn giải thành thu nhập thực bằng 0. Trong khi đó, thay bằng median tạo ra mức trung bình gần với phép tính chỉ trên dữ liệu hợp lệ. Kết quả nhấn mạnh rằng chiến lược xử lý thiếu cần dựa vào ý nghĩa của thuộc tính và cơ chế phát sinh dữ liệu thiếu; không thể mặc định fillna(0) là tốt nhất. Notebook còn minh họa thao tác xóa hàng và cột của DataFrame để quản lý tập thuộc tính khi phân tích.</w:t>
      </w:r>
    </w:p>
    <w:p w14:paraId="7DA66FC1">
      <w:pPr>
        <w:pStyle w:val="4"/>
      </w:pPr>
      <w:bookmarkStart w:id="10" w:name="bookmark=id.e2cek994xuzw" w:colFirst="0" w:colLast="0"/>
      <w:bookmarkEnd w:id="10"/>
      <w:bookmarkStart w:id="11" w:name="_Toc5007"/>
      <w:r>
        <w:t>1.1.4. Thực hành Red Wine Quality</w:t>
      </w:r>
      <w:bookmarkEnd w:id="11"/>
    </w:p>
    <w:p w14:paraId="00000065">
      <w:pPr>
        <w:ind w:firstLine="567"/>
        <w:jc w:val="both"/>
      </w:pPr>
      <w:r>
        <w:rPr>
          <w:rtl w:val="0"/>
        </w:rPr>
        <w:t>Dữ liệu rượu vang đỏ gồm 1.599 quan sát và 12 thuộc tính (11 đặc trưng hóa lý và quality). Không có giá trị NaN, nhưng phát hiện 240 dòng trùng nhau theo các trường hiện có. Những dòng trùng này cần được đánh giá theo ngữ cảnh thu thập trước khi kết luận là lỗi cần xóa.</w:t>
      </w:r>
    </w:p>
    <w:tbl>
      <w:tblPr>
        <w:tblStyle w:val="32"/>
        <w:tblW w:w="9025" w:type="dxa"/>
        <w:jc w:val="center"/>
        <w:tblLayout w:type="fixed"/>
        <w:tblCellMar>
          <w:top w:w="0" w:type="dxa"/>
          <w:left w:w="108" w:type="dxa"/>
          <w:bottom w:w="0" w:type="dxa"/>
          <w:right w:w="108" w:type="dxa"/>
        </w:tblCellMar>
      </w:tblPr>
      <w:tblGrid>
        <w:gridCol w:w="2306"/>
        <w:gridCol w:w="2236"/>
        <w:gridCol w:w="2277"/>
        <w:gridCol w:w="2206"/>
      </w:tblGrid>
      <w:tr w14:paraId="40F0D832">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66">
            <w:pPr>
              <w:spacing w:before="20" w:after="20" w:line="264" w:lineRule="auto"/>
            </w:pPr>
            <w:r>
              <w:rPr>
                <w:b/>
                <w:bCs/>
                <w:sz w:val="22"/>
                <w:szCs w:val="22"/>
                <w:rtl w:val="0"/>
              </w:rPr>
              <w:t>Đặc trưng</w:t>
            </w:r>
          </w:p>
        </w:tc>
        <w:tc>
          <w:tcPr>
            <w:tcBorders>
              <w:top w:val="single" w:color="000000" w:sz="6" w:space="0"/>
              <w:left w:val="single" w:color="000000" w:sz="6" w:space="0"/>
              <w:bottom w:val="single" w:color="000000" w:sz="6" w:space="0"/>
              <w:right w:val="single" w:color="000000" w:sz="6" w:space="0"/>
            </w:tcBorders>
            <w:vAlign w:val="center"/>
          </w:tcPr>
          <w:p w14:paraId="00000067">
            <w:pPr>
              <w:spacing w:before="20" w:after="20" w:line="264" w:lineRule="auto"/>
            </w:pPr>
            <w:r>
              <w:rPr>
                <w:b/>
                <w:bCs/>
                <w:sz w:val="22"/>
                <w:szCs w:val="22"/>
                <w:rtl w:val="0"/>
              </w:rPr>
              <w:t>Mean</w:t>
            </w:r>
          </w:p>
        </w:tc>
        <w:tc>
          <w:tcPr>
            <w:tcBorders>
              <w:top w:val="single" w:color="000000" w:sz="6" w:space="0"/>
              <w:left w:val="single" w:color="000000" w:sz="6" w:space="0"/>
              <w:bottom w:val="single" w:color="000000" w:sz="6" w:space="0"/>
              <w:right w:val="single" w:color="000000" w:sz="6" w:space="0"/>
            </w:tcBorders>
            <w:vAlign w:val="center"/>
          </w:tcPr>
          <w:p w14:paraId="00000068">
            <w:pPr>
              <w:spacing w:before="20" w:after="20" w:line="264" w:lineRule="auto"/>
            </w:pPr>
            <w:r>
              <w:rPr>
                <w:b/>
                <w:bCs/>
                <w:sz w:val="22"/>
                <w:szCs w:val="22"/>
                <w:rtl w:val="0"/>
              </w:rPr>
              <w:t>Median</w:t>
            </w:r>
          </w:p>
        </w:tc>
        <w:tc>
          <w:tcPr>
            <w:tcBorders>
              <w:top w:val="single" w:color="000000" w:sz="6" w:space="0"/>
              <w:left w:val="single" w:color="000000" w:sz="6" w:space="0"/>
              <w:bottom w:val="single" w:color="000000" w:sz="6" w:space="0"/>
              <w:right w:val="single" w:color="000000" w:sz="6" w:space="0"/>
            </w:tcBorders>
            <w:vAlign w:val="center"/>
          </w:tcPr>
          <w:p w14:paraId="00000069">
            <w:pPr>
              <w:spacing w:before="20" w:after="20" w:line="264" w:lineRule="auto"/>
            </w:pPr>
            <w:r>
              <w:rPr>
                <w:b/>
                <w:bCs/>
                <w:sz w:val="22"/>
                <w:szCs w:val="22"/>
                <w:rtl w:val="0"/>
              </w:rPr>
              <w:t>Std</w:t>
            </w:r>
          </w:p>
        </w:tc>
      </w:tr>
      <w:tr w14:paraId="4DA25411">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6A">
            <w:pPr>
              <w:spacing w:before="20" w:after="20" w:line="264" w:lineRule="auto"/>
            </w:pPr>
            <w:r>
              <w:rPr>
                <w:sz w:val="22"/>
                <w:szCs w:val="22"/>
                <w:rtl w:val="0"/>
              </w:rPr>
              <w:t>Fixed acidity</w:t>
            </w:r>
          </w:p>
        </w:tc>
        <w:tc>
          <w:tcPr>
            <w:tcBorders>
              <w:top w:val="single" w:color="000000" w:sz="6" w:space="0"/>
              <w:left w:val="single" w:color="000000" w:sz="6" w:space="0"/>
              <w:bottom w:val="single" w:color="000000" w:sz="6" w:space="0"/>
              <w:right w:val="single" w:color="000000" w:sz="6" w:space="0"/>
            </w:tcBorders>
            <w:vAlign w:val="center"/>
          </w:tcPr>
          <w:p w14:paraId="0000006B">
            <w:pPr>
              <w:spacing w:before="20" w:after="20" w:line="264" w:lineRule="auto"/>
            </w:pPr>
            <w:r>
              <w:rPr>
                <w:sz w:val="22"/>
                <w:szCs w:val="22"/>
                <w:rtl w:val="0"/>
              </w:rPr>
              <w:t>8,320</w:t>
            </w:r>
          </w:p>
        </w:tc>
        <w:tc>
          <w:tcPr>
            <w:tcBorders>
              <w:top w:val="single" w:color="000000" w:sz="6" w:space="0"/>
              <w:left w:val="single" w:color="000000" w:sz="6" w:space="0"/>
              <w:bottom w:val="single" w:color="000000" w:sz="6" w:space="0"/>
              <w:right w:val="single" w:color="000000" w:sz="6" w:space="0"/>
            </w:tcBorders>
            <w:vAlign w:val="center"/>
          </w:tcPr>
          <w:p w14:paraId="0000006C">
            <w:pPr>
              <w:spacing w:before="20" w:after="20" w:line="264" w:lineRule="auto"/>
            </w:pPr>
            <w:r>
              <w:rPr>
                <w:sz w:val="22"/>
                <w:szCs w:val="22"/>
                <w:rtl w:val="0"/>
              </w:rPr>
              <w:t>7,900</w:t>
            </w:r>
          </w:p>
        </w:tc>
        <w:tc>
          <w:tcPr>
            <w:tcBorders>
              <w:top w:val="single" w:color="000000" w:sz="6" w:space="0"/>
              <w:left w:val="single" w:color="000000" w:sz="6" w:space="0"/>
              <w:bottom w:val="single" w:color="000000" w:sz="6" w:space="0"/>
              <w:right w:val="single" w:color="000000" w:sz="6" w:space="0"/>
            </w:tcBorders>
            <w:vAlign w:val="center"/>
          </w:tcPr>
          <w:p w14:paraId="0000006D">
            <w:pPr>
              <w:spacing w:before="20" w:after="20" w:line="264" w:lineRule="auto"/>
            </w:pPr>
            <w:r>
              <w:rPr>
                <w:sz w:val="22"/>
                <w:szCs w:val="22"/>
                <w:rtl w:val="0"/>
              </w:rPr>
              <w:t>1,741</w:t>
            </w:r>
          </w:p>
        </w:tc>
      </w:tr>
      <w:tr w14:paraId="53C95E36">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6E">
            <w:pPr>
              <w:spacing w:before="20" w:after="20" w:line="264" w:lineRule="auto"/>
            </w:pPr>
            <w:r>
              <w:rPr>
                <w:sz w:val="22"/>
                <w:szCs w:val="22"/>
                <w:rtl w:val="0"/>
              </w:rPr>
              <w:t>Volatile acidity</w:t>
            </w:r>
          </w:p>
        </w:tc>
        <w:tc>
          <w:tcPr>
            <w:tcBorders>
              <w:top w:val="single" w:color="000000" w:sz="6" w:space="0"/>
              <w:left w:val="single" w:color="000000" w:sz="6" w:space="0"/>
              <w:bottom w:val="single" w:color="000000" w:sz="6" w:space="0"/>
              <w:right w:val="single" w:color="000000" w:sz="6" w:space="0"/>
            </w:tcBorders>
            <w:vAlign w:val="center"/>
          </w:tcPr>
          <w:p w14:paraId="0000006F">
            <w:pPr>
              <w:spacing w:before="20" w:after="20" w:line="264" w:lineRule="auto"/>
            </w:pPr>
            <w:r>
              <w:rPr>
                <w:sz w:val="22"/>
                <w:szCs w:val="22"/>
                <w:rtl w:val="0"/>
              </w:rPr>
              <w:t>0,528</w:t>
            </w:r>
          </w:p>
        </w:tc>
        <w:tc>
          <w:tcPr>
            <w:tcBorders>
              <w:top w:val="single" w:color="000000" w:sz="6" w:space="0"/>
              <w:left w:val="single" w:color="000000" w:sz="6" w:space="0"/>
              <w:bottom w:val="single" w:color="000000" w:sz="6" w:space="0"/>
              <w:right w:val="single" w:color="000000" w:sz="6" w:space="0"/>
            </w:tcBorders>
            <w:vAlign w:val="center"/>
          </w:tcPr>
          <w:p w14:paraId="00000070">
            <w:pPr>
              <w:spacing w:before="20" w:after="20" w:line="264" w:lineRule="auto"/>
            </w:pPr>
            <w:r>
              <w:rPr>
                <w:sz w:val="22"/>
                <w:szCs w:val="22"/>
                <w:rtl w:val="0"/>
              </w:rPr>
              <w:t>0,520</w:t>
            </w:r>
          </w:p>
        </w:tc>
        <w:tc>
          <w:tcPr>
            <w:tcBorders>
              <w:top w:val="single" w:color="000000" w:sz="6" w:space="0"/>
              <w:left w:val="single" w:color="000000" w:sz="6" w:space="0"/>
              <w:bottom w:val="single" w:color="000000" w:sz="6" w:space="0"/>
              <w:right w:val="single" w:color="000000" w:sz="6" w:space="0"/>
            </w:tcBorders>
            <w:vAlign w:val="center"/>
          </w:tcPr>
          <w:p w14:paraId="00000071">
            <w:pPr>
              <w:spacing w:before="20" w:after="20" w:line="264" w:lineRule="auto"/>
            </w:pPr>
            <w:r>
              <w:rPr>
                <w:sz w:val="22"/>
                <w:szCs w:val="22"/>
                <w:rtl w:val="0"/>
              </w:rPr>
              <w:t>0,179</w:t>
            </w:r>
          </w:p>
        </w:tc>
      </w:tr>
      <w:tr w14:paraId="14C08D21">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72">
            <w:pPr>
              <w:spacing w:before="20" w:after="20" w:line="264" w:lineRule="auto"/>
            </w:pPr>
            <w:r>
              <w:rPr>
                <w:sz w:val="22"/>
                <w:szCs w:val="22"/>
                <w:rtl w:val="0"/>
              </w:rPr>
              <w:t>Citric acid</w:t>
            </w:r>
          </w:p>
        </w:tc>
        <w:tc>
          <w:tcPr>
            <w:tcBorders>
              <w:top w:val="single" w:color="000000" w:sz="6" w:space="0"/>
              <w:left w:val="single" w:color="000000" w:sz="6" w:space="0"/>
              <w:bottom w:val="single" w:color="000000" w:sz="6" w:space="0"/>
              <w:right w:val="single" w:color="000000" w:sz="6" w:space="0"/>
            </w:tcBorders>
            <w:vAlign w:val="center"/>
          </w:tcPr>
          <w:p w14:paraId="00000073">
            <w:pPr>
              <w:spacing w:before="20" w:after="20" w:line="264" w:lineRule="auto"/>
            </w:pPr>
            <w:r>
              <w:rPr>
                <w:sz w:val="22"/>
                <w:szCs w:val="22"/>
                <w:rtl w:val="0"/>
              </w:rPr>
              <w:t>0,271</w:t>
            </w:r>
          </w:p>
        </w:tc>
        <w:tc>
          <w:tcPr>
            <w:tcBorders>
              <w:top w:val="single" w:color="000000" w:sz="6" w:space="0"/>
              <w:left w:val="single" w:color="000000" w:sz="6" w:space="0"/>
              <w:bottom w:val="single" w:color="000000" w:sz="6" w:space="0"/>
              <w:right w:val="single" w:color="000000" w:sz="6" w:space="0"/>
            </w:tcBorders>
            <w:vAlign w:val="center"/>
          </w:tcPr>
          <w:p w14:paraId="00000074">
            <w:pPr>
              <w:spacing w:before="20" w:after="20" w:line="264" w:lineRule="auto"/>
            </w:pPr>
            <w:r>
              <w:rPr>
                <w:sz w:val="22"/>
                <w:szCs w:val="22"/>
                <w:rtl w:val="0"/>
              </w:rPr>
              <w:t>0,260</w:t>
            </w:r>
          </w:p>
        </w:tc>
        <w:tc>
          <w:tcPr>
            <w:tcBorders>
              <w:top w:val="single" w:color="000000" w:sz="6" w:space="0"/>
              <w:left w:val="single" w:color="000000" w:sz="6" w:space="0"/>
              <w:bottom w:val="single" w:color="000000" w:sz="6" w:space="0"/>
              <w:right w:val="single" w:color="000000" w:sz="6" w:space="0"/>
            </w:tcBorders>
            <w:vAlign w:val="center"/>
          </w:tcPr>
          <w:p w14:paraId="00000075">
            <w:pPr>
              <w:spacing w:before="20" w:after="20" w:line="264" w:lineRule="auto"/>
            </w:pPr>
            <w:r>
              <w:rPr>
                <w:sz w:val="22"/>
                <w:szCs w:val="22"/>
                <w:rtl w:val="0"/>
              </w:rPr>
              <w:t>0,195</w:t>
            </w:r>
          </w:p>
        </w:tc>
      </w:tr>
      <w:tr w14:paraId="4AC15939">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76">
            <w:pPr>
              <w:spacing w:before="20" w:after="20" w:line="264" w:lineRule="auto"/>
            </w:pPr>
            <w:r>
              <w:rPr>
                <w:sz w:val="22"/>
                <w:szCs w:val="22"/>
                <w:rtl w:val="0"/>
              </w:rPr>
              <w:t>Residual sugar</w:t>
            </w:r>
          </w:p>
        </w:tc>
        <w:tc>
          <w:tcPr>
            <w:tcBorders>
              <w:top w:val="single" w:color="000000" w:sz="6" w:space="0"/>
              <w:left w:val="single" w:color="000000" w:sz="6" w:space="0"/>
              <w:bottom w:val="single" w:color="000000" w:sz="6" w:space="0"/>
              <w:right w:val="single" w:color="000000" w:sz="6" w:space="0"/>
            </w:tcBorders>
            <w:vAlign w:val="center"/>
          </w:tcPr>
          <w:p w14:paraId="00000077">
            <w:pPr>
              <w:spacing w:before="20" w:after="20" w:line="264" w:lineRule="auto"/>
            </w:pPr>
            <w:r>
              <w:rPr>
                <w:sz w:val="22"/>
                <w:szCs w:val="22"/>
                <w:rtl w:val="0"/>
              </w:rPr>
              <w:t>2,539</w:t>
            </w:r>
          </w:p>
        </w:tc>
        <w:tc>
          <w:tcPr>
            <w:tcBorders>
              <w:top w:val="single" w:color="000000" w:sz="6" w:space="0"/>
              <w:left w:val="single" w:color="000000" w:sz="6" w:space="0"/>
              <w:bottom w:val="single" w:color="000000" w:sz="6" w:space="0"/>
              <w:right w:val="single" w:color="000000" w:sz="6" w:space="0"/>
            </w:tcBorders>
            <w:vAlign w:val="center"/>
          </w:tcPr>
          <w:p w14:paraId="00000078">
            <w:pPr>
              <w:spacing w:before="20" w:after="20" w:line="264" w:lineRule="auto"/>
            </w:pPr>
            <w:r>
              <w:rPr>
                <w:sz w:val="22"/>
                <w:szCs w:val="22"/>
                <w:rtl w:val="0"/>
              </w:rPr>
              <w:t>2,200</w:t>
            </w:r>
          </w:p>
        </w:tc>
        <w:tc>
          <w:tcPr>
            <w:tcBorders>
              <w:top w:val="single" w:color="000000" w:sz="6" w:space="0"/>
              <w:left w:val="single" w:color="000000" w:sz="6" w:space="0"/>
              <w:bottom w:val="single" w:color="000000" w:sz="6" w:space="0"/>
              <w:right w:val="single" w:color="000000" w:sz="6" w:space="0"/>
            </w:tcBorders>
            <w:vAlign w:val="center"/>
          </w:tcPr>
          <w:p w14:paraId="00000079">
            <w:pPr>
              <w:spacing w:before="20" w:after="20" w:line="264" w:lineRule="auto"/>
            </w:pPr>
            <w:r>
              <w:rPr>
                <w:sz w:val="22"/>
                <w:szCs w:val="22"/>
                <w:rtl w:val="0"/>
              </w:rPr>
              <w:t>1,410</w:t>
            </w:r>
          </w:p>
        </w:tc>
      </w:tr>
      <w:tr w14:paraId="5FF336DD">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7A">
            <w:pPr>
              <w:spacing w:before="20" w:after="20" w:line="264" w:lineRule="auto"/>
            </w:pPr>
            <w:r>
              <w:rPr>
                <w:sz w:val="22"/>
                <w:szCs w:val="22"/>
                <w:rtl w:val="0"/>
              </w:rPr>
              <w:t>Alcohol</w:t>
            </w:r>
          </w:p>
        </w:tc>
        <w:tc>
          <w:tcPr>
            <w:tcBorders>
              <w:top w:val="single" w:color="000000" w:sz="6" w:space="0"/>
              <w:left w:val="single" w:color="000000" w:sz="6" w:space="0"/>
              <w:bottom w:val="single" w:color="000000" w:sz="6" w:space="0"/>
              <w:right w:val="single" w:color="000000" w:sz="6" w:space="0"/>
            </w:tcBorders>
            <w:vAlign w:val="center"/>
          </w:tcPr>
          <w:p w14:paraId="0000007B">
            <w:pPr>
              <w:spacing w:before="20" w:after="20" w:line="264" w:lineRule="auto"/>
            </w:pPr>
            <w:r>
              <w:rPr>
                <w:sz w:val="22"/>
                <w:szCs w:val="22"/>
                <w:rtl w:val="0"/>
              </w:rPr>
              <w:t>10,423</w:t>
            </w:r>
          </w:p>
        </w:tc>
        <w:tc>
          <w:tcPr>
            <w:tcBorders>
              <w:top w:val="single" w:color="000000" w:sz="6" w:space="0"/>
              <w:left w:val="single" w:color="000000" w:sz="6" w:space="0"/>
              <w:bottom w:val="single" w:color="000000" w:sz="6" w:space="0"/>
              <w:right w:val="single" w:color="000000" w:sz="6" w:space="0"/>
            </w:tcBorders>
            <w:vAlign w:val="center"/>
          </w:tcPr>
          <w:p w14:paraId="0000007C">
            <w:pPr>
              <w:spacing w:before="20" w:after="20" w:line="264" w:lineRule="auto"/>
            </w:pPr>
            <w:r>
              <w:rPr>
                <w:sz w:val="22"/>
                <w:szCs w:val="22"/>
                <w:rtl w:val="0"/>
              </w:rPr>
              <w:t>10,200</w:t>
            </w:r>
          </w:p>
        </w:tc>
        <w:tc>
          <w:tcPr>
            <w:tcBorders>
              <w:top w:val="single" w:color="000000" w:sz="6" w:space="0"/>
              <w:left w:val="single" w:color="000000" w:sz="6" w:space="0"/>
              <w:bottom w:val="single" w:color="000000" w:sz="6" w:space="0"/>
              <w:right w:val="single" w:color="000000" w:sz="6" w:space="0"/>
            </w:tcBorders>
            <w:vAlign w:val="center"/>
          </w:tcPr>
          <w:p w14:paraId="0000007D">
            <w:pPr>
              <w:spacing w:before="20" w:after="20" w:line="264" w:lineRule="auto"/>
            </w:pPr>
            <w:r>
              <w:rPr>
                <w:sz w:val="22"/>
                <w:szCs w:val="22"/>
                <w:rtl w:val="0"/>
              </w:rPr>
              <w:t>1,066</w:t>
            </w:r>
          </w:p>
        </w:tc>
      </w:tr>
    </w:tbl>
    <w:p w14:paraId="0000007E">
      <w:pPr>
        <w:spacing w:before="240" w:after="240"/>
      </w:pPr>
      <w:r>
        <w:rPr>
          <w:rtl w:val="0"/>
        </w:rPr>
        <w:t xml:space="preserve"> </w:t>
      </w:r>
    </w:p>
    <w:tbl>
      <w:tblPr>
        <w:tblStyle w:val="33"/>
        <w:tblW w:w="9025" w:type="dxa"/>
        <w:jc w:val="center"/>
        <w:tblLayout w:type="fixed"/>
        <w:tblCellMar>
          <w:top w:w="0" w:type="dxa"/>
          <w:left w:w="108" w:type="dxa"/>
          <w:bottom w:w="0" w:type="dxa"/>
          <w:right w:w="108" w:type="dxa"/>
        </w:tblCellMar>
      </w:tblPr>
      <w:tblGrid>
        <w:gridCol w:w="4556"/>
        <w:gridCol w:w="4469"/>
      </w:tblGrid>
      <w:tr w14:paraId="0404893D">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7F">
            <w:pPr>
              <w:spacing w:before="20" w:after="20" w:line="264" w:lineRule="auto"/>
            </w:pPr>
            <w:r>
              <w:rPr>
                <w:b/>
                <w:bCs/>
                <w:sz w:val="24"/>
                <w:szCs w:val="24"/>
                <w:rtl w:val="0"/>
              </w:rPr>
              <w:t>Quality</w:t>
            </w:r>
          </w:p>
        </w:tc>
        <w:tc>
          <w:tcPr>
            <w:tcBorders>
              <w:top w:val="single" w:color="000000" w:sz="6" w:space="0"/>
              <w:left w:val="single" w:color="000000" w:sz="6" w:space="0"/>
              <w:bottom w:val="single" w:color="000000" w:sz="6" w:space="0"/>
              <w:right w:val="single" w:color="000000" w:sz="6" w:space="0"/>
            </w:tcBorders>
            <w:vAlign w:val="center"/>
          </w:tcPr>
          <w:p w14:paraId="00000080">
            <w:pPr>
              <w:spacing w:before="20" w:after="20" w:line="264" w:lineRule="auto"/>
            </w:pPr>
            <w:r>
              <w:rPr>
                <w:b/>
                <w:bCs/>
                <w:sz w:val="24"/>
                <w:szCs w:val="24"/>
                <w:rtl w:val="0"/>
              </w:rPr>
              <w:t>Số mẫu</w:t>
            </w:r>
          </w:p>
        </w:tc>
      </w:tr>
      <w:tr w14:paraId="7DBB884F">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81">
            <w:pPr>
              <w:spacing w:before="20" w:after="20" w:line="264" w:lineRule="auto"/>
            </w:pPr>
            <w:r>
              <w:rPr>
                <w:sz w:val="24"/>
                <w:szCs w:val="24"/>
                <w:rtl w:val="0"/>
              </w:rPr>
              <w:t>3</w:t>
            </w:r>
          </w:p>
        </w:tc>
        <w:tc>
          <w:tcPr>
            <w:tcBorders>
              <w:top w:val="single" w:color="000000" w:sz="6" w:space="0"/>
              <w:left w:val="single" w:color="000000" w:sz="6" w:space="0"/>
              <w:bottom w:val="single" w:color="000000" w:sz="6" w:space="0"/>
              <w:right w:val="single" w:color="000000" w:sz="6" w:space="0"/>
            </w:tcBorders>
            <w:vAlign w:val="center"/>
          </w:tcPr>
          <w:p w14:paraId="00000082">
            <w:pPr>
              <w:spacing w:before="20" w:after="20" w:line="264" w:lineRule="auto"/>
            </w:pPr>
            <w:r>
              <w:rPr>
                <w:sz w:val="24"/>
                <w:szCs w:val="24"/>
                <w:rtl w:val="0"/>
              </w:rPr>
              <w:t>10</w:t>
            </w:r>
          </w:p>
        </w:tc>
      </w:tr>
      <w:tr w14:paraId="5794919A">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83">
            <w:pPr>
              <w:spacing w:before="20" w:after="20" w:line="264" w:lineRule="auto"/>
            </w:pPr>
            <w:r>
              <w:rPr>
                <w:sz w:val="24"/>
                <w:szCs w:val="24"/>
                <w:rtl w:val="0"/>
              </w:rPr>
              <w:t>4</w:t>
            </w:r>
          </w:p>
        </w:tc>
        <w:tc>
          <w:tcPr>
            <w:tcBorders>
              <w:top w:val="single" w:color="000000" w:sz="6" w:space="0"/>
              <w:left w:val="single" w:color="000000" w:sz="6" w:space="0"/>
              <w:bottom w:val="single" w:color="000000" w:sz="6" w:space="0"/>
              <w:right w:val="single" w:color="000000" w:sz="6" w:space="0"/>
            </w:tcBorders>
            <w:vAlign w:val="center"/>
          </w:tcPr>
          <w:p w14:paraId="00000084">
            <w:pPr>
              <w:spacing w:before="20" w:after="20" w:line="264" w:lineRule="auto"/>
            </w:pPr>
            <w:r>
              <w:rPr>
                <w:sz w:val="24"/>
                <w:szCs w:val="24"/>
                <w:rtl w:val="0"/>
              </w:rPr>
              <w:t>53</w:t>
            </w:r>
          </w:p>
        </w:tc>
      </w:tr>
      <w:tr w14:paraId="2F059355">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85">
            <w:pPr>
              <w:spacing w:before="20" w:after="20" w:line="264" w:lineRule="auto"/>
            </w:pPr>
            <w:r>
              <w:rPr>
                <w:sz w:val="24"/>
                <w:szCs w:val="24"/>
                <w:rtl w:val="0"/>
              </w:rPr>
              <w:t>5</w:t>
            </w:r>
          </w:p>
        </w:tc>
        <w:tc>
          <w:tcPr>
            <w:tcBorders>
              <w:top w:val="single" w:color="000000" w:sz="6" w:space="0"/>
              <w:left w:val="single" w:color="000000" w:sz="6" w:space="0"/>
              <w:bottom w:val="single" w:color="000000" w:sz="6" w:space="0"/>
              <w:right w:val="single" w:color="000000" w:sz="6" w:space="0"/>
            </w:tcBorders>
            <w:vAlign w:val="center"/>
          </w:tcPr>
          <w:p w14:paraId="00000086">
            <w:pPr>
              <w:spacing w:before="20" w:after="20" w:line="264" w:lineRule="auto"/>
            </w:pPr>
            <w:r>
              <w:rPr>
                <w:sz w:val="24"/>
                <w:szCs w:val="24"/>
                <w:rtl w:val="0"/>
              </w:rPr>
              <w:t>681</w:t>
            </w:r>
          </w:p>
        </w:tc>
      </w:tr>
      <w:tr w14:paraId="03ACDED4">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87">
            <w:pPr>
              <w:spacing w:before="20" w:after="20" w:line="264" w:lineRule="auto"/>
            </w:pPr>
            <w:r>
              <w:rPr>
                <w:sz w:val="24"/>
                <w:szCs w:val="24"/>
                <w:rtl w:val="0"/>
              </w:rPr>
              <w:t>6</w:t>
            </w:r>
          </w:p>
        </w:tc>
        <w:tc>
          <w:tcPr>
            <w:tcBorders>
              <w:top w:val="single" w:color="000000" w:sz="6" w:space="0"/>
              <w:left w:val="single" w:color="000000" w:sz="6" w:space="0"/>
              <w:bottom w:val="single" w:color="000000" w:sz="6" w:space="0"/>
              <w:right w:val="single" w:color="000000" w:sz="6" w:space="0"/>
            </w:tcBorders>
            <w:vAlign w:val="center"/>
          </w:tcPr>
          <w:p w14:paraId="00000088">
            <w:pPr>
              <w:spacing w:before="20" w:after="20" w:line="264" w:lineRule="auto"/>
            </w:pPr>
            <w:r>
              <w:rPr>
                <w:sz w:val="24"/>
                <w:szCs w:val="24"/>
                <w:rtl w:val="0"/>
              </w:rPr>
              <w:t>638</w:t>
            </w:r>
          </w:p>
        </w:tc>
      </w:tr>
      <w:tr w14:paraId="7BB53A4F">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89">
            <w:pPr>
              <w:spacing w:before="20" w:after="20" w:line="264" w:lineRule="auto"/>
            </w:pPr>
            <w:r>
              <w:rPr>
                <w:sz w:val="24"/>
                <w:szCs w:val="24"/>
                <w:rtl w:val="0"/>
              </w:rPr>
              <w:t>7</w:t>
            </w:r>
          </w:p>
        </w:tc>
        <w:tc>
          <w:tcPr>
            <w:tcBorders>
              <w:top w:val="single" w:color="000000" w:sz="6" w:space="0"/>
              <w:left w:val="single" w:color="000000" w:sz="6" w:space="0"/>
              <w:bottom w:val="single" w:color="000000" w:sz="6" w:space="0"/>
              <w:right w:val="single" w:color="000000" w:sz="6" w:space="0"/>
            </w:tcBorders>
            <w:vAlign w:val="center"/>
          </w:tcPr>
          <w:p w14:paraId="0000008A">
            <w:pPr>
              <w:spacing w:before="20" w:after="20" w:line="264" w:lineRule="auto"/>
            </w:pPr>
            <w:r>
              <w:rPr>
                <w:sz w:val="24"/>
                <w:szCs w:val="24"/>
                <w:rtl w:val="0"/>
              </w:rPr>
              <w:t>199</w:t>
            </w:r>
          </w:p>
        </w:tc>
      </w:tr>
      <w:tr w14:paraId="26971B9F">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8B">
            <w:pPr>
              <w:spacing w:before="20" w:after="20" w:line="264" w:lineRule="auto"/>
            </w:pPr>
            <w:r>
              <w:rPr>
                <w:sz w:val="24"/>
                <w:szCs w:val="24"/>
                <w:rtl w:val="0"/>
              </w:rPr>
              <w:t>8</w:t>
            </w:r>
          </w:p>
        </w:tc>
        <w:tc>
          <w:tcPr>
            <w:tcBorders>
              <w:top w:val="single" w:color="000000" w:sz="6" w:space="0"/>
              <w:left w:val="single" w:color="000000" w:sz="6" w:space="0"/>
              <w:bottom w:val="single" w:color="000000" w:sz="6" w:space="0"/>
              <w:right w:val="single" w:color="000000" w:sz="6" w:space="0"/>
            </w:tcBorders>
            <w:vAlign w:val="center"/>
          </w:tcPr>
          <w:p w14:paraId="0000008C">
            <w:pPr>
              <w:spacing w:before="20" w:after="20" w:line="264" w:lineRule="auto"/>
            </w:pPr>
            <w:r>
              <w:rPr>
                <w:sz w:val="24"/>
                <w:szCs w:val="24"/>
                <w:rtl w:val="0"/>
              </w:rPr>
              <w:t>18</w:t>
            </w:r>
          </w:p>
        </w:tc>
      </w:tr>
    </w:tbl>
    <w:p w14:paraId="0000008D">
      <w:pPr>
        <w:ind w:firstLine="567"/>
        <w:jc w:val="both"/>
      </w:pPr>
      <w:r>
        <w:rPr>
          <w:rtl w:val="0"/>
        </w:rPr>
        <w:t xml:space="preserve"> Các mức quality 5 và 6 chiếm 1.319/1.599 quan sát, tương đương khoảng 82,5%, phản ánh phân bố nhãn tập trung. Nếu dùng dữ liệu cho phân loại nhiều lớp, chênh lệch giữa các lớp có thể ảnh hưởng kết quả. Residual sugar có mean cao hơn median, gợi ý phân phối lệch phải ở một số mức độ.</w:t>
      </w:r>
    </w:p>
    <w:p w14:paraId="0000008E">
      <w:pPr>
        <w:spacing w:before="40" w:after="60"/>
        <w:jc w:val="center"/>
      </w:pPr>
      <w:r>
        <w:drawing>
          <wp:inline distT="0" distB="0" distL="0" distR="0">
            <wp:extent cx="5731510" cy="2184400"/>
            <wp:effectExtent l="0" t="0" r="0" b="0"/>
            <wp:docPr id="52" name="image10.png"/>
            <wp:cNvGraphicFramePr/>
            <a:graphic xmlns:a="http://schemas.openxmlformats.org/drawingml/2006/main">
              <a:graphicData uri="http://schemas.openxmlformats.org/drawingml/2006/picture">
                <pic:pic xmlns:pic="http://schemas.openxmlformats.org/drawingml/2006/picture">
                  <pic:nvPicPr>
                    <pic:cNvPr id="52" name="image10.png"/>
                    <pic:cNvPicPr preferRelativeResize="0"/>
                  </pic:nvPicPr>
                  <pic:blipFill>
                    <a:blip r:embed="rId11"/>
                    <a:srcRect/>
                    <a:stretch>
                      <a:fillRect/>
                    </a:stretch>
                  </pic:blipFill>
                  <pic:spPr>
                    <a:xfrm>
                      <a:off x="0" y="0"/>
                      <a:ext cx="5731510" cy="2184400"/>
                    </a:xfrm>
                    <a:prstGeom prst="rect">
                      <a:avLst/>
                    </a:prstGeom>
                  </pic:spPr>
                </pic:pic>
              </a:graphicData>
            </a:graphic>
          </wp:inline>
        </w:drawing>
      </w:r>
      <w:r>
        <w:rPr>
          <w:rtl w:val="0"/>
        </w:rPr>
        <w:t xml:space="preserve"> </w:t>
      </w:r>
    </w:p>
    <w:p w14:paraId="0000008F">
      <w:pPr>
        <w:spacing w:before="80" w:after="100" w:line="276" w:lineRule="auto"/>
        <w:jc w:val="center"/>
        <w:rPr>
          <w:i/>
          <w:iCs/>
        </w:rPr>
      </w:pPr>
      <w:r>
        <w:rPr>
          <w:i/>
          <w:iCs/>
          <w:sz w:val="24"/>
          <w:szCs w:val="24"/>
          <w:rtl w:val="0"/>
        </w:rPr>
        <w:t>Hình 1.2. Phân phối nhãn quality của rượu vang đỏ</w:t>
      </w:r>
    </w:p>
    <w:p w14:paraId="00000090">
      <w:pPr>
        <w:ind w:firstLine="567"/>
        <w:jc w:val="both"/>
      </w:pPr>
      <w:r>
        <w:rPr>
          <w:rtl w:val="0"/>
        </w:rPr>
        <w:t>Phân tích hình: Các cột quality 5 và 6 cao vượt trội so với các mức khác. Biểu đồ cho phép nhìn thấy sự tập trung của nhãn mà một giá trị trung bình chất lượng không thể mô tả đầy đủ.</w:t>
      </w:r>
    </w:p>
    <w:p w14:paraId="00000091">
      <w:pPr>
        <w:spacing w:before="20" w:after="100" w:line="324" w:lineRule="auto"/>
      </w:pPr>
      <w:r>
        <w:rPr>
          <w:sz w:val="24"/>
          <w:szCs w:val="24"/>
          <w:rtl w:val="0"/>
        </w:rPr>
        <w:t>Nguồn: PhanTichDuLieu2.ipynb.</w:t>
      </w:r>
    </w:p>
    <w:p w14:paraId="00000092">
      <w:pPr>
        <w:ind w:firstLine="567"/>
        <w:jc w:val="both"/>
      </w:pPr>
      <w:r>
        <w:rPr>
          <w:rtl w:val="0"/>
        </w:rPr>
        <w:t>Xét hệ số tương quan Pearson với quality, alcohol có tương quan dương khoảng 0,476, sulphates khoảng 0,251, trong khi volatile acidity có tương quan âm khoảng −0,391. Hệ số tương quan chỉ phản ánh mức liên hệ tuyến tính, không chứng minh yếu tố hóa lý đơn lẻ gây ra sự thay đổi chất lượng.</w:t>
      </w:r>
    </w:p>
    <w:p w14:paraId="00000093">
      <w:pPr>
        <w:spacing w:before="40" w:after="60"/>
        <w:jc w:val="center"/>
      </w:pPr>
      <w:r>
        <w:drawing>
          <wp:inline distT="0" distB="0" distL="0" distR="0">
            <wp:extent cx="5731510" cy="4762500"/>
            <wp:effectExtent l="0" t="0" r="0" b="0"/>
            <wp:docPr id="55" name="image11.png"/>
            <wp:cNvGraphicFramePr/>
            <a:graphic xmlns:a="http://schemas.openxmlformats.org/drawingml/2006/main">
              <a:graphicData uri="http://schemas.openxmlformats.org/drawingml/2006/picture">
                <pic:pic xmlns:pic="http://schemas.openxmlformats.org/drawingml/2006/picture">
                  <pic:nvPicPr>
                    <pic:cNvPr id="55" name="image11.png"/>
                    <pic:cNvPicPr preferRelativeResize="0"/>
                  </pic:nvPicPr>
                  <pic:blipFill>
                    <a:blip r:embed="rId12"/>
                    <a:srcRect/>
                    <a:stretch>
                      <a:fillRect/>
                    </a:stretch>
                  </pic:blipFill>
                  <pic:spPr>
                    <a:xfrm>
                      <a:off x="0" y="0"/>
                      <a:ext cx="5731510" cy="4762500"/>
                    </a:xfrm>
                    <a:prstGeom prst="rect">
                      <a:avLst/>
                    </a:prstGeom>
                  </pic:spPr>
                </pic:pic>
              </a:graphicData>
            </a:graphic>
          </wp:inline>
        </w:drawing>
      </w:r>
      <w:r>
        <w:rPr>
          <w:rtl w:val="0"/>
        </w:rPr>
        <w:t xml:space="preserve"> </w:t>
      </w:r>
    </w:p>
    <w:p w14:paraId="00000094">
      <w:pPr>
        <w:spacing w:before="80" w:after="100" w:line="276" w:lineRule="auto"/>
        <w:jc w:val="center"/>
        <w:rPr>
          <w:i/>
          <w:iCs/>
        </w:rPr>
      </w:pPr>
      <w:r>
        <w:rPr>
          <w:i/>
          <w:iCs/>
          <w:sz w:val="24"/>
          <w:szCs w:val="24"/>
          <w:rtl w:val="0"/>
        </w:rPr>
        <w:t>Hình 1.3. Ma trận tương quan các thuộc tính Red Wine Quality</w:t>
      </w:r>
    </w:p>
    <w:p w14:paraId="00000095">
      <w:pPr>
        <w:ind w:firstLine="567"/>
        <w:jc w:val="both"/>
      </w:pPr>
      <w:r>
        <w:rPr>
          <w:rtl w:val="0"/>
        </w:rPr>
        <w:t>Phân tích hình: Ma trận màu làm nổi bật các cặp đặc trưng có quan hệ tuyến tính tương đối rõ; dấu và độ lớn của hệ số tương quan cần được đối chiếu khi diễn giải chất lượng rượu.</w:t>
      </w:r>
    </w:p>
    <w:p w14:paraId="00000096">
      <w:pPr>
        <w:spacing w:before="20" w:after="100" w:line="324" w:lineRule="auto"/>
      </w:pPr>
      <w:r>
        <w:rPr>
          <w:sz w:val="24"/>
          <w:szCs w:val="24"/>
          <w:rtl w:val="0"/>
        </w:rPr>
        <w:t>Nguồn: PhanTichDuLieu2.ipynb.</w:t>
      </w:r>
    </w:p>
    <w:p w14:paraId="21F112B1">
      <w:pPr>
        <w:pStyle w:val="4"/>
      </w:pPr>
      <w:bookmarkStart w:id="12" w:name="bookmark=id.8evwponrvcjf" w:colFirst="0" w:colLast="0"/>
      <w:bookmarkEnd w:id="12"/>
      <w:bookmarkStart w:id="13" w:name="_Toc5008"/>
      <w:r>
        <w:t>1.1.5. Thực hành Pima Indians Diabetes</w:t>
      </w:r>
      <w:bookmarkEnd w:id="13"/>
    </w:p>
    <w:p w14:paraId="00000098">
      <w:pPr>
        <w:ind w:firstLine="567"/>
        <w:jc w:val="both"/>
      </w:pPr>
      <w:r>
        <w:rPr>
          <w:rtl w:val="0"/>
        </w:rPr>
        <w:t>Bộ dữ liệu có 768 quan sát, 8 đặc trưng sức khỏe và biến nhị phân Outcome. Nhãn Outcome=0 có 500 mẫu (65,1%), Outcome=1 có 268 mẫu (34,9%). Mặc dù không có NaN và không có dòng trùng, dữ liệu chứa nhiều giá trị bằng 0 không hợp lý về mặt đo lường tại một số biến sức khỏe. Trong bài thực hành, các giá trị đó được chuyển thành NaN nhằm phân tích chất lượng dữ liệu.</w:t>
      </w:r>
    </w:p>
    <w:tbl>
      <w:tblPr>
        <w:tblStyle w:val="34"/>
        <w:tblW w:w="9025" w:type="dxa"/>
        <w:jc w:val="center"/>
        <w:tblLayout w:type="fixed"/>
        <w:tblCellMar>
          <w:top w:w="0" w:type="dxa"/>
          <w:left w:w="108" w:type="dxa"/>
          <w:bottom w:w="0" w:type="dxa"/>
          <w:right w:w="108" w:type="dxa"/>
        </w:tblCellMar>
      </w:tblPr>
      <w:tblGrid>
        <w:gridCol w:w="3208"/>
        <w:gridCol w:w="2865"/>
        <w:gridCol w:w="2952"/>
      </w:tblGrid>
      <w:tr w14:paraId="47536A21">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99">
            <w:pPr>
              <w:spacing w:before="20" w:after="20" w:line="264" w:lineRule="auto"/>
            </w:pPr>
            <w:r>
              <w:rPr>
                <w:b/>
                <w:bCs/>
                <w:sz w:val="24"/>
                <w:szCs w:val="24"/>
                <w:rtl w:val="0"/>
              </w:rPr>
              <w:t>Thuộc tính</w:t>
            </w:r>
          </w:p>
        </w:tc>
        <w:tc>
          <w:tcPr>
            <w:tcBorders>
              <w:top w:val="single" w:color="000000" w:sz="6" w:space="0"/>
              <w:left w:val="single" w:color="000000" w:sz="6" w:space="0"/>
              <w:bottom w:val="single" w:color="000000" w:sz="6" w:space="0"/>
              <w:right w:val="single" w:color="000000" w:sz="6" w:space="0"/>
            </w:tcBorders>
            <w:vAlign w:val="center"/>
          </w:tcPr>
          <w:p w14:paraId="0000009A">
            <w:pPr>
              <w:spacing w:before="20" w:after="20" w:line="264" w:lineRule="auto"/>
            </w:pPr>
            <w:r>
              <w:rPr>
                <w:b/>
                <w:bCs/>
                <w:sz w:val="24"/>
                <w:szCs w:val="24"/>
                <w:rtl w:val="0"/>
              </w:rPr>
              <w:t>Số giá trị 0</w:t>
            </w:r>
          </w:p>
        </w:tc>
        <w:tc>
          <w:tcPr>
            <w:tcBorders>
              <w:top w:val="single" w:color="000000" w:sz="6" w:space="0"/>
              <w:left w:val="single" w:color="000000" w:sz="6" w:space="0"/>
              <w:bottom w:val="single" w:color="000000" w:sz="6" w:space="0"/>
              <w:right w:val="single" w:color="000000" w:sz="6" w:space="0"/>
            </w:tcBorders>
            <w:vAlign w:val="center"/>
          </w:tcPr>
          <w:p w14:paraId="0000009B">
            <w:pPr>
              <w:spacing w:before="20" w:after="20" w:line="264" w:lineRule="auto"/>
            </w:pPr>
            <w:r>
              <w:rPr>
                <w:b/>
                <w:bCs/>
                <w:sz w:val="24"/>
                <w:szCs w:val="24"/>
                <w:rtl w:val="0"/>
              </w:rPr>
              <w:t>Tỷ lệ</w:t>
            </w:r>
          </w:p>
        </w:tc>
      </w:tr>
      <w:tr w14:paraId="12CCE7BA">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9C">
            <w:pPr>
              <w:spacing w:before="20" w:after="20" w:line="264" w:lineRule="auto"/>
            </w:pPr>
            <w:r>
              <w:rPr>
                <w:sz w:val="24"/>
                <w:szCs w:val="24"/>
                <w:rtl w:val="0"/>
              </w:rPr>
              <w:t>Glucose</w:t>
            </w:r>
          </w:p>
        </w:tc>
        <w:tc>
          <w:tcPr>
            <w:tcBorders>
              <w:top w:val="single" w:color="000000" w:sz="6" w:space="0"/>
              <w:left w:val="single" w:color="000000" w:sz="6" w:space="0"/>
              <w:bottom w:val="single" w:color="000000" w:sz="6" w:space="0"/>
              <w:right w:val="single" w:color="000000" w:sz="6" w:space="0"/>
            </w:tcBorders>
            <w:vAlign w:val="center"/>
          </w:tcPr>
          <w:p w14:paraId="0000009D">
            <w:pPr>
              <w:spacing w:before="20" w:after="20" w:line="264" w:lineRule="auto"/>
            </w:pPr>
            <w:r>
              <w:rPr>
                <w:sz w:val="24"/>
                <w:szCs w:val="24"/>
                <w:rtl w:val="0"/>
              </w:rPr>
              <w:t>5</w:t>
            </w:r>
          </w:p>
        </w:tc>
        <w:tc>
          <w:tcPr>
            <w:tcBorders>
              <w:top w:val="single" w:color="000000" w:sz="6" w:space="0"/>
              <w:left w:val="single" w:color="000000" w:sz="6" w:space="0"/>
              <w:bottom w:val="single" w:color="000000" w:sz="6" w:space="0"/>
              <w:right w:val="single" w:color="000000" w:sz="6" w:space="0"/>
            </w:tcBorders>
            <w:vAlign w:val="center"/>
          </w:tcPr>
          <w:p w14:paraId="0000009E">
            <w:pPr>
              <w:spacing w:before="20" w:after="20" w:line="264" w:lineRule="auto"/>
            </w:pPr>
            <w:r>
              <w:rPr>
                <w:sz w:val="24"/>
                <w:szCs w:val="24"/>
                <w:rtl w:val="0"/>
              </w:rPr>
              <w:t>0,7%</w:t>
            </w:r>
          </w:p>
        </w:tc>
      </w:tr>
      <w:tr w14:paraId="7C65D809">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9F">
            <w:pPr>
              <w:spacing w:before="20" w:after="20" w:line="264" w:lineRule="auto"/>
            </w:pPr>
            <w:r>
              <w:rPr>
                <w:sz w:val="24"/>
                <w:szCs w:val="24"/>
                <w:rtl w:val="0"/>
              </w:rPr>
              <w:t>BloodPressure</w:t>
            </w:r>
          </w:p>
        </w:tc>
        <w:tc>
          <w:tcPr>
            <w:tcBorders>
              <w:top w:val="single" w:color="000000" w:sz="6" w:space="0"/>
              <w:left w:val="single" w:color="000000" w:sz="6" w:space="0"/>
              <w:bottom w:val="single" w:color="000000" w:sz="6" w:space="0"/>
              <w:right w:val="single" w:color="000000" w:sz="6" w:space="0"/>
            </w:tcBorders>
            <w:vAlign w:val="center"/>
          </w:tcPr>
          <w:p w14:paraId="000000A0">
            <w:pPr>
              <w:spacing w:before="20" w:after="20" w:line="264" w:lineRule="auto"/>
            </w:pPr>
            <w:r>
              <w:rPr>
                <w:sz w:val="24"/>
                <w:szCs w:val="24"/>
                <w:rtl w:val="0"/>
              </w:rPr>
              <w:t>35</w:t>
            </w:r>
          </w:p>
        </w:tc>
        <w:tc>
          <w:tcPr>
            <w:tcBorders>
              <w:top w:val="single" w:color="000000" w:sz="6" w:space="0"/>
              <w:left w:val="single" w:color="000000" w:sz="6" w:space="0"/>
              <w:bottom w:val="single" w:color="000000" w:sz="6" w:space="0"/>
              <w:right w:val="single" w:color="000000" w:sz="6" w:space="0"/>
            </w:tcBorders>
            <w:vAlign w:val="center"/>
          </w:tcPr>
          <w:p w14:paraId="000000A1">
            <w:pPr>
              <w:spacing w:before="20" w:after="20" w:line="264" w:lineRule="auto"/>
            </w:pPr>
            <w:r>
              <w:rPr>
                <w:sz w:val="24"/>
                <w:szCs w:val="24"/>
                <w:rtl w:val="0"/>
              </w:rPr>
              <w:t>4,6%</w:t>
            </w:r>
          </w:p>
        </w:tc>
      </w:tr>
      <w:tr w14:paraId="423C4705">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A2">
            <w:pPr>
              <w:spacing w:before="20" w:after="20" w:line="264" w:lineRule="auto"/>
            </w:pPr>
            <w:r>
              <w:rPr>
                <w:sz w:val="24"/>
                <w:szCs w:val="24"/>
                <w:rtl w:val="0"/>
              </w:rPr>
              <w:t>SkinThickness</w:t>
            </w:r>
          </w:p>
        </w:tc>
        <w:tc>
          <w:tcPr>
            <w:tcBorders>
              <w:top w:val="single" w:color="000000" w:sz="6" w:space="0"/>
              <w:left w:val="single" w:color="000000" w:sz="6" w:space="0"/>
              <w:bottom w:val="single" w:color="000000" w:sz="6" w:space="0"/>
              <w:right w:val="single" w:color="000000" w:sz="6" w:space="0"/>
            </w:tcBorders>
            <w:vAlign w:val="center"/>
          </w:tcPr>
          <w:p w14:paraId="000000A3">
            <w:pPr>
              <w:spacing w:before="20" w:after="20" w:line="264" w:lineRule="auto"/>
            </w:pPr>
            <w:r>
              <w:rPr>
                <w:sz w:val="24"/>
                <w:szCs w:val="24"/>
                <w:rtl w:val="0"/>
              </w:rPr>
              <w:t>227</w:t>
            </w:r>
          </w:p>
        </w:tc>
        <w:tc>
          <w:tcPr>
            <w:tcBorders>
              <w:top w:val="single" w:color="000000" w:sz="6" w:space="0"/>
              <w:left w:val="single" w:color="000000" w:sz="6" w:space="0"/>
              <w:bottom w:val="single" w:color="000000" w:sz="6" w:space="0"/>
              <w:right w:val="single" w:color="000000" w:sz="6" w:space="0"/>
            </w:tcBorders>
            <w:vAlign w:val="center"/>
          </w:tcPr>
          <w:p w14:paraId="000000A4">
            <w:pPr>
              <w:spacing w:before="20" w:after="20" w:line="264" w:lineRule="auto"/>
            </w:pPr>
            <w:r>
              <w:rPr>
                <w:sz w:val="24"/>
                <w:szCs w:val="24"/>
                <w:rtl w:val="0"/>
              </w:rPr>
              <w:t>29,6%</w:t>
            </w:r>
          </w:p>
        </w:tc>
      </w:tr>
      <w:tr w14:paraId="722B8D43">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A5">
            <w:pPr>
              <w:spacing w:before="20" w:after="20" w:line="264" w:lineRule="auto"/>
            </w:pPr>
            <w:r>
              <w:rPr>
                <w:sz w:val="24"/>
                <w:szCs w:val="24"/>
                <w:rtl w:val="0"/>
              </w:rPr>
              <w:t>Insulin</w:t>
            </w:r>
          </w:p>
        </w:tc>
        <w:tc>
          <w:tcPr>
            <w:tcBorders>
              <w:top w:val="single" w:color="000000" w:sz="6" w:space="0"/>
              <w:left w:val="single" w:color="000000" w:sz="6" w:space="0"/>
              <w:bottom w:val="single" w:color="000000" w:sz="6" w:space="0"/>
              <w:right w:val="single" w:color="000000" w:sz="6" w:space="0"/>
            </w:tcBorders>
            <w:vAlign w:val="center"/>
          </w:tcPr>
          <w:p w14:paraId="000000A6">
            <w:pPr>
              <w:spacing w:before="20" w:after="20" w:line="264" w:lineRule="auto"/>
            </w:pPr>
            <w:r>
              <w:rPr>
                <w:sz w:val="24"/>
                <w:szCs w:val="24"/>
                <w:rtl w:val="0"/>
              </w:rPr>
              <w:t>374</w:t>
            </w:r>
          </w:p>
        </w:tc>
        <w:tc>
          <w:tcPr>
            <w:tcBorders>
              <w:top w:val="single" w:color="000000" w:sz="6" w:space="0"/>
              <w:left w:val="single" w:color="000000" w:sz="6" w:space="0"/>
              <w:bottom w:val="single" w:color="000000" w:sz="6" w:space="0"/>
              <w:right w:val="single" w:color="000000" w:sz="6" w:space="0"/>
            </w:tcBorders>
            <w:vAlign w:val="center"/>
          </w:tcPr>
          <w:p w14:paraId="000000A7">
            <w:pPr>
              <w:spacing w:before="20" w:after="20" w:line="264" w:lineRule="auto"/>
            </w:pPr>
            <w:r>
              <w:rPr>
                <w:sz w:val="24"/>
                <w:szCs w:val="24"/>
                <w:rtl w:val="0"/>
              </w:rPr>
              <w:t>48,7%</w:t>
            </w:r>
          </w:p>
        </w:tc>
      </w:tr>
      <w:tr w14:paraId="02CD734C">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A8">
            <w:pPr>
              <w:spacing w:before="20" w:after="20" w:line="264" w:lineRule="auto"/>
            </w:pPr>
            <w:r>
              <w:rPr>
                <w:sz w:val="24"/>
                <w:szCs w:val="24"/>
                <w:rtl w:val="0"/>
              </w:rPr>
              <w:t>BMI</w:t>
            </w:r>
          </w:p>
        </w:tc>
        <w:tc>
          <w:tcPr>
            <w:tcBorders>
              <w:top w:val="single" w:color="000000" w:sz="6" w:space="0"/>
              <w:left w:val="single" w:color="000000" w:sz="6" w:space="0"/>
              <w:bottom w:val="single" w:color="000000" w:sz="6" w:space="0"/>
              <w:right w:val="single" w:color="000000" w:sz="6" w:space="0"/>
            </w:tcBorders>
            <w:vAlign w:val="center"/>
          </w:tcPr>
          <w:p w14:paraId="000000A9">
            <w:pPr>
              <w:spacing w:before="20" w:after="20" w:line="264" w:lineRule="auto"/>
            </w:pPr>
            <w:r>
              <w:rPr>
                <w:sz w:val="24"/>
                <w:szCs w:val="24"/>
                <w:rtl w:val="0"/>
              </w:rPr>
              <w:t>11</w:t>
            </w:r>
          </w:p>
        </w:tc>
        <w:tc>
          <w:tcPr>
            <w:tcBorders>
              <w:top w:val="single" w:color="000000" w:sz="6" w:space="0"/>
              <w:left w:val="single" w:color="000000" w:sz="6" w:space="0"/>
              <w:bottom w:val="single" w:color="000000" w:sz="6" w:space="0"/>
              <w:right w:val="single" w:color="000000" w:sz="6" w:space="0"/>
            </w:tcBorders>
            <w:vAlign w:val="center"/>
          </w:tcPr>
          <w:p w14:paraId="000000AA">
            <w:pPr>
              <w:spacing w:before="20" w:after="20" w:line="264" w:lineRule="auto"/>
            </w:pPr>
            <w:r>
              <w:rPr>
                <w:sz w:val="24"/>
                <w:szCs w:val="24"/>
                <w:rtl w:val="0"/>
              </w:rPr>
              <w:t>1,4%</w:t>
            </w:r>
          </w:p>
        </w:tc>
      </w:tr>
    </w:tbl>
    <w:p w14:paraId="000000AB">
      <w:pPr>
        <w:ind w:firstLine="567"/>
        <w:jc w:val="both"/>
      </w:pPr>
      <w:r>
        <w:rPr>
          <w:rtl w:val="0"/>
        </w:rPr>
        <w:t xml:space="preserve"> Insulin gần như thiếu một nửa số quan sát theo quy ước xử lý trên; do đó, việc thống kê trung bình hay sử dụng đặc trưng này làm đầu vào học máy cần được cân nhắc kỹ. Chỉ kiểm tra NaN trong tệp gốc sẽ không phát hiện vấn đề này.</w:t>
      </w:r>
    </w:p>
    <w:p w14:paraId="000000AC">
      <w:pPr>
        <w:spacing w:before="40" w:after="60"/>
        <w:jc w:val="center"/>
      </w:pPr>
      <w:r>
        <w:drawing>
          <wp:inline distT="0" distB="0" distL="0" distR="0">
            <wp:extent cx="5731510" cy="1943100"/>
            <wp:effectExtent l="0" t="0" r="0" b="0"/>
            <wp:docPr id="54" name="image24.png"/>
            <wp:cNvGraphicFramePr/>
            <a:graphic xmlns:a="http://schemas.openxmlformats.org/drawingml/2006/main">
              <a:graphicData uri="http://schemas.openxmlformats.org/drawingml/2006/picture">
                <pic:pic xmlns:pic="http://schemas.openxmlformats.org/drawingml/2006/picture">
                  <pic:nvPicPr>
                    <pic:cNvPr id="54" name="image24.png"/>
                    <pic:cNvPicPr preferRelativeResize="0"/>
                  </pic:nvPicPr>
                  <pic:blipFill>
                    <a:blip r:embed="rId13"/>
                    <a:srcRect/>
                    <a:stretch>
                      <a:fillRect/>
                    </a:stretch>
                  </pic:blipFill>
                  <pic:spPr>
                    <a:xfrm>
                      <a:off x="0" y="0"/>
                      <a:ext cx="5731510" cy="1943100"/>
                    </a:xfrm>
                    <a:prstGeom prst="rect">
                      <a:avLst/>
                    </a:prstGeom>
                  </pic:spPr>
                </pic:pic>
              </a:graphicData>
            </a:graphic>
          </wp:inline>
        </w:drawing>
      </w:r>
      <w:r>
        <w:rPr>
          <w:rtl w:val="0"/>
        </w:rPr>
        <w:t xml:space="preserve"> </w:t>
      </w:r>
    </w:p>
    <w:p w14:paraId="000000AD">
      <w:pPr>
        <w:spacing w:before="80" w:after="100" w:line="276" w:lineRule="auto"/>
        <w:jc w:val="center"/>
        <w:rPr>
          <w:i/>
          <w:iCs/>
        </w:rPr>
      </w:pPr>
      <w:r>
        <w:rPr>
          <w:i/>
          <w:iCs/>
          <w:sz w:val="24"/>
          <w:szCs w:val="24"/>
          <w:rtl w:val="0"/>
        </w:rPr>
        <w:t>Hình 1.4. Phân bố Outcome của bộ dữ liệu tiểu đường</w:t>
      </w:r>
    </w:p>
    <w:p w14:paraId="000000AE">
      <w:pPr>
        <w:ind w:firstLine="567"/>
        <w:jc w:val="both"/>
      </w:pPr>
      <w:r>
        <w:rPr>
          <w:rtl w:val="0"/>
        </w:rPr>
        <w:t>Phân tích hình: Số lượng nhãn 0 lớn hơn nhãn 1. Mức chênh lệch chưa phải cực đoan nhưng đủ để cần kiểm tra recall theo lớp khi đánh giá SVM.</w:t>
      </w:r>
    </w:p>
    <w:p w14:paraId="000000AF">
      <w:pPr>
        <w:spacing w:before="20" w:after="100" w:line="324" w:lineRule="auto"/>
      </w:pPr>
      <w:r>
        <w:rPr>
          <w:sz w:val="24"/>
          <w:szCs w:val="24"/>
          <w:rtl w:val="0"/>
        </w:rPr>
        <w:t>Nguồn: PhanTichDuLieu2.ipynb.</w:t>
      </w:r>
    </w:p>
    <w:tbl>
      <w:tblPr>
        <w:tblStyle w:val="35"/>
        <w:tblW w:w="9025" w:type="dxa"/>
        <w:jc w:val="center"/>
        <w:tblLayout w:type="fixed"/>
        <w:tblCellMar>
          <w:top w:w="0" w:type="dxa"/>
          <w:left w:w="108" w:type="dxa"/>
          <w:bottom w:w="0" w:type="dxa"/>
          <w:right w:w="108" w:type="dxa"/>
        </w:tblCellMar>
      </w:tblPr>
      <w:tblGrid>
        <w:gridCol w:w="2980"/>
        <w:gridCol w:w="3023"/>
        <w:gridCol w:w="3022"/>
      </w:tblGrid>
      <w:tr w14:paraId="5743D7FB">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B0">
            <w:pPr>
              <w:spacing w:before="20" w:after="20" w:line="264" w:lineRule="auto"/>
            </w:pPr>
            <w:r>
              <w:rPr>
                <w:b/>
                <w:bCs/>
                <w:sz w:val="24"/>
                <w:szCs w:val="24"/>
                <w:rtl w:val="0"/>
              </w:rPr>
              <w:t>Đặc trưng (mean)</w:t>
            </w:r>
          </w:p>
        </w:tc>
        <w:tc>
          <w:tcPr>
            <w:tcBorders>
              <w:top w:val="single" w:color="000000" w:sz="6" w:space="0"/>
              <w:left w:val="single" w:color="000000" w:sz="6" w:space="0"/>
              <w:bottom w:val="single" w:color="000000" w:sz="6" w:space="0"/>
              <w:right w:val="single" w:color="000000" w:sz="6" w:space="0"/>
            </w:tcBorders>
            <w:vAlign w:val="center"/>
          </w:tcPr>
          <w:p w14:paraId="000000B1">
            <w:pPr>
              <w:spacing w:before="20" w:after="20" w:line="264" w:lineRule="auto"/>
            </w:pPr>
            <w:r>
              <w:rPr>
                <w:b/>
                <w:bCs/>
                <w:sz w:val="24"/>
                <w:szCs w:val="24"/>
                <w:rtl w:val="0"/>
              </w:rPr>
              <w:t>Outcome = 0</w:t>
            </w:r>
          </w:p>
        </w:tc>
        <w:tc>
          <w:tcPr>
            <w:tcBorders>
              <w:top w:val="single" w:color="000000" w:sz="6" w:space="0"/>
              <w:left w:val="single" w:color="000000" w:sz="6" w:space="0"/>
              <w:bottom w:val="single" w:color="000000" w:sz="6" w:space="0"/>
              <w:right w:val="single" w:color="000000" w:sz="6" w:space="0"/>
            </w:tcBorders>
            <w:vAlign w:val="center"/>
          </w:tcPr>
          <w:p w14:paraId="000000B2">
            <w:pPr>
              <w:spacing w:before="20" w:after="20" w:line="264" w:lineRule="auto"/>
            </w:pPr>
            <w:r>
              <w:rPr>
                <w:b/>
                <w:bCs/>
                <w:sz w:val="24"/>
                <w:szCs w:val="24"/>
                <w:rtl w:val="0"/>
              </w:rPr>
              <w:t>Outcome = 1</w:t>
            </w:r>
          </w:p>
        </w:tc>
      </w:tr>
      <w:tr w14:paraId="76340FC9">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B3">
            <w:pPr>
              <w:spacing w:before="20" w:after="20" w:line="264" w:lineRule="auto"/>
            </w:pPr>
            <w:r>
              <w:rPr>
                <w:sz w:val="24"/>
                <w:szCs w:val="24"/>
                <w:rtl w:val="0"/>
              </w:rPr>
              <w:t>Glucose</w:t>
            </w:r>
          </w:p>
        </w:tc>
        <w:tc>
          <w:tcPr>
            <w:tcBorders>
              <w:top w:val="single" w:color="000000" w:sz="6" w:space="0"/>
              <w:left w:val="single" w:color="000000" w:sz="6" w:space="0"/>
              <w:bottom w:val="single" w:color="000000" w:sz="6" w:space="0"/>
              <w:right w:val="single" w:color="000000" w:sz="6" w:space="0"/>
            </w:tcBorders>
            <w:vAlign w:val="center"/>
          </w:tcPr>
          <w:p w14:paraId="000000B4">
            <w:pPr>
              <w:spacing w:before="20" w:after="20" w:line="264" w:lineRule="auto"/>
            </w:pPr>
            <w:r>
              <w:rPr>
                <w:sz w:val="24"/>
                <w:szCs w:val="24"/>
                <w:rtl w:val="0"/>
              </w:rPr>
              <w:t>110,64</w:t>
            </w:r>
          </w:p>
        </w:tc>
        <w:tc>
          <w:tcPr>
            <w:tcBorders>
              <w:top w:val="single" w:color="000000" w:sz="6" w:space="0"/>
              <w:left w:val="single" w:color="000000" w:sz="6" w:space="0"/>
              <w:bottom w:val="single" w:color="000000" w:sz="6" w:space="0"/>
              <w:right w:val="single" w:color="000000" w:sz="6" w:space="0"/>
            </w:tcBorders>
            <w:vAlign w:val="center"/>
          </w:tcPr>
          <w:p w14:paraId="000000B5">
            <w:pPr>
              <w:spacing w:before="20" w:after="20" w:line="264" w:lineRule="auto"/>
            </w:pPr>
            <w:r>
              <w:rPr>
                <w:sz w:val="24"/>
                <w:szCs w:val="24"/>
                <w:rtl w:val="0"/>
              </w:rPr>
              <w:t>142,32</w:t>
            </w:r>
          </w:p>
        </w:tc>
      </w:tr>
      <w:tr w14:paraId="3ABC207E">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B6">
            <w:pPr>
              <w:spacing w:before="20" w:after="20" w:line="264" w:lineRule="auto"/>
            </w:pPr>
            <w:r>
              <w:rPr>
                <w:sz w:val="24"/>
                <w:szCs w:val="24"/>
                <w:rtl w:val="0"/>
              </w:rPr>
              <w:t>BMI</w:t>
            </w:r>
          </w:p>
        </w:tc>
        <w:tc>
          <w:tcPr>
            <w:tcBorders>
              <w:top w:val="single" w:color="000000" w:sz="6" w:space="0"/>
              <w:left w:val="single" w:color="000000" w:sz="6" w:space="0"/>
              <w:bottom w:val="single" w:color="000000" w:sz="6" w:space="0"/>
              <w:right w:val="single" w:color="000000" w:sz="6" w:space="0"/>
            </w:tcBorders>
            <w:vAlign w:val="center"/>
          </w:tcPr>
          <w:p w14:paraId="000000B7">
            <w:pPr>
              <w:spacing w:before="20" w:after="20" w:line="264" w:lineRule="auto"/>
            </w:pPr>
            <w:r>
              <w:rPr>
                <w:sz w:val="24"/>
                <w:szCs w:val="24"/>
                <w:rtl w:val="0"/>
              </w:rPr>
              <w:t>30,86</w:t>
            </w:r>
          </w:p>
        </w:tc>
        <w:tc>
          <w:tcPr>
            <w:tcBorders>
              <w:top w:val="single" w:color="000000" w:sz="6" w:space="0"/>
              <w:left w:val="single" w:color="000000" w:sz="6" w:space="0"/>
              <w:bottom w:val="single" w:color="000000" w:sz="6" w:space="0"/>
              <w:right w:val="single" w:color="000000" w:sz="6" w:space="0"/>
            </w:tcBorders>
            <w:vAlign w:val="center"/>
          </w:tcPr>
          <w:p w14:paraId="000000B8">
            <w:pPr>
              <w:spacing w:before="20" w:after="20" w:line="264" w:lineRule="auto"/>
            </w:pPr>
            <w:r>
              <w:rPr>
                <w:sz w:val="24"/>
                <w:szCs w:val="24"/>
                <w:rtl w:val="0"/>
              </w:rPr>
              <w:t>35,41</w:t>
            </w:r>
          </w:p>
        </w:tc>
      </w:tr>
      <w:tr w14:paraId="49A9B44F">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B9">
            <w:pPr>
              <w:spacing w:before="20" w:after="20" w:line="264" w:lineRule="auto"/>
            </w:pPr>
            <w:r>
              <w:rPr>
                <w:sz w:val="24"/>
                <w:szCs w:val="24"/>
                <w:rtl w:val="0"/>
              </w:rPr>
              <w:t>Insulin</w:t>
            </w:r>
          </w:p>
        </w:tc>
        <w:tc>
          <w:tcPr>
            <w:tcBorders>
              <w:top w:val="single" w:color="000000" w:sz="6" w:space="0"/>
              <w:left w:val="single" w:color="000000" w:sz="6" w:space="0"/>
              <w:bottom w:val="single" w:color="000000" w:sz="6" w:space="0"/>
              <w:right w:val="single" w:color="000000" w:sz="6" w:space="0"/>
            </w:tcBorders>
            <w:vAlign w:val="center"/>
          </w:tcPr>
          <w:p w14:paraId="000000BA">
            <w:pPr>
              <w:spacing w:before="20" w:after="20" w:line="264" w:lineRule="auto"/>
            </w:pPr>
            <w:r>
              <w:rPr>
                <w:sz w:val="24"/>
                <w:szCs w:val="24"/>
                <w:rtl w:val="0"/>
              </w:rPr>
              <w:t>130,29</w:t>
            </w:r>
          </w:p>
        </w:tc>
        <w:tc>
          <w:tcPr>
            <w:tcBorders>
              <w:top w:val="single" w:color="000000" w:sz="6" w:space="0"/>
              <w:left w:val="single" w:color="000000" w:sz="6" w:space="0"/>
              <w:bottom w:val="single" w:color="000000" w:sz="6" w:space="0"/>
              <w:right w:val="single" w:color="000000" w:sz="6" w:space="0"/>
            </w:tcBorders>
            <w:vAlign w:val="center"/>
          </w:tcPr>
          <w:p w14:paraId="000000BB">
            <w:pPr>
              <w:spacing w:before="20" w:after="20" w:line="264" w:lineRule="auto"/>
            </w:pPr>
            <w:r>
              <w:rPr>
                <w:sz w:val="24"/>
                <w:szCs w:val="24"/>
                <w:rtl w:val="0"/>
              </w:rPr>
              <w:t>206,85</w:t>
            </w:r>
          </w:p>
        </w:tc>
      </w:tr>
      <w:tr w14:paraId="327042F3">
        <w:tblPrEx>
          <w:tblCellMar>
            <w:top w:w="0" w:type="dxa"/>
            <w:left w:w="108" w:type="dxa"/>
            <w:bottom w:w="0" w:type="dxa"/>
            <w:right w:w="108" w:type="dxa"/>
          </w:tblCellMar>
        </w:tblPrEx>
        <w:trPr>
          <w:cantSplit/>
          <w:trHeight w:val="51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BC">
            <w:pPr>
              <w:spacing w:before="20" w:after="20" w:line="264" w:lineRule="auto"/>
            </w:pPr>
            <w:r>
              <w:rPr>
                <w:sz w:val="24"/>
                <w:szCs w:val="24"/>
                <w:rtl w:val="0"/>
              </w:rPr>
              <w:t>Age</w:t>
            </w:r>
          </w:p>
        </w:tc>
        <w:tc>
          <w:tcPr>
            <w:tcBorders>
              <w:top w:val="single" w:color="000000" w:sz="6" w:space="0"/>
              <w:left w:val="single" w:color="000000" w:sz="6" w:space="0"/>
              <w:bottom w:val="single" w:color="000000" w:sz="6" w:space="0"/>
              <w:right w:val="single" w:color="000000" w:sz="6" w:space="0"/>
            </w:tcBorders>
            <w:vAlign w:val="center"/>
          </w:tcPr>
          <w:p w14:paraId="000000BD">
            <w:pPr>
              <w:spacing w:before="20" w:after="20" w:line="264" w:lineRule="auto"/>
            </w:pPr>
            <w:r>
              <w:rPr>
                <w:sz w:val="24"/>
                <w:szCs w:val="24"/>
                <w:rtl w:val="0"/>
              </w:rPr>
              <w:t>31,19</w:t>
            </w:r>
          </w:p>
        </w:tc>
        <w:tc>
          <w:tcPr>
            <w:tcBorders>
              <w:top w:val="single" w:color="000000" w:sz="6" w:space="0"/>
              <w:left w:val="single" w:color="000000" w:sz="6" w:space="0"/>
              <w:bottom w:val="single" w:color="000000" w:sz="6" w:space="0"/>
              <w:right w:val="single" w:color="000000" w:sz="6" w:space="0"/>
            </w:tcBorders>
            <w:vAlign w:val="center"/>
          </w:tcPr>
          <w:p w14:paraId="000000BE">
            <w:pPr>
              <w:spacing w:before="20" w:after="20" w:line="264" w:lineRule="auto"/>
            </w:pPr>
            <w:r>
              <w:rPr>
                <w:sz w:val="24"/>
                <w:szCs w:val="24"/>
                <w:rtl w:val="0"/>
              </w:rPr>
              <w:t>37,07</w:t>
            </w:r>
          </w:p>
        </w:tc>
      </w:tr>
    </w:tbl>
    <w:p w14:paraId="000000BF">
      <w:pPr>
        <w:ind w:firstLine="567"/>
        <w:jc w:val="both"/>
      </w:pPr>
      <w:r>
        <w:rPr>
          <w:rtl w:val="0"/>
        </w:rPr>
        <w:t xml:space="preserve"> Nhóm Outcome=1 có trung bình Glucose, BMI và Age cao hơn nhóm Outcome=0. Riêng Insulin có nhiều giá trị thiếu nên trung bình chỉ phản ánh tập quan sát hợp lệ, không nên khái quát quá mức. Hệ số tương quan Glucose–Outcome khoảng 0,495 gợi ý đây là biến có liên hệ đáng chú ý với nhãn trong dữ liệu, nhưng không phải bằng chứng quan hệ nhân quả.</w:t>
      </w:r>
    </w:p>
    <w:p w14:paraId="000000C0">
      <w:pPr>
        <w:spacing w:before="40" w:after="60"/>
        <w:jc w:val="center"/>
      </w:pPr>
      <w:r>
        <w:rPr>
          <w:rtl w:val="0"/>
        </w:rPr>
        <w:t xml:space="preserve"> </w:t>
      </w:r>
      <w:r>
        <w:drawing>
          <wp:inline distT="0" distB="0" distL="0" distR="0">
            <wp:extent cx="5731510" cy="2844800"/>
            <wp:effectExtent l="0" t="0" r="0" b="0"/>
            <wp:docPr id="57" name="image13.png"/>
            <wp:cNvGraphicFramePr/>
            <a:graphic xmlns:a="http://schemas.openxmlformats.org/drawingml/2006/main">
              <a:graphicData uri="http://schemas.openxmlformats.org/drawingml/2006/picture">
                <pic:pic xmlns:pic="http://schemas.openxmlformats.org/drawingml/2006/picture">
                  <pic:nvPicPr>
                    <pic:cNvPr id="57" name="image13.png"/>
                    <pic:cNvPicPr preferRelativeResize="0"/>
                  </pic:nvPicPr>
                  <pic:blipFill>
                    <a:blip r:embed="rId14"/>
                    <a:srcRect/>
                    <a:stretch>
                      <a:fillRect/>
                    </a:stretch>
                  </pic:blipFill>
                  <pic:spPr>
                    <a:xfrm>
                      <a:off x="0" y="0"/>
                      <a:ext cx="5731510" cy="2844800"/>
                    </a:xfrm>
                    <a:prstGeom prst="rect">
                      <a:avLst/>
                    </a:prstGeom>
                  </pic:spPr>
                </pic:pic>
              </a:graphicData>
            </a:graphic>
          </wp:inline>
        </w:drawing>
      </w:r>
    </w:p>
    <w:p w14:paraId="000000C1">
      <w:pPr>
        <w:spacing w:before="80" w:after="100" w:line="276" w:lineRule="auto"/>
        <w:jc w:val="center"/>
        <w:rPr>
          <w:i/>
          <w:iCs/>
        </w:rPr>
      </w:pPr>
      <w:r>
        <w:rPr>
          <w:i/>
          <w:iCs/>
          <w:sz w:val="24"/>
          <w:szCs w:val="24"/>
          <w:rtl w:val="0"/>
        </w:rPr>
        <w:t>Hình 1.5. Boxplot một số đặc trưng sức khỏe</w:t>
      </w:r>
    </w:p>
    <w:p w14:paraId="000000C2">
      <w:pPr>
        <w:ind w:firstLine="567"/>
        <w:jc w:val="both"/>
      </w:pPr>
      <w:r>
        <w:rPr>
          <w:rtl w:val="0"/>
        </w:rPr>
        <w:t>Phân tích hình: Độ rộng và vị trí các hộp khác nhau giữa các đặc trưng, hỗ trợ phát hiện mức độ phân tán và quan sát ngoài râu hộp; cần đọc kết hợp với ý nghĩa của từng phép đo.</w:t>
      </w:r>
    </w:p>
    <w:p w14:paraId="000000C3">
      <w:pPr>
        <w:spacing w:before="20" w:after="100" w:line="324" w:lineRule="auto"/>
      </w:pPr>
      <w:r>
        <w:rPr>
          <w:sz w:val="24"/>
          <w:szCs w:val="24"/>
          <w:rtl w:val="0"/>
        </w:rPr>
        <w:t>Nguồn: PhanTichDuLieu2.ipynb.</w:t>
      </w:r>
    </w:p>
    <w:p w14:paraId="000000C4">
      <w:pPr>
        <w:spacing w:before="40" w:after="60"/>
        <w:jc w:val="center"/>
      </w:pPr>
      <w:r>
        <w:rPr>
          <w:rtl w:val="0"/>
        </w:rPr>
        <w:t xml:space="preserve"> </w:t>
      </w:r>
      <w:r>
        <w:drawing>
          <wp:inline distT="0" distB="0" distL="0" distR="0">
            <wp:extent cx="5731510" cy="5105400"/>
            <wp:effectExtent l="0" t="0" r="0" b="0"/>
            <wp:docPr id="56" name="image32.png"/>
            <wp:cNvGraphicFramePr/>
            <a:graphic xmlns:a="http://schemas.openxmlformats.org/drawingml/2006/main">
              <a:graphicData uri="http://schemas.openxmlformats.org/drawingml/2006/picture">
                <pic:pic xmlns:pic="http://schemas.openxmlformats.org/drawingml/2006/picture">
                  <pic:nvPicPr>
                    <pic:cNvPr id="56" name="image32.png"/>
                    <pic:cNvPicPr preferRelativeResize="0"/>
                  </pic:nvPicPr>
                  <pic:blipFill>
                    <a:blip r:embed="rId15"/>
                    <a:srcRect/>
                    <a:stretch>
                      <a:fillRect/>
                    </a:stretch>
                  </pic:blipFill>
                  <pic:spPr>
                    <a:xfrm>
                      <a:off x="0" y="0"/>
                      <a:ext cx="5731510" cy="5105400"/>
                    </a:xfrm>
                    <a:prstGeom prst="rect">
                      <a:avLst/>
                    </a:prstGeom>
                  </pic:spPr>
                </pic:pic>
              </a:graphicData>
            </a:graphic>
          </wp:inline>
        </w:drawing>
      </w:r>
    </w:p>
    <w:p w14:paraId="000000C5">
      <w:pPr>
        <w:spacing w:before="80" w:after="100" w:line="276" w:lineRule="auto"/>
        <w:jc w:val="center"/>
        <w:rPr>
          <w:i/>
          <w:iCs/>
        </w:rPr>
      </w:pPr>
      <w:r>
        <w:rPr>
          <w:i/>
          <w:iCs/>
          <w:sz w:val="24"/>
          <w:szCs w:val="24"/>
          <w:rtl w:val="0"/>
        </w:rPr>
        <w:t>Hình 1.6. Ma trận tương quan dữ liệu Diabetes</w:t>
      </w:r>
    </w:p>
    <w:p w14:paraId="000000C6">
      <w:pPr>
        <w:ind w:firstLine="567"/>
        <w:jc w:val="both"/>
      </w:pPr>
      <w:r>
        <w:rPr>
          <w:rtl w:val="0"/>
        </w:rPr>
        <w:t>Phân tích hình: Glucose có mức tương quan dương đáng chú ý với Outcome. Các tương quan khác cần được hiểu là quan hệ thống kê trên dữ liệu quan sát, không trực tiếp cho biết quan hệ nhân quả.</w:t>
      </w:r>
    </w:p>
    <w:p w14:paraId="000000C7">
      <w:pPr>
        <w:spacing w:before="20" w:after="100" w:line="324" w:lineRule="auto"/>
      </w:pPr>
      <w:r>
        <w:rPr>
          <w:sz w:val="24"/>
          <w:szCs w:val="24"/>
          <w:rtl w:val="0"/>
        </w:rPr>
        <w:t>Nguồn: PhanTichDuLieu2.ipynb.</w:t>
      </w:r>
    </w:p>
    <w:p w14:paraId="7B512CF0">
      <w:pPr>
        <w:pStyle w:val="4"/>
      </w:pPr>
      <w:bookmarkStart w:id="14" w:name="bookmark=id.c9iu976agczq" w:colFirst="0" w:colLast="0"/>
      <w:bookmarkEnd w:id="14"/>
      <w:bookmarkStart w:id="15" w:name="_Toc5009"/>
      <w:r>
        <w:t>1.1.6. Kết luận phần EDA</w:t>
      </w:r>
      <w:bookmarkEnd w:id="15"/>
    </w:p>
    <w:p w14:paraId="000000C9">
      <w:pPr>
        <w:ind w:firstLine="567"/>
        <w:jc w:val="both"/>
      </w:pPr>
      <w:r>
        <w:rPr>
          <w:rtl w:val="0"/>
        </w:rPr>
        <w:t>Bốn bài thực hành minh họa các thách thức khác nhau: COVID-19 có phân phối lệch và các dòng tổng hợp; Marketing Campaign có giá trị thiếu ở Income; Red Wine Quality có dòng trùng và phân bố nhãn tập trung; Diabetes có giá trị 0 không hợp lý và chênh lệch nhãn. Kết quả cho thấy EDA giúp xác định các lựa chọn tiền xử lý thích hợp trước khi xây dựng mô hình, đồng thời tránh diễn giải thiếu cơ sở từ giá trị trung bình hoặc accuracy đơn lẻ.</w:t>
      </w:r>
    </w:p>
    <w:p w14:paraId="79868F33">
      <w:pPr>
        <w:pStyle w:val="3"/>
      </w:pPr>
      <w:bookmarkStart w:id="16" w:name="bookmark=id.iymerm57103v" w:colFirst="0" w:colLast="0"/>
      <w:bookmarkEnd w:id="16"/>
      <w:bookmarkStart w:id="17" w:name="_Toc5010"/>
      <w:r>
        <w:t>1.2. Xử lý và trực quan hóa dữ liệu</w:t>
      </w:r>
      <w:bookmarkEnd w:id="17"/>
    </w:p>
    <w:p w14:paraId="48AB648C">
      <w:pPr>
        <w:pStyle w:val="4"/>
      </w:pPr>
      <w:bookmarkStart w:id="18" w:name="_Toc5011"/>
      <w:r>
        <w:t>1.2.1. Mục tiêu và phạm vi</w:t>
      </w:r>
      <w:bookmarkEnd w:id="18"/>
    </w:p>
    <w:p w14:paraId="000000CC">
      <w:pPr>
        <w:ind w:firstLine="567"/>
        <w:jc w:val="both"/>
      </w:pPr>
      <w:r>
        <w:rPr>
          <w:rtl w:val="0"/>
        </w:rPr>
        <w:t>Phần này thực hiện nội dung “Xử lý và trực quan hóa dữ liệu” của lab EDA: ôn lý thuyết về trực quan hóa, làm lại bài mẫu giá nhà Amsterdam bằng Matplotlib và Seaborn, sau đó áp dụng cho ba tập dữ liệu của bài tập: Red Wine Quality, Pima Indians Diabetes và Online Retail. Mọi biểu đồ và số liệu trong báo cáo đều được lấy từ kết quả đã chạy trong notebook.</w:t>
      </w:r>
    </w:p>
    <w:p w14:paraId="000000CD">
      <w:pPr>
        <w:spacing w:before="80" w:after="100" w:line="276" w:lineRule="auto"/>
        <w:jc w:val="center"/>
        <w:rPr>
          <w:i/>
          <w:iCs/>
        </w:rPr>
      </w:pPr>
      <w:r>
        <w:rPr>
          <w:i/>
          <w:iCs/>
          <w:sz w:val="24"/>
          <w:szCs w:val="24"/>
          <w:rtl w:val="0"/>
        </w:rPr>
        <w:t>Bảng 1.2.1 – Các tập dữ liệu sử dụng trong mục 1.2</w:t>
      </w:r>
    </w:p>
    <w:tbl>
      <w:tblPr>
        <w:tblStyle w:val="36"/>
        <w:tblW w:w="9015" w:type="dxa"/>
        <w:jc w:val="center"/>
        <w:tblLayout w:type="fixed"/>
        <w:tblCellMar>
          <w:top w:w="60" w:type="dxa"/>
          <w:left w:w="100" w:type="dxa"/>
          <w:bottom w:w="60" w:type="dxa"/>
          <w:right w:w="100" w:type="dxa"/>
        </w:tblCellMar>
      </w:tblPr>
      <w:tblGrid>
        <w:gridCol w:w="2205"/>
        <w:gridCol w:w="2069"/>
        <w:gridCol w:w="4741"/>
      </w:tblGrid>
      <w:tr w14:paraId="30FD5E4A">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CE">
            <w:pPr>
              <w:spacing w:before="20" w:after="20" w:line="264" w:lineRule="auto"/>
              <w:jc w:val="both"/>
              <w:rPr>
                <w:b/>
                <w:bCs/>
              </w:rPr>
            </w:pPr>
            <w:r>
              <w:rPr>
                <w:b/>
                <w:bCs/>
                <w:sz w:val="24"/>
                <w:szCs w:val="24"/>
                <w:rtl w:val="0"/>
              </w:rPr>
              <w:t>Tập dữ liệu</w:t>
            </w:r>
          </w:p>
        </w:tc>
        <w:tc>
          <w:tcPr>
            <w:tcBorders>
              <w:top w:val="single" w:color="000000" w:sz="6" w:space="0"/>
              <w:left w:val="single" w:color="000000" w:sz="6" w:space="0"/>
              <w:bottom w:val="single" w:color="000000" w:sz="6" w:space="0"/>
              <w:right w:val="single" w:color="000000" w:sz="6" w:space="0"/>
            </w:tcBorders>
            <w:vAlign w:val="center"/>
          </w:tcPr>
          <w:p w14:paraId="000000CF">
            <w:pPr>
              <w:spacing w:before="20" w:after="20" w:line="264" w:lineRule="auto"/>
              <w:jc w:val="both"/>
              <w:rPr>
                <w:b/>
                <w:bCs/>
              </w:rPr>
            </w:pPr>
            <w:r>
              <w:rPr>
                <w:b/>
                <w:bCs/>
                <w:sz w:val="24"/>
                <w:szCs w:val="24"/>
                <w:rtl w:val="0"/>
              </w:rPr>
              <w:t>Kích thước</w:t>
            </w:r>
          </w:p>
        </w:tc>
        <w:tc>
          <w:tcPr>
            <w:tcBorders>
              <w:top w:val="single" w:color="000000" w:sz="6" w:space="0"/>
              <w:left w:val="single" w:color="000000" w:sz="6" w:space="0"/>
              <w:bottom w:val="single" w:color="000000" w:sz="6" w:space="0"/>
              <w:right w:val="single" w:color="000000" w:sz="6" w:space="0"/>
            </w:tcBorders>
            <w:vAlign w:val="center"/>
          </w:tcPr>
          <w:p w14:paraId="000000D0">
            <w:pPr>
              <w:spacing w:before="20" w:after="20" w:line="264" w:lineRule="auto"/>
              <w:jc w:val="both"/>
              <w:rPr>
                <w:b/>
                <w:bCs/>
              </w:rPr>
            </w:pPr>
            <w:r>
              <w:rPr>
                <w:b/>
                <w:bCs/>
                <w:sz w:val="24"/>
                <w:szCs w:val="24"/>
                <w:rtl w:val="0"/>
              </w:rPr>
              <w:t>Nội dung thực hiện</w:t>
            </w:r>
          </w:p>
        </w:tc>
      </w:tr>
      <w:tr w14:paraId="0D76A3FB">
        <w:tblPrEx>
          <w:tblCellMar>
            <w:top w:w="60" w:type="dxa"/>
            <w:left w:w="100" w:type="dxa"/>
            <w:bottom w:w="60" w:type="dxa"/>
            <w:right w:w="100" w:type="dxa"/>
          </w:tblCellMar>
        </w:tblPrEx>
        <w:trPr>
          <w:cantSplit/>
          <w:trHeight w:val="94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D1">
            <w:pPr>
              <w:spacing w:before="20" w:after="20" w:line="264" w:lineRule="auto"/>
              <w:jc w:val="both"/>
            </w:pPr>
            <w:r>
              <w:rPr>
                <w:sz w:val="24"/>
                <w:szCs w:val="24"/>
                <w:rtl w:val="0"/>
              </w:rPr>
              <w:t>Giá nhà Amsterdam</w:t>
            </w:r>
          </w:p>
        </w:tc>
        <w:tc>
          <w:tcPr>
            <w:tcBorders>
              <w:top w:val="single" w:color="000000" w:sz="6" w:space="0"/>
              <w:left w:val="single" w:color="000000" w:sz="6" w:space="0"/>
              <w:bottom w:val="single" w:color="000000" w:sz="6" w:space="0"/>
              <w:right w:val="single" w:color="000000" w:sz="6" w:space="0"/>
            </w:tcBorders>
            <w:vAlign w:val="center"/>
          </w:tcPr>
          <w:p w14:paraId="000000D2">
            <w:pPr>
              <w:spacing w:before="20" w:after="20" w:line="264" w:lineRule="auto"/>
              <w:jc w:val="both"/>
            </w:pPr>
            <w:r>
              <w:rPr>
                <w:sz w:val="24"/>
                <w:szCs w:val="24"/>
                <w:rtl w:val="0"/>
              </w:rPr>
              <w:t>924 dòng</w:t>
            </w:r>
          </w:p>
        </w:tc>
        <w:tc>
          <w:tcPr>
            <w:tcBorders>
              <w:top w:val="single" w:color="000000" w:sz="6" w:space="0"/>
              <w:left w:val="single" w:color="000000" w:sz="6" w:space="0"/>
              <w:bottom w:val="single" w:color="000000" w:sz="6" w:space="0"/>
              <w:right w:val="single" w:color="000000" w:sz="6" w:space="0"/>
            </w:tcBorders>
            <w:vAlign w:val="center"/>
          </w:tcPr>
          <w:p w14:paraId="000000D3">
            <w:pPr>
              <w:spacing w:before="20" w:after="20" w:line="264" w:lineRule="auto"/>
              <w:jc w:val="both"/>
            </w:pPr>
            <w:r>
              <w:rPr>
                <w:sz w:val="24"/>
                <w:szCs w:val="24"/>
                <w:rtl w:val="0"/>
              </w:rPr>
              <w:t>Bài mẫu: cột Zip, Price, Area, Room và biến mới PriceperSqm, biểu đồ cột bằng Matplotlib và Seaborn</w:t>
            </w:r>
          </w:p>
        </w:tc>
      </w:tr>
      <w:tr w14:paraId="148CD2CE">
        <w:tblPrEx>
          <w:tblCellMar>
            <w:top w:w="60" w:type="dxa"/>
            <w:left w:w="100" w:type="dxa"/>
            <w:bottom w:w="60" w:type="dxa"/>
            <w:right w:w="100" w:type="dxa"/>
          </w:tblCellMar>
        </w:tblPrEx>
        <w:trPr>
          <w:cantSplit/>
          <w:trHeight w:val="67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D4">
            <w:pPr>
              <w:spacing w:before="20" w:after="20" w:line="264" w:lineRule="auto"/>
              <w:jc w:val="both"/>
            </w:pPr>
            <w:r>
              <w:rPr>
                <w:sz w:val="24"/>
                <w:szCs w:val="24"/>
                <w:rtl w:val="0"/>
              </w:rPr>
              <w:t>Red Wine Quality</w:t>
            </w:r>
          </w:p>
        </w:tc>
        <w:tc>
          <w:tcPr>
            <w:tcBorders>
              <w:top w:val="single" w:color="000000" w:sz="6" w:space="0"/>
              <w:left w:val="single" w:color="000000" w:sz="6" w:space="0"/>
              <w:bottom w:val="single" w:color="000000" w:sz="6" w:space="0"/>
              <w:right w:val="single" w:color="000000" w:sz="6" w:space="0"/>
            </w:tcBorders>
            <w:vAlign w:val="center"/>
          </w:tcPr>
          <w:p w14:paraId="000000D5">
            <w:pPr>
              <w:spacing w:before="20" w:after="20" w:line="264" w:lineRule="auto"/>
              <w:jc w:val="both"/>
            </w:pPr>
            <w:r>
              <w:rPr>
                <w:sz w:val="24"/>
                <w:szCs w:val="24"/>
                <w:rtl w:val="0"/>
              </w:rPr>
              <w:t>1.599 dòng × 12 cột</w:t>
            </w:r>
          </w:p>
        </w:tc>
        <w:tc>
          <w:tcPr>
            <w:tcBorders>
              <w:top w:val="single" w:color="000000" w:sz="6" w:space="0"/>
              <w:left w:val="single" w:color="000000" w:sz="6" w:space="0"/>
              <w:bottom w:val="single" w:color="000000" w:sz="6" w:space="0"/>
              <w:right w:val="single" w:color="000000" w:sz="6" w:space="0"/>
            </w:tcBorders>
            <w:vAlign w:val="center"/>
          </w:tcPr>
          <w:p w14:paraId="000000D6">
            <w:pPr>
              <w:spacing w:before="20" w:after="20" w:line="264" w:lineRule="auto"/>
              <w:jc w:val="both"/>
            </w:pPr>
            <w:r>
              <w:rPr>
                <w:sz w:val="24"/>
                <w:szCs w:val="24"/>
                <w:rtl w:val="0"/>
              </w:rPr>
              <w:t>Bài tập 1: phân bố, boxplot theo quality, ma trận tương quan, scatter plot</w:t>
            </w:r>
          </w:p>
        </w:tc>
      </w:tr>
      <w:tr w14:paraId="5E34B8DA">
        <w:tblPrEx>
          <w:tblCellMar>
            <w:top w:w="60" w:type="dxa"/>
            <w:left w:w="100" w:type="dxa"/>
            <w:bottom w:w="60" w:type="dxa"/>
            <w:right w:w="100" w:type="dxa"/>
          </w:tblCellMar>
        </w:tblPrEx>
        <w:trPr>
          <w:cantSplit/>
          <w:trHeight w:val="67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D7">
            <w:pPr>
              <w:spacing w:before="20" w:after="20" w:line="264" w:lineRule="auto"/>
              <w:jc w:val="both"/>
            </w:pPr>
            <w:r>
              <w:rPr>
                <w:sz w:val="24"/>
                <w:szCs w:val="24"/>
                <w:rtl w:val="0"/>
              </w:rPr>
              <w:t>Pima Indians Diabetes</w:t>
            </w:r>
          </w:p>
        </w:tc>
        <w:tc>
          <w:tcPr>
            <w:tcBorders>
              <w:top w:val="single" w:color="000000" w:sz="6" w:space="0"/>
              <w:left w:val="single" w:color="000000" w:sz="6" w:space="0"/>
              <w:bottom w:val="single" w:color="000000" w:sz="6" w:space="0"/>
              <w:right w:val="single" w:color="000000" w:sz="6" w:space="0"/>
            </w:tcBorders>
            <w:vAlign w:val="center"/>
          </w:tcPr>
          <w:p w14:paraId="000000D8">
            <w:pPr>
              <w:spacing w:before="20" w:after="20" w:line="264" w:lineRule="auto"/>
              <w:jc w:val="both"/>
            </w:pPr>
            <w:r>
              <w:rPr>
                <w:sz w:val="24"/>
                <w:szCs w:val="24"/>
                <w:rtl w:val="0"/>
              </w:rPr>
              <w:t>768 dòng × 9 cột</w:t>
            </w:r>
          </w:p>
        </w:tc>
        <w:tc>
          <w:tcPr>
            <w:tcBorders>
              <w:top w:val="single" w:color="000000" w:sz="6" w:space="0"/>
              <w:left w:val="single" w:color="000000" w:sz="6" w:space="0"/>
              <w:bottom w:val="single" w:color="000000" w:sz="6" w:space="0"/>
              <w:right w:val="single" w:color="000000" w:sz="6" w:space="0"/>
            </w:tcBorders>
            <w:vAlign w:val="center"/>
          </w:tcPr>
          <w:p w14:paraId="000000D9">
            <w:pPr>
              <w:spacing w:before="20" w:after="20" w:line="264" w:lineRule="auto"/>
              <w:jc w:val="both"/>
            </w:pPr>
            <w:r>
              <w:rPr>
                <w:sz w:val="24"/>
                <w:szCs w:val="24"/>
                <w:rtl w:val="0"/>
              </w:rPr>
              <w:t>Bài tập 2: xử lý giá trị 0 như dữ liệu thiếu, phân bố, so sánh theo Outcome, tỷ lệ mắc bệnh theo nhóm</w:t>
            </w:r>
          </w:p>
        </w:tc>
      </w:tr>
      <w:tr w14:paraId="4A2D5AFB">
        <w:tblPrEx>
          <w:tblCellMar>
            <w:top w:w="60" w:type="dxa"/>
            <w:left w:w="100" w:type="dxa"/>
            <w:bottom w:w="60" w:type="dxa"/>
            <w:right w:w="100" w:type="dxa"/>
          </w:tblCellMar>
        </w:tblPrEx>
        <w:trPr>
          <w:cantSplit/>
          <w:trHeight w:val="67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DA">
            <w:pPr>
              <w:spacing w:before="20" w:after="20" w:line="264" w:lineRule="auto"/>
              <w:jc w:val="both"/>
            </w:pPr>
            <w:r>
              <w:rPr>
                <w:sz w:val="24"/>
                <w:szCs w:val="24"/>
                <w:rtl w:val="0"/>
              </w:rPr>
              <w:t>Online Retail</w:t>
            </w:r>
          </w:p>
        </w:tc>
        <w:tc>
          <w:tcPr>
            <w:tcBorders>
              <w:top w:val="single" w:color="000000" w:sz="6" w:space="0"/>
              <w:left w:val="single" w:color="000000" w:sz="6" w:space="0"/>
              <w:bottom w:val="single" w:color="000000" w:sz="6" w:space="0"/>
              <w:right w:val="single" w:color="000000" w:sz="6" w:space="0"/>
            </w:tcBorders>
            <w:vAlign w:val="center"/>
          </w:tcPr>
          <w:p w14:paraId="000000DB">
            <w:pPr>
              <w:spacing w:before="20" w:after="20" w:line="264" w:lineRule="auto"/>
              <w:jc w:val="both"/>
            </w:pPr>
            <w:r>
              <w:rPr>
                <w:sz w:val="24"/>
                <w:szCs w:val="24"/>
                <w:rtl w:val="0"/>
              </w:rPr>
              <w:t>541.909 dòng × 8 cột</w:t>
            </w:r>
          </w:p>
        </w:tc>
        <w:tc>
          <w:tcPr>
            <w:tcBorders>
              <w:top w:val="single" w:color="000000" w:sz="6" w:space="0"/>
              <w:left w:val="single" w:color="000000" w:sz="6" w:space="0"/>
              <w:bottom w:val="single" w:color="000000" w:sz="6" w:space="0"/>
              <w:right w:val="single" w:color="000000" w:sz="6" w:space="0"/>
            </w:tcBorders>
            <w:vAlign w:val="center"/>
          </w:tcPr>
          <w:p w14:paraId="000000DC">
            <w:pPr>
              <w:spacing w:before="20" w:after="20" w:line="264" w:lineRule="auto"/>
              <w:jc w:val="both"/>
            </w:pPr>
            <w:r>
              <w:rPr>
                <w:sz w:val="24"/>
                <w:szCs w:val="24"/>
                <w:rtl w:val="0"/>
              </w:rPr>
              <w:t>Bài tập 2 (tiếp): làm sạch, thống kê theo quốc gia, thời gian, sản phẩm</w:t>
            </w:r>
          </w:p>
        </w:tc>
      </w:tr>
    </w:tbl>
    <w:p w14:paraId="4C75F4F5">
      <w:pPr>
        <w:pStyle w:val="4"/>
      </w:pPr>
      <w:bookmarkStart w:id="19" w:name="_Toc5012"/>
      <w:r>
        <w:t>1.2.2. Ôn tập lý thuyết</w:t>
      </w:r>
      <w:bookmarkEnd w:id="19"/>
    </w:p>
    <w:p w14:paraId="000000D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 Vai trò của trực quan hóa trong phân tích dữ liệu</w:t>
      </w:r>
    </w:p>
    <w:p w14:paraId="000000DF">
      <w:pPr>
        <w:ind w:firstLine="567"/>
        <w:jc w:val="both"/>
      </w:pPr>
      <w:r>
        <w:rPr>
          <w:rtl w:val="0"/>
        </w:rPr>
        <w:t>Trực quan hóa biến bảng số thành hình ảnh để người phân tích nhận ra nhanh hình dạng phân bố, các nhóm, xu hướng, giá trị ngoại lai và quan hệ giữa các biến. Trong EDA, đây là bước giúp phát hiện vấn đề của dữ liệu trước khi tiền xử lý hoặc xây dựng mô hình. Ví dụ, ở tập Pima, biểu đồ tỷ lệ giá trị 0 cho thấy ngay 48,7% giá trị của cột Insulin là 0 (Hình 1.2.11), điều mà bảng thống kê trung bình hay độ lệch chuẩn dễ che mất.</w:t>
      </w:r>
    </w:p>
    <w:p w14:paraId="000000E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b/ Các loại biểu đồ phổ biến và cách chọn biểu đồ</w:t>
      </w:r>
    </w:p>
    <w:tbl>
      <w:tblPr>
        <w:tblStyle w:val="37"/>
        <w:tblW w:w="9015" w:type="dxa"/>
        <w:jc w:val="center"/>
        <w:tblLayout w:type="fixed"/>
        <w:tblCellMar>
          <w:top w:w="60" w:type="dxa"/>
          <w:left w:w="100" w:type="dxa"/>
          <w:bottom w:w="60" w:type="dxa"/>
          <w:right w:w="100" w:type="dxa"/>
        </w:tblCellMar>
      </w:tblPr>
      <w:tblGrid>
        <w:gridCol w:w="2609"/>
        <w:gridCol w:w="2926"/>
        <w:gridCol w:w="3480"/>
      </w:tblGrid>
      <w:tr w14:paraId="40EAAD0E">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E1">
            <w:pPr>
              <w:spacing w:before="20" w:after="20" w:line="264" w:lineRule="auto"/>
              <w:jc w:val="both"/>
              <w:rPr>
                <w:b/>
                <w:bCs/>
              </w:rPr>
            </w:pPr>
            <w:r>
              <w:rPr>
                <w:b/>
                <w:bCs/>
                <w:sz w:val="24"/>
                <w:szCs w:val="24"/>
                <w:rtl w:val="0"/>
              </w:rPr>
              <w:t>Tình huống</w:t>
            </w:r>
          </w:p>
        </w:tc>
        <w:tc>
          <w:tcPr>
            <w:tcBorders>
              <w:top w:val="single" w:color="000000" w:sz="6" w:space="0"/>
              <w:left w:val="single" w:color="000000" w:sz="6" w:space="0"/>
              <w:bottom w:val="single" w:color="000000" w:sz="6" w:space="0"/>
              <w:right w:val="single" w:color="000000" w:sz="6" w:space="0"/>
            </w:tcBorders>
            <w:vAlign w:val="center"/>
          </w:tcPr>
          <w:p w14:paraId="000000E2">
            <w:pPr>
              <w:spacing w:before="20" w:after="20" w:line="264" w:lineRule="auto"/>
              <w:jc w:val="both"/>
              <w:rPr>
                <w:b/>
                <w:bCs/>
              </w:rPr>
            </w:pPr>
            <w:r>
              <w:rPr>
                <w:b/>
                <w:bCs/>
                <w:sz w:val="24"/>
                <w:szCs w:val="24"/>
                <w:rtl w:val="0"/>
              </w:rPr>
              <w:t>Biểu đồ phù hợp</w:t>
            </w:r>
          </w:p>
        </w:tc>
        <w:tc>
          <w:tcPr>
            <w:tcBorders>
              <w:top w:val="single" w:color="000000" w:sz="6" w:space="0"/>
              <w:left w:val="single" w:color="000000" w:sz="6" w:space="0"/>
              <w:bottom w:val="single" w:color="000000" w:sz="6" w:space="0"/>
              <w:right w:val="single" w:color="000000" w:sz="6" w:space="0"/>
            </w:tcBorders>
            <w:vAlign w:val="center"/>
          </w:tcPr>
          <w:p w14:paraId="000000E3">
            <w:pPr>
              <w:spacing w:before="20" w:after="20" w:line="264" w:lineRule="auto"/>
              <w:jc w:val="both"/>
              <w:rPr>
                <w:b/>
                <w:bCs/>
              </w:rPr>
            </w:pPr>
            <w:r>
              <w:rPr>
                <w:b/>
                <w:bCs/>
                <w:sz w:val="24"/>
                <w:szCs w:val="24"/>
                <w:rtl w:val="0"/>
              </w:rPr>
              <w:t>Ví dụ trong bài</w:t>
            </w:r>
          </w:p>
        </w:tc>
      </w:tr>
      <w:tr w14:paraId="21BA1581">
        <w:tblPrEx>
          <w:tblCellMar>
            <w:top w:w="60" w:type="dxa"/>
            <w:left w:w="100" w:type="dxa"/>
            <w:bottom w:w="60" w:type="dxa"/>
            <w:right w:w="100" w:type="dxa"/>
          </w:tblCellMar>
        </w:tblPrEx>
        <w:trPr>
          <w:cantSplit/>
          <w:trHeight w:val="67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E4">
            <w:pPr>
              <w:spacing w:before="20" w:after="20" w:line="264" w:lineRule="auto"/>
              <w:jc w:val="both"/>
            </w:pPr>
            <w:r>
              <w:rPr>
                <w:sz w:val="24"/>
                <w:szCs w:val="24"/>
                <w:rtl w:val="0"/>
              </w:rPr>
              <w:t>Một biến số: xem phân bố</w:t>
            </w:r>
          </w:p>
        </w:tc>
        <w:tc>
          <w:tcPr>
            <w:tcBorders>
              <w:top w:val="single" w:color="000000" w:sz="6" w:space="0"/>
              <w:left w:val="single" w:color="000000" w:sz="6" w:space="0"/>
              <w:bottom w:val="single" w:color="000000" w:sz="6" w:space="0"/>
              <w:right w:val="single" w:color="000000" w:sz="6" w:space="0"/>
            </w:tcBorders>
            <w:vAlign w:val="center"/>
          </w:tcPr>
          <w:p w14:paraId="000000E5">
            <w:pPr>
              <w:spacing w:before="20" w:after="20" w:line="264" w:lineRule="auto"/>
              <w:jc w:val="both"/>
            </w:pPr>
            <w:r>
              <w:rPr>
                <w:sz w:val="24"/>
                <w:szCs w:val="24"/>
                <w:rtl w:val="0"/>
              </w:rPr>
              <w:t>Histogram, boxplot, violin</w:t>
            </w:r>
          </w:p>
        </w:tc>
        <w:tc>
          <w:tcPr>
            <w:tcBorders>
              <w:top w:val="single" w:color="000000" w:sz="6" w:space="0"/>
              <w:left w:val="single" w:color="000000" w:sz="6" w:space="0"/>
              <w:bottom w:val="single" w:color="000000" w:sz="6" w:space="0"/>
              <w:right w:val="single" w:color="000000" w:sz="6" w:space="0"/>
            </w:tcBorders>
            <w:vAlign w:val="center"/>
          </w:tcPr>
          <w:p w14:paraId="000000E6">
            <w:pPr>
              <w:spacing w:before="20" w:after="20" w:line="264" w:lineRule="auto"/>
              <w:jc w:val="both"/>
            </w:pPr>
            <w:r>
              <w:rPr>
                <w:sz w:val="24"/>
                <w:szCs w:val="24"/>
                <w:rtl w:val="0"/>
              </w:rPr>
              <w:t>Histogram của alcohol, boxplot của Price</w:t>
            </w:r>
          </w:p>
        </w:tc>
      </w:tr>
      <w:tr w14:paraId="47D35AD6">
        <w:tblPrEx>
          <w:tblCellMar>
            <w:top w:w="60" w:type="dxa"/>
            <w:left w:w="100" w:type="dxa"/>
            <w:bottom w:w="60" w:type="dxa"/>
            <w:right w:w="100" w:type="dxa"/>
          </w:tblCellMar>
        </w:tblPrEx>
        <w:trPr>
          <w:cantSplit/>
          <w:trHeight w:val="67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E7">
            <w:pPr>
              <w:spacing w:before="20" w:after="20" w:line="264" w:lineRule="auto"/>
              <w:jc w:val="both"/>
            </w:pPr>
            <w:r>
              <w:rPr>
                <w:sz w:val="24"/>
                <w:szCs w:val="24"/>
                <w:rtl w:val="0"/>
              </w:rPr>
              <w:t>Một biến phân loại: đếm số lượng</w:t>
            </w:r>
          </w:p>
        </w:tc>
        <w:tc>
          <w:tcPr>
            <w:tcBorders>
              <w:top w:val="single" w:color="000000" w:sz="6" w:space="0"/>
              <w:left w:val="single" w:color="000000" w:sz="6" w:space="0"/>
              <w:bottom w:val="single" w:color="000000" w:sz="6" w:space="0"/>
              <w:right w:val="single" w:color="000000" w:sz="6" w:space="0"/>
            </w:tcBorders>
            <w:vAlign w:val="center"/>
          </w:tcPr>
          <w:p w14:paraId="000000E8">
            <w:pPr>
              <w:spacing w:before="20" w:after="20" w:line="264" w:lineRule="auto"/>
              <w:jc w:val="both"/>
            </w:pPr>
            <w:r>
              <w:rPr>
                <w:sz w:val="24"/>
                <w:szCs w:val="24"/>
                <w:rtl w:val="0"/>
              </w:rPr>
              <w:t>Bar chart, pie chỉ khi ít nhóm</w:t>
            </w:r>
          </w:p>
        </w:tc>
        <w:tc>
          <w:tcPr>
            <w:tcBorders>
              <w:top w:val="single" w:color="000000" w:sz="6" w:space="0"/>
              <w:left w:val="single" w:color="000000" w:sz="6" w:space="0"/>
              <w:bottom w:val="single" w:color="000000" w:sz="6" w:space="0"/>
              <w:right w:val="single" w:color="000000" w:sz="6" w:space="0"/>
            </w:tcBorders>
            <w:vAlign w:val="center"/>
          </w:tcPr>
          <w:p w14:paraId="000000E9">
            <w:pPr>
              <w:spacing w:before="20" w:after="20" w:line="264" w:lineRule="auto"/>
              <w:jc w:val="both"/>
            </w:pPr>
            <w:r>
              <w:rPr>
                <w:sz w:val="24"/>
                <w:szCs w:val="24"/>
                <w:rtl w:val="0"/>
              </w:rPr>
              <w:t>Số mẫu theo quality, số mẫu theo Outcome</w:t>
            </w:r>
          </w:p>
        </w:tc>
      </w:tr>
      <w:tr w14:paraId="74C5938E">
        <w:tblPrEx>
          <w:tblCellMar>
            <w:top w:w="60" w:type="dxa"/>
            <w:left w:w="100" w:type="dxa"/>
            <w:bottom w:w="60" w:type="dxa"/>
            <w:right w:w="100" w:type="dxa"/>
          </w:tblCellMar>
        </w:tblPrEx>
        <w:trPr>
          <w:cantSplit/>
          <w:trHeight w:val="67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EA">
            <w:pPr>
              <w:spacing w:before="20" w:after="20" w:line="264" w:lineRule="auto"/>
              <w:jc w:val="both"/>
            </w:pPr>
            <w:r>
              <w:rPr>
                <w:sz w:val="24"/>
                <w:szCs w:val="24"/>
                <w:rtl w:val="0"/>
              </w:rPr>
              <w:t>Biến số theo biến phân loại</w:t>
            </w:r>
          </w:p>
        </w:tc>
        <w:tc>
          <w:tcPr>
            <w:tcBorders>
              <w:top w:val="single" w:color="000000" w:sz="6" w:space="0"/>
              <w:left w:val="single" w:color="000000" w:sz="6" w:space="0"/>
              <w:bottom w:val="single" w:color="000000" w:sz="6" w:space="0"/>
              <w:right w:val="single" w:color="000000" w:sz="6" w:space="0"/>
            </w:tcBorders>
            <w:vAlign w:val="center"/>
          </w:tcPr>
          <w:p w14:paraId="000000EB">
            <w:pPr>
              <w:spacing w:before="20" w:after="20" w:line="264" w:lineRule="auto"/>
              <w:jc w:val="both"/>
            </w:pPr>
            <w:r>
              <w:rPr>
                <w:sz w:val="24"/>
                <w:szCs w:val="24"/>
                <w:rtl w:val="0"/>
              </w:rPr>
              <w:t>Boxplot / violin theo nhóm, bar chart của giá trị trung bình</w:t>
            </w:r>
          </w:p>
        </w:tc>
        <w:tc>
          <w:tcPr>
            <w:tcBorders>
              <w:top w:val="single" w:color="000000" w:sz="6" w:space="0"/>
              <w:left w:val="single" w:color="000000" w:sz="6" w:space="0"/>
              <w:bottom w:val="single" w:color="000000" w:sz="6" w:space="0"/>
              <w:right w:val="single" w:color="000000" w:sz="6" w:space="0"/>
            </w:tcBorders>
            <w:vAlign w:val="center"/>
          </w:tcPr>
          <w:p w14:paraId="000000EC">
            <w:pPr>
              <w:spacing w:before="20" w:after="20" w:line="264" w:lineRule="auto"/>
              <w:jc w:val="both"/>
            </w:pPr>
            <w:r>
              <w:rPr>
                <w:sz w:val="24"/>
                <w:szCs w:val="24"/>
                <w:rtl w:val="0"/>
              </w:rPr>
              <w:t>alcohol theo quality, Glucose theo Outcome</w:t>
            </w:r>
          </w:p>
        </w:tc>
      </w:tr>
      <w:tr w14:paraId="10683576">
        <w:tblPrEx>
          <w:tblCellMar>
            <w:top w:w="60" w:type="dxa"/>
            <w:left w:w="100" w:type="dxa"/>
            <w:bottom w:w="60" w:type="dxa"/>
            <w:right w:w="100" w:type="dxa"/>
          </w:tblCellMar>
        </w:tblPrEx>
        <w:trPr>
          <w:cantSplit/>
          <w:trHeight w:val="67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ED">
            <w:pPr>
              <w:spacing w:before="20" w:after="20" w:line="264" w:lineRule="auto"/>
              <w:jc w:val="both"/>
            </w:pPr>
            <w:r>
              <w:rPr>
                <w:sz w:val="24"/>
                <w:szCs w:val="24"/>
                <w:rtl w:val="0"/>
              </w:rPr>
              <w:t>Hai biến số: xem quan hệ</w:t>
            </w:r>
          </w:p>
        </w:tc>
        <w:tc>
          <w:tcPr>
            <w:tcBorders>
              <w:top w:val="single" w:color="000000" w:sz="6" w:space="0"/>
              <w:left w:val="single" w:color="000000" w:sz="6" w:space="0"/>
              <w:bottom w:val="single" w:color="000000" w:sz="6" w:space="0"/>
              <w:right w:val="single" w:color="000000" w:sz="6" w:space="0"/>
            </w:tcBorders>
            <w:vAlign w:val="center"/>
          </w:tcPr>
          <w:p w14:paraId="000000EE">
            <w:pPr>
              <w:spacing w:before="20" w:after="20" w:line="264" w:lineRule="auto"/>
              <w:jc w:val="both"/>
            </w:pPr>
            <w:r>
              <w:rPr>
                <w:sz w:val="24"/>
                <w:szCs w:val="24"/>
                <w:rtl w:val="0"/>
              </w:rPr>
              <w:t>Scatter plot, heatmap tương quan</w:t>
            </w:r>
          </w:p>
        </w:tc>
        <w:tc>
          <w:tcPr>
            <w:tcBorders>
              <w:top w:val="single" w:color="000000" w:sz="6" w:space="0"/>
              <w:left w:val="single" w:color="000000" w:sz="6" w:space="0"/>
              <w:bottom w:val="single" w:color="000000" w:sz="6" w:space="0"/>
              <w:right w:val="single" w:color="000000" w:sz="6" w:space="0"/>
            </w:tcBorders>
            <w:vAlign w:val="center"/>
          </w:tcPr>
          <w:p w14:paraId="000000EF">
            <w:pPr>
              <w:spacing w:before="20" w:after="20" w:line="264" w:lineRule="auto"/>
              <w:jc w:val="both"/>
            </w:pPr>
            <w:r>
              <w:rPr>
                <w:sz w:val="24"/>
                <w:szCs w:val="24"/>
                <w:rtl w:val="0"/>
              </w:rPr>
              <w:t>alcohol và volatile acidity, ma trận tương quan</w:t>
            </w:r>
          </w:p>
        </w:tc>
      </w:tr>
      <w:tr w14:paraId="38940F09">
        <w:tblPrEx>
          <w:tblCellMar>
            <w:top w:w="60" w:type="dxa"/>
            <w:left w:w="100" w:type="dxa"/>
            <w:bottom w:w="60" w:type="dxa"/>
            <w:right w:w="100" w:type="dxa"/>
          </w:tblCellMar>
        </w:tblPrEx>
        <w:trPr>
          <w:cantSplit/>
          <w:trHeight w:val="67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F0">
            <w:pPr>
              <w:spacing w:before="20" w:after="20" w:line="264" w:lineRule="auto"/>
              <w:jc w:val="both"/>
            </w:pPr>
            <w:r>
              <w:rPr>
                <w:sz w:val="24"/>
                <w:szCs w:val="24"/>
                <w:rtl w:val="0"/>
              </w:rPr>
              <w:t>Dữ liệu theo thời gian</w:t>
            </w:r>
          </w:p>
        </w:tc>
        <w:tc>
          <w:tcPr>
            <w:tcBorders>
              <w:top w:val="single" w:color="000000" w:sz="6" w:space="0"/>
              <w:left w:val="single" w:color="000000" w:sz="6" w:space="0"/>
              <w:bottom w:val="single" w:color="000000" w:sz="6" w:space="0"/>
              <w:right w:val="single" w:color="000000" w:sz="6" w:space="0"/>
            </w:tcBorders>
            <w:vAlign w:val="center"/>
          </w:tcPr>
          <w:p w14:paraId="000000F1">
            <w:pPr>
              <w:spacing w:before="20" w:after="20" w:line="264" w:lineRule="auto"/>
              <w:jc w:val="both"/>
            </w:pPr>
            <w:r>
              <w:rPr>
                <w:sz w:val="24"/>
                <w:szCs w:val="24"/>
                <w:rtl w:val="0"/>
              </w:rPr>
              <w:t>Line chart</w:t>
            </w:r>
          </w:p>
        </w:tc>
        <w:tc>
          <w:tcPr>
            <w:tcBorders>
              <w:top w:val="single" w:color="000000" w:sz="6" w:space="0"/>
              <w:left w:val="single" w:color="000000" w:sz="6" w:space="0"/>
              <w:bottom w:val="single" w:color="000000" w:sz="6" w:space="0"/>
              <w:right w:val="single" w:color="000000" w:sz="6" w:space="0"/>
            </w:tcBorders>
            <w:vAlign w:val="center"/>
          </w:tcPr>
          <w:p w14:paraId="000000F2">
            <w:pPr>
              <w:spacing w:before="20" w:after="20" w:line="264" w:lineRule="auto"/>
              <w:jc w:val="both"/>
            </w:pPr>
            <w:r>
              <w:rPr>
                <w:sz w:val="24"/>
                <w:szCs w:val="24"/>
                <w:rtl w:val="0"/>
              </w:rPr>
              <w:t>Doanh thu theo tháng của Online Retail</w:t>
            </w:r>
          </w:p>
        </w:tc>
      </w:tr>
      <w:tr w14:paraId="6E11EFCF">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0F3">
            <w:pPr>
              <w:spacing w:before="20" w:after="20" w:line="264" w:lineRule="auto"/>
              <w:jc w:val="both"/>
            </w:pPr>
            <w:r>
              <w:rPr>
                <w:sz w:val="24"/>
                <w:szCs w:val="24"/>
                <w:rtl w:val="0"/>
              </w:rPr>
              <w:t>Xếp hạng, so sánh nhóm</w:t>
            </w:r>
          </w:p>
        </w:tc>
        <w:tc>
          <w:tcPr>
            <w:tcBorders>
              <w:top w:val="single" w:color="000000" w:sz="6" w:space="0"/>
              <w:left w:val="single" w:color="000000" w:sz="6" w:space="0"/>
              <w:bottom w:val="single" w:color="000000" w:sz="6" w:space="0"/>
              <w:right w:val="single" w:color="000000" w:sz="6" w:space="0"/>
            </w:tcBorders>
            <w:vAlign w:val="center"/>
          </w:tcPr>
          <w:p w14:paraId="000000F4">
            <w:pPr>
              <w:spacing w:before="20" w:after="20" w:line="264" w:lineRule="auto"/>
              <w:jc w:val="both"/>
            </w:pPr>
            <w:r>
              <w:rPr>
                <w:sz w:val="24"/>
                <w:szCs w:val="24"/>
                <w:rtl w:val="0"/>
              </w:rPr>
              <w:t>Bar chart đã sắp xếp</w:t>
            </w:r>
          </w:p>
        </w:tc>
        <w:tc>
          <w:tcPr>
            <w:tcBorders>
              <w:top w:val="single" w:color="000000" w:sz="6" w:space="0"/>
              <w:left w:val="single" w:color="000000" w:sz="6" w:space="0"/>
              <w:bottom w:val="single" w:color="000000" w:sz="6" w:space="0"/>
              <w:right w:val="single" w:color="000000" w:sz="6" w:space="0"/>
            </w:tcBorders>
            <w:vAlign w:val="center"/>
          </w:tcPr>
          <w:p w14:paraId="000000F5">
            <w:pPr>
              <w:spacing w:before="20" w:after="20" w:line="264" w:lineRule="auto"/>
              <w:jc w:val="both"/>
            </w:pPr>
            <w:r>
              <w:rPr>
                <w:sz w:val="24"/>
                <w:szCs w:val="24"/>
                <w:rtl w:val="0"/>
              </w:rPr>
              <w:t>Top 10 mã Zip có giá nhà cao nhất</w:t>
            </w:r>
          </w:p>
        </w:tc>
      </w:tr>
    </w:tbl>
    <w:p w14:paraId="000000F6">
      <w:pPr>
        <w:spacing w:before="80" w:after="100" w:line="276" w:lineRule="auto"/>
        <w:jc w:val="center"/>
      </w:pPr>
      <w:r>
        <w:rPr>
          <w:i/>
          <w:iCs/>
          <w:sz w:val="24"/>
          <w:szCs w:val="24"/>
          <w:rtl w:val="0"/>
        </w:rPr>
        <w:t>Bảng 1.2.2 – Chọn biểu đồ theo loại dữ liệu</w:t>
      </w:r>
    </w:p>
    <w:p w14:paraId="000000F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c/ Matplotlib, Seaborn và Plotly</w:t>
      </w:r>
    </w:p>
    <w:p w14:paraId="000000F8">
      <w:pPr>
        <w:ind w:left="800" w:firstLine="0"/>
        <w:jc w:val="both"/>
      </w:pPr>
      <w:r>
        <w:rPr>
          <w:rtl w:val="0"/>
        </w:rPr>
        <w:t xml:space="preserve">•  </w:t>
      </w:r>
      <w:r>
        <w:rPr>
          <w:rtl w:val="0"/>
        </w:rPr>
        <w:tab/>
      </w:r>
      <w:r>
        <w:rPr>
          <w:b/>
          <w:bCs/>
          <w:rtl w:val="0"/>
        </w:rPr>
        <w:t>Matplotlib:</w:t>
      </w:r>
      <w:r>
        <w:rPr>
          <w:rtl w:val="0"/>
        </w:rPr>
        <w:t xml:space="preserve"> thư viện nền tảng, kiểm soát được từng chi tiết của biểu đồ nhưng code dài hơn.</w:t>
      </w:r>
    </w:p>
    <w:p w14:paraId="000000F9">
      <w:pPr>
        <w:ind w:left="800" w:firstLine="0"/>
        <w:jc w:val="both"/>
      </w:pPr>
      <w:r>
        <w:rPr>
          <w:rtl w:val="0"/>
        </w:rPr>
        <w:t xml:space="preserve">•  </w:t>
      </w:r>
      <w:r>
        <w:rPr>
          <w:rtl w:val="0"/>
        </w:rPr>
        <w:tab/>
      </w:r>
      <w:r>
        <w:rPr>
          <w:b/>
          <w:bCs/>
          <w:rtl w:val="0"/>
        </w:rPr>
        <w:t>Seaborn:</w:t>
      </w:r>
      <w:r>
        <w:rPr>
          <w:rtl w:val="0"/>
        </w:rPr>
        <w:t xml:space="preserve"> xây trên Matplotlib, làm việc trực tiếp với DataFrame, có sẵn các biểu đồ thống kê, giao diện mặc định gọn và đẹp hơn.</w:t>
      </w:r>
    </w:p>
    <w:p w14:paraId="000000FA">
      <w:pPr>
        <w:ind w:left="800" w:firstLine="0"/>
        <w:jc w:val="both"/>
      </w:pPr>
      <w:r>
        <w:rPr>
          <w:rtl w:val="0"/>
        </w:rPr>
        <w:t xml:space="preserve">•  </w:t>
      </w:r>
      <w:r>
        <w:rPr>
          <w:rtl w:val="0"/>
        </w:rPr>
        <w:tab/>
      </w:r>
      <w:r>
        <w:rPr>
          <w:b/>
          <w:bCs/>
          <w:rtl w:val="0"/>
        </w:rPr>
        <w:t>Plotly:</w:t>
      </w:r>
      <w:r>
        <w:rPr>
          <w:rtl w:val="0"/>
        </w:rPr>
        <w:t xml:space="preserve"> biểu đồ tương tác (phóng to, rê chuột xem giá trị), xuất được HTML, phù hợp trang web và dashboard không dùng trong notebook này.</w:t>
      </w:r>
    </w:p>
    <w:p w14:paraId="000000F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d/ Nguyên tắc thiết kế biểu đồ</w:t>
      </w:r>
    </w:p>
    <w:p w14:paraId="000000FC">
      <w:pPr>
        <w:ind w:firstLine="567"/>
        <w:jc w:val="both"/>
      </w:pPr>
      <w:r>
        <w:rPr>
          <w:rtl w:val="0"/>
        </w:rPr>
        <w:t>Chọn đúng loại biểu đồ cho loại dữ liệu, luôn có tiêu đề và nhãn trục, dùng ít màu và nhất quán, bỏ các chi tiết thừa, trục của biểu đồ cột phải bắt đầu từ 0, ghi số liệu lên cột khi cần so sánh chính xác, chữ đủ lớn để đọc. Khi dữ liệu có ngoại lai quá lớn thì có thể cắt trục hiển thị nhưng phải ghi rõ trong tiêu đề và không sửa dữ liệu gốc. Trong notebook, đơn vị trục giá nhà được ghi là EUR vì cột Price là số tiền đầy đủ, không tính theo triệu như nhãn gợi ý trong đề.</w:t>
      </w:r>
    </w:p>
    <w:p w14:paraId="000000F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e/ Tạo histogram và bar chart bằng Matplotlib</w:t>
      </w:r>
    </w:p>
    <w:p w14:paraId="000000FE">
      <w:pPr>
        <w:shd w:val="clear" w:fill="F2F2F2"/>
        <w:spacing w:before="40" w:after="60" w:line="259" w:lineRule="auto"/>
        <w:ind w:left="200" w:right="200" w:firstLine="0"/>
        <w:jc w:val="center"/>
      </w:pPr>
      <w:r>
        <w:drawing>
          <wp:inline distT="0" distB="0" distL="0" distR="0">
            <wp:extent cx="5433695" cy="1374775"/>
            <wp:effectExtent l="0" t="0" r="0" b="0"/>
            <wp:docPr id="59" name="image14.png"/>
            <wp:cNvGraphicFramePr/>
            <a:graphic xmlns:a="http://schemas.openxmlformats.org/drawingml/2006/main">
              <a:graphicData uri="http://schemas.openxmlformats.org/drawingml/2006/picture">
                <pic:pic xmlns:pic="http://schemas.openxmlformats.org/drawingml/2006/picture">
                  <pic:nvPicPr>
                    <pic:cNvPr id="59" name="image14.png"/>
                    <pic:cNvPicPr preferRelativeResize="0"/>
                  </pic:nvPicPr>
                  <pic:blipFill>
                    <a:blip r:embed="rId16"/>
                    <a:srcRect/>
                    <a:stretch>
                      <a:fillRect/>
                    </a:stretch>
                  </pic:blipFill>
                  <pic:spPr>
                    <a:xfrm>
                      <a:off x="0" y="0"/>
                      <a:ext cx="5433695" cy="1374775"/>
                    </a:xfrm>
                    <a:prstGeom prst="rect">
                      <a:avLst/>
                    </a:prstGeom>
                  </pic:spPr>
                </pic:pic>
              </a:graphicData>
            </a:graphic>
          </wp:inline>
        </w:drawing>
      </w:r>
    </w:p>
    <w:p w14:paraId="000000FF">
      <w:pPr>
        <w:spacing w:before="40" w:after="60"/>
        <w:jc w:val="center"/>
      </w:pPr>
      <w:r>
        <w:drawing>
          <wp:inline distT="0" distB="0" distL="0" distR="0">
            <wp:extent cx="5731510" cy="1854200"/>
            <wp:effectExtent l="0" t="0" r="0" b="0"/>
            <wp:docPr id="58" name="image17.png"/>
            <wp:cNvGraphicFramePr/>
            <a:graphic xmlns:a="http://schemas.openxmlformats.org/drawingml/2006/main">
              <a:graphicData uri="http://schemas.openxmlformats.org/drawingml/2006/picture">
                <pic:pic xmlns:pic="http://schemas.openxmlformats.org/drawingml/2006/picture">
                  <pic:nvPicPr>
                    <pic:cNvPr id="58" name="image17.png"/>
                    <pic:cNvPicPr preferRelativeResize="0"/>
                  </pic:nvPicPr>
                  <pic:blipFill>
                    <a:blip r:embed="rId17"/>
                    <a:srcRect/>
                    <a:stretch>
                      <a:fillRect/>
                    </a:stretch>
                  </pic:blipFill>
                  <pic:spPr>
                    <a:xfrm>
                      <a:off x="0" y="0"/>
                      <a:ext cx="5731510" cy="1854200"/>
                    </a:xfrm>
                    <a:prstGeom prst="rect">
                      <a:avLst/>
                    </a:prstGeom>
                  </pic:spPr>
                </pic:pic>
              </a:graphicData>
            </a:graphic>
          </wp:inline>
        </w:drawing>
      </w:r>
    </w:p>
    <w:p w14:paraId="00000100">
      <w:pPr>
        <w:spacing w:before="80" w:after="100" w:line="276" w:lineRule="auto"/>
        <w:jc w:val="center"/>
        <w:rPr>
          <w:i/>
          <w:iCs/>
        </w:rPr>
      </w:pPr>
      <w:r>
        <w:rPr>
          <w:i/>
          <w:iCs/>
          <w:sz w:val="24"/>
          <w:szCs w:val="24"/>
          <w:rtl w:val="0"/>
        </w:rPr>
        <w:t>Hình 1.2.1 – Histogram của alcohol (trái) và bar chart số mẫu theo quality (phải)</w:t>
      </w:r>
    </w:p>
    <w:p w14:paraId="31D256DB">
      <w:pPr>
        <w:pStyle w:val="4"/>
      </w:pPr>
      <w:bookmarkStart w:id="20" w:name="_Toc5013"/>
      <w:r>
        <w:t>1.2.3. Bài mẫu: trực quan hóa giá nhà Amsterdam</w:t>
      </w:r>
      <w:bookmarkEnd w:id="20"/>
    </w:p>
    <w:p w14:paraId="0000010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 Chuẩn bị dữ liệu</w:t>
      </w:r>
    </w:p>
    <w:p w14:paraId="00000103">
      <w:pPr>
        <w:ind w:firstLine="567"/>
        <w:jc w:val="both"/>
      </w:pPr>
      <w:r>
        <w:rPr>
          <w:rtl w:val="0"/>
        </w:rPr>
        <w:t>Tập dữ liệu có 924 dòng; sau khi chọn bốn cột Zip, Price, Area, Room và tạo biến PriceperSqm = Price / Area, có 4 dòng thiếu Price. Dữ liệu được sắp xếp giảm dần theo Price để lấy top 10 mã Zip.</w:t>
      </w:r>
    </w:p>
    <w:p w14:paraId="00000104">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b/ Matplotlib</w:t>
      </w:r>
    </w:p>
    <w:p w14:paraId="00000105">
      <w:pPr>
        <w:ind w:firstLine="567"/>
        <w:jc w:val="both"/>
      </w:pPr>
      <w:r>
        <w:rPr>
          <w:rtl w:val="0"/>
        </w:rPr>
        <w:t>Ba mức được thực hiện theo đề: biểu đồ cột cơ bản, biểu đồ cột có tiêu đề và nhãn trục, và hai biểu đồ đặt cạnh nhau (giá và giá trên mỗi m^2) bằng plt.subplot.</w:t>
      </w:r>
    </w:p>
    <w:p w14:paraId="00000106">
      <w:pPr>
        <w:spacing w:before="40" w:after="60"/>
        <w:jc w:val="center"/>
      </w:pPr>
      <w:r>
        <w:drawing>
          <wp:inline distT="0" distB="0" distL="0" distR="0">
            <wp:extent cx="4703445" cy="2623820"/>
            <wp:effectExtent l="0" t="0" r="0" b="0"/>
            <wp:docPr id="62" name="image15.png"/>
            <wp:cNvGraphicFramePr/>
            <a:graphic xmlns:a="http://schemas.openxmlformats.org/drawingml/2006/main">
              <a:graphicData uri="http://schemas.openxmlformats.org/drawingml/2006/picture">
                <pic:pic xmlns:pic="http://schemas.openxmlformats.org/drawingml/2006/picture">
                  <pic:nvPicPr>
                    <pic:cNvPr id="62" name="image15.png"/>
                    <pic:cNvPicPr preferRelativeResize="0"/>
                  </pic:nvPicPr>
                  <pic:blipFill>
                    <a:blip r:embed="rId18"/>
                    <a:srcRect/>
                    <a:stretch>
                      <a:fillRect/>
                    </a:stretch>
                  </pic:blipFill>
                  <pic:spPr>
                    <a:xfrm>
                      <a:off x="0" y="0"/>
                      <a:ext cx="4703445" cy="2623820"/>
                    </a:xfrm>
                    <a:prstGeom prst="rect">
                      <a:avLst/>
                    </a:prstGeom>
                  </pic:spPr>
                </pic:pic>
              </a:graphicData>
            </a:graphic>
          </wp:inline>
        </w:drawing>
      </w:r>
    </w:p>
    <w:p w14:paraId="00000107">
      <w:pPr>
        <w:spacing w:before="80" w:after="100" w:line="276" w:lineRule="auto"/>
        <w:jc w:val="center"/>
        <w:rPr>
          <w:i/>
          <w:iCs/>
        </w:rPr>
      </w:pPr>
      <w:r>
        <w:rPr>
          <w:i/>
          <w:iCs/>
          <w:sz w:val="24"/>
          <w:szCs w:val="24"/>
          <w:rtl w:val="0"/>
        </w:rPr>
        <w:t>Hình 1.2.3 – Matplotlib: top 10 mã Zip có giá nhà cao nhất (có tiêu đề và nhãn trục)</w:t>
      </w:r>
    </w:p>
    <w:p w14:paraId="00000108">
      <w:pPr>
        <w:spacing w:before="40" w:after="60"/>
        <w:jc w:val="center"/>
        <w:rPr>
          <w:i/>
          <w:iCs/>
        </w:rPr>
      </w:pPr>
      <w:r>
        <w:drawing>
          <wp:inline distT="0" distB="0" distL="0" distR="0">
            <wp:extent cx="5304155" cy="2099310"/>
            <wp:effectExtent l="0" t="0" r="0" b="0"/>
            <wp:docPr id="60" name="image16.png"/>
            <wp:cNvGraphicFramePr/>
            <a:graphic xmlns:a="http://schemas.openxmlformats.org/drawingml/2006/main">
              <a:graphicData uri="http://schemas.openxmlformats.org/drawingml/2006/picture">
                <pic:pic xmlns:pic="http://schemas.openxmlformats.org/drawingml/2006/picture">
                  <pic:nvPicPr>
                    <pic:cNvPr id="60" name="image16.png"/>
                    <pic:cNvPicPr preferRelativeResize="0"/>
                  </pic:nvPicPr>
                  <pic:blipFill>
                    <a:blip r:embed="rId19"/>
                    <a:srcRect/>
                    <a:stretch>
                      <a:fillRect/>
                    </a:stretch>
                  </pic:blipFill>
                  <pic:spPr>
                    <a:xfrm>
                      <a:off x="0" y="0"/>
                      <a:ext cx="5304155" cy="2099310"/>
                    </a:xfrm>
                    <a:prstGeom prst="rect">
                      <a:avLst/>
                    </a:prstGeom>
                  </pic:spPr>
                </pic:pic>
              </a:graphicData>
            </a:graphic>
          </wp:inline>
        </w:drawing>
      </w:r>
    </w:p>
    <w:p w14:paraId="00000109">
      <w:pPr>
        <w:spacing w:before="80" w:after="100" w:line="276" w:lineRule="auto"/>
        <w:jc w:val="center"/>
        <w:rPr>
          <w:i/>
          <w:iCs/>
        </w:rPr>
      </w:pPr>
      <w:r>
        <w:rPr>
          <w:i/>
          <w:iCs/>
          <w:sz w:val="24"/>
          <w:szCs w:val="24"/>
          <w:rtl w:val="0"/>
        </w:rPr>
        <w:t>Hình 1.2.4 – Matplotlib: giá nhà (trái) và giá trên mỗi m^2 (phải) của top 10</w:t>
      </w:r>
    </w:p>
    <w:p w14:paraId="0000010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c/ Seaborn</w:t>
      </w:r>
    </w:p>
    <w:p w14:paraId="0000010B">
      <w:pPr>
        <w:ind w:firstLine="567"/>
        <w:jc w:val="both"/>
      </w:pPr>
      <w:r>
        <w:rPr>
          <w:rtl w:val="0"/>
        </w:rPr>
        <w:t>Cùng ba mức với sns.barplot. Code ngắn hơn vì Seaborn nhận trực tiếp DataFrame và tên cột, kết quả giống Matplotlib về nội dung nhưng giao diện mặc định gọn hơn.</w:t>
      </w:r>
    </w:p>
    <w:p w14:paraId="0000010C">
      <w:pPr>
        <w:spacing w:before="40" w:after="60"/>
        <w:jc w:val="center"/>
      </w:pPr>
      <w:r>
        <w:drawing>
          <wp:inline distT="0" distB="0" distL="0" distR="0">
            <wp:extent cx="5430520" cy="2205990"/>
            <wp:effectExtent l="0" t="0" r="0" b="0"/>
            <wp:docPr id="61" name="image25.png"/>
            <wp:cNvGraphicFramePr/>
            <a:graphic xmlns:a="http://schemas.openxmlformats.org/drawingml/2006/main">
              <a:graphicData uri="http://schemas.openxmlformats.org/drawingml/2006/picture">
                <pic:pic xmlns:pic="http://schemas.openxmlformats.org/drawingml/2006/picture">
                  <pic:nvPicPr>
                    <pic:cNvPr id="61" name="image25.png"/>
                    <pic:cNvPicPr preferRelativeResize="0"/>
                  </pic:nvPicPr>
                  <pic:blipFill>
                    <a:blip r:embed="rId20"/>
                    <a:srcRect/>
                    <a:stretch>
                      <a:fillRect/>
                    </a:stretch>
                  </pic:blipFill>
                  <pic:spPr>
                    <a:xfrm>
                      <a:off x="0" y="0"/>
                      <a:ext cx="5430520" cy="2205990"/>
                    </a:xfrm>
                    <a:prstGeom prst="rect">
                      <a:avLst/>
                    </a:prstGeom>
                  </pic:spPr>
                </pic:pic>
              </a:graphicData>
            </a:graphic>
          </wp:inline>
        </w:drawing>
      </w:r>
    </w:p>
    <w:p w14:paraId="0000010D">
      <w:pPr>
        <w:spacing w:before="80" w:after="100" w:line="276" w:lineRule="auto"/>
        <w:jc w:val="center"/>
        <w:rPr>
          <w:i/>
          <w:iCs/>
        </w:rPr>
      </w:pPr>
      <w:r>
        <w:rPr>
          <w:i/>
          <w:iCs/>
          <w:sz w:val="24"/>
          <w:szCs w:val="24"/>
          <w:rtl w:val="0"/>
        </w:rPr>
        <w:t>Hình 1.2.5 – Seaborn: giá nhà (trái) và giá trên mỗi m^2 (phải) của top 10</w:t>
      </w:r>
    </w:p>
    <w:p w14:paraId="0000010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d/ Nhận xét</w:t>
      </w:r>
    </w:p>
    <w:p w14:paraId="0000010F">
      <w:pPr>
        <w:spacing w:before="80" w:after="100" w:line="276" w:lineRule="auto"/>
        <w:jc w:val="center"/>
        <w:rPr>
          <w:i/>
          <w:iCs/>
        </w:rPr>
      </w:pPr>
      <w:r>
        <w:rPr>
          <w:i/>
          <w:iCs/>
          <w:sz w:val="24"/>
          <w:szCs w:val="24"/>
          <w:rtl w:val="0"/>
        </w:rPr>
        <w:t>Bảng 1.2.3 – Top 10 mã Zip có giá nhà cao nhất</w:t>
      </w:r>
    </w:p>
    <w:tbl>
      <w:tblPr>
        <w:tblStyle w:val="38"/>
        <w:tblW w:w="9000" w:type="dxa"/>
        <w:jc w:val="center"/>
        <w:tblLayout w:type="fixed"/>
        <w:tblCellMar>
          <w:top w:w="60" w:type="dxa"/>
          <w:left w:w="100" w:type="dxa"/>
          <w:bottom w:w="60" w:type="dxa"/>
          <w:right w:w="100" w:type="dxa"/>
        </w:tblCellMar>
      </w:tblPr>
      <w:tblGrid>
        <w:gridCol w:w="1500"/>
        <w:gridCol w:w="1980"/>
        <w:gridCol w:w="1425"/>
        <w:gridCol w:w="1215"/>
        <w:gridCol w:w="2880"/>
      </w:tblGrid>
      <w:tr w14:paraId="20FA7247">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10">
            <w:pPr>
              <w:spacing w:before="20" w:after="20" w:line="264" w:lineRule="auto"/>
              <w:jc w:val="both"/>
              <w:rPr>
                <w:b/>
                <w:bCs/>
              </w:rPr>
            </w:pPr>
            <w:r>
              <w:rPr>
                <w:b/>
                <w:bCs/>
                <w:sz w:val="22"/>
                <w:szCs w:val="22"/>
                <w:rtl w:val="0"/>
              </w:rPr>
              <w:t>Zip</w:t>
            </w:r>
          </w:p>
        </w:tc>
        <w:tc>
          <w:tcPr>
            <w:tcBorders>
              <w:top w:val="single" w:color="000000" w:sz="6" w:space="0"/>
              <w:left w:val="single" w:color="000000" w:sz="6" w:space="0"/>
              <w:bottom w:val="single" w:color="000000" w:sz="6" w:space="0"/>
              <w:right w:val="single" w:color="000000" w:sz="6" w:space="0"/>
            </w:tcBorders>
            <w:vAlign w:val="center"/>
          </w:tcPr>
          <w:p w14:paraId="00000111">
            <w:pPr>
              <w:spacing w:before="20" w:after="20" w:line="264" w:lineRule="auto"/>
              <w:jc w:val="both"/>
              <w:rPr>
                <w:b/>
                <w:bCs/>
              </w:rPr>
            </w:pPr>
            <w:r>
              <w:rPr>
                <w:b/>
                <w:bCs/>
                <w:sz w:val="22"/>
                <w:szCs w:val="22"/>
                <w:rtl w:val="0"/>
              </w:rPr>
              <w:t>Price (EUR)</w:t>
            </w:r>
          </w:p>
        </w:tc>
        <w:tc>
          <w:tcPr>
            <w:tcBorders>
              <w:top w:val="single" w:color="000000" w:sz="6" w:space="0"/>
              <w:left w:val="single" w:color="000000" w:sz="6" w:space="0"/>
              <w:bottom w:val="single" w:color="000000" w:sz="6" w:space="0"/>
              <w:right w:val="single" w:color="000000" w:sz="6" w:space="0"/>
            </w:tcBorders>
            <w:vAlign w:val="center"/>
          </w:tcPr>
          <w:p w14:paraId="00000112">
            <w:pPr>
              <w:spacing w:before="20" w:after="20" w:line="264" w:lineRule="auto"/>
              <w:jc w:val="both"/>
              <w:rPr>
                <w:b/>
                <w:bCs/>
              </w:rPr>
            </w:pPr>
            <w:r>
              <w:rPr>
                <w:b/>
                <w:bCs/>
                <w:sz w:val="22"/>
                <w:szCs w:val="22"/>
                <w:rtl w:val="0"/>
              </w:rPr>
              <w:t>Area (m^2)</w:t>
            </w:r>
          </w:p>
        </w:tc>
        <w:tc>
          <w:tcPr>
            <w:tcBorders>
              <w:top w:val="single" w:color="000000" w:sz="6" w:space="0"/>
              <w:left w:val="single" w:color="000000" w:sz="6" w:space="0"/>
              <w:bottom w:val="single" w:color="000000" w:sz="6" w:space="0"/>
              <w:right w:val="single" w:color="000000" w:sz="6" w:space="0"/>
            </w:tcBorders>
            <w:vAlign w:val="center"/>
          </w:tcPr>
          <w:p w14:paraId="00000113">
            <w:pPr>
              <w:spacing w:before="20" w:after="20" w:line="264" w:lineRule="auto"/>
              <w:jc w:val="both"/>
              <w:rPr>
                <w:b/>
                <w:bCs/>
              </w:rPr>
            </w:pPr>
            <w:r>
              <w:rPr>
                <w:b/>
                <w:bCs/>
                <w:sz w:val="22"/>
                <w:szCs w:val="22"/>
                <w:rtl w:val="0"/>
              </w:rPr>
              <w:t>Room</w:t>
            </w:r>
          </w:p>
        </w:tc>
        <w:tc>
          <w:tcPr>
            <w:tcBorders>
              <w:top w:val="single" w:color="000000" w:sz="6" w:space="0"/>
              <w:left w:val="single" w:color="000000" w:sz="6" w:space="0"/>
              <w:bottom w:val="single" w:color="000000" w:sz="6" w:space="0"/>
              <w:right w:val="single" w:color="000000" w:sz="6" w:space="0"/>
            </w:tcBorders>
            <w:vAlign w:val="center"/>
          </w:tcPr>
          <w:p w14:paraId="00000114">
            <w:pPr>
              <w:spacing w:before="20" w:after="20" w:line="264" w:lineRule="auto"/>
              <w:jc w:val="both"/>
              <w:rPr>
                <w:b/>
                <w:bCs/>
              </w:rPr>
            </w:pPr>
            <w:r>
              <w:rPr>
                <w:b/>
                <w:bCs/>
                <w:sz w:val="22"/>
                <w:szCs w:val="22"/>
                <w:rtl w:val="0"/>
              </w:rPr>
              <w:t>PriceperSqm (EUR/m^2)</w:t>
            </w:r>
          </w:p>
        </w:tc>
      </w:tr>
      <w:tr w14:paraId="38238613">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15">
            <w:pPr>
              <w:spacing w:before="20" w:after="20" w:line="264" w:lineRule="auto"/>
              <w:jc w:val="both"/>
            </w:pPr>
            <w:r>
              <w:rPr>
                <w:sz w:val="22"/>
                <w:szCs w:val="22"/>
                <w:rtl w:val="0"/>
              </w:rPr>
              <w:t>1017 EL</w:t>
            </w:r>
          </w:p>
        </w:tc>
        <w:tc>
          <w:tcPr>
            <w:tcBorders>
              <w:top w:val="single" w:color="000000" w:sz="6" w:space="0"/>
              <w:left w:val="single" w:color="000000" w:sz="6" w:space="0"/>
              <w:bottom w:val="single" w:color="000000" w:sz="6" w:space="0"/>
              <w:right w:val="single" w:color="000000" w:sz="6" w:space="0"/>
            </w:tcBorders>
            <w:vAlign w:val="center"/>
          </w:tcPr>
          <w:p w14:paraId="00000116">
            <w:pPr>
              <w:spacing w:before="20" w:after="20" w:line="264" w:lineRule="auto"/>
              <w:jc w:val="both"/>
            </w:pPr>
            <w:r>
              <w:rPr>
                <w:sz w:val="22"/>
                <w:szCs w:val="22"/>
                <w:rtl w:val="0"/>
              </w:rPr>
              <w:t>5.950.000</w:t>
            </w:r>
          </w:p>
        </w:tc>
        <w:tc>
          <w:tcPr>
            <w:tcBorders>
              <w:top w:val="single" w:color="000000" w:sz="6" w:space="0"/>
              <w:left w:val="single" w:color="000000" w:sz="6" w:space="0"/>
              <w:bottom w:val="single" w:color="000000" w:sz="6" w:space="0"/>
              <w:right w:val="single" w:color="000000" w:sz="6" w:space="0"/>
            </w:tcBorders>
            <w:vAlign w:val="center"/>
          </w:tcPr>
          <w:p w14:paraId="00000117">
            <w:pPr>
              <w:spacing w:before="20" w:after="20" w:line="264" w:lineRule="auto"/>
              <w:jc w:val="both"/>
            </w:pPr>
            <w:r>
              <w:rPr>
                <w:sz w:val="22"/>
                <w:szCs w:val="22"/>
                <w:rtl w:val="0"/>
              </w:rPr>
              <w:t>394</w:t>
            </w:r>
          </w:p>
        </w:tc>
        <w:tc>
          <w:tcPr>
            <w:tcBorders>
              <w:top w:val="single" w:color="000000" w:sz="6" w:space="0"/>
              <w:left w:val="single" w:color="000000" w:sz="6" w:space="0"/>
              <w:bottom w:val="single" w:color="000000" w:sz="6" w:space="0"/>
              <w:right w:val="single" w:color="000000" w:sz="6" w:space="0"/>
            </w:tcBorders>
            <w:vAlign w:val="center"/>
          </w:tcPr>
          <w:p w14:paraId="00000118">
            <w:pPr>
              <w:spacing w:before="20" w:after="20" w:line="264" w:lineRule="auto"/>
              <w:jc w:val="both"/>
            </w:pPr>
            <w:r>
              <w:rPr>
                <w:sz w:val="22"/>
                <w:szCs w:val="22"/>
                <w:rtl w:val="0"/>
              </w:rPr>
              <w:t>10</w:t>
            </w:r>
          </w:p>
        </w:tc>
        <w:tc>
          <w:tcPr>
            <w:tcBorders>
              <w:top w:val="single" w:color="000000" w:sz="6" w:space="0"/>
              <w:left w:val="single" w:color="000000" w:sz="6" w:space="0"/>
              <w:bottom w:val="single" w:color="000000" w:sz="6" w:space="0"/>
              <w:right w:val="single" w:color="000000" w:sz="6" w:space="0"/>
            </w:tcBorders>
            <w:vAlign w:val="center"/>
          </w:tcPr>
          <w:p w14:paraId="00000119">
            <w:pPr>
              <w:spacing w:before="20" w:after="20" w:line="264" w:lineRule="auto"/>
              <w:jc w:val="both"/>
            </w:pPr>
            <w:r>
              <w:rPr>
                <w:sz w:val="22"/>
                <w:szCs w:val="22"/>
                <w:rtl w:val="0"/>
              </w:rPr>
              <w:t>15.102</w:t>
            </w:r>
          </w:p>
        </w:tc>
      </w:tr>
      <w:tr w14:paraId="1C371093">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1A">
            <w:pPr>
              <w:spacing w:before="20" w:after="20" w:line="264" w:lineRule="auto"/>
              <w:jc w:val="both"/>
            </w:pPr>
            <w:r>
              <w:rPr>
                <w:sz w:val="22"/>
                <w:szCs w:val="22"/>
                <w:rtl w:val="0"/>
              </w:rPr>
              <w:t>1075 AH</w:t>
            </w:r>
          </w:p>
        </w:tc>
        <w:tc>
          <w:tcPr>
            <w:tcBorders>
              <w:top w:val="single" w:color="000000" w:sz="6" w:space="0"/>
              <w:left w:val="single" w:color="000000" w:sz="6" w:space="0"/>
              <w:bottom w:val="single" w:color="000000" w:sz="6" w:space="0"/>
              <w:right w:val="single" w:color="000000" w:sz="6" w:space="0"/>
            </w:tcBorders>
            <w:vAlign w:val="center"/>
          </w:tcPr>
          <w:p w14:paraId="0000011B">
            <w:pPr>
              <w:spacing w:before="20" w:after="20" w:line="264" w:lineRule="auto"/>
              <w:jc w:val="both"/>
            </w:pPr>
            <w:r>
              <w:rPr>
                <w:sz w:val="22"/>
                <w:szCs w:val="22"/>
                <w:rtl w:val="0"/>
              </w:rPr>
              <w:t>5.850.000</w:t>
            </w:r>
          </w:p>
        </w:tc>
        <w:tc>
          <w:tcPr>
            <w:tcBorders>
              <w:top w:val="single" w:color="000000" w:sz="6" w:space="0"/>
              <w:left w:val="single" w:color="000000" w:sz="6" w:space="0"/>
              <w:bottom w:val="single" w:color="000000" w:sz="6" w:space="0"/>
              <w:right w:val="single" w:color="000000" w:sz="6" w:space="0"/>
            </w:tcBorders>
            <w:vAlign w:val="center"/>
          </w:tcPr>
          <w:p w14:paraId="0000011C">
            <w:pPr>
              <w:spacing w:before="20" w:after="20" w:line="264" w:lineRule="auto"/>
              <w:jc w:val="both"/>
            </w:pPr>
            <w:r>
              <w:rPr>
                <w:sz w:val="22"/>
                <w:szCs w:val="22"/>
                <w:rtl w:val="0"/>
              </w:rPr>
              <w:t>480</w:t>
            </w:r>
          </w:p>
        </w:tc>
        <w:tc>
          <w:tcPr>
            <w:tcBorders>
              <w:top w:val="single" w:color="000000" w:sz="6" w:space="0"/>
              <w:left w:val="single" w:color="000000" w:sz="6" w:space="0"/>
              <w:bottom w:val="single" w:color="000000" w:sz="6" w:space="0"/>
              <w:right w:val="single" w:color="000000" w:sz="6" w:space="0"/>
            </w:tcBorders>
            <w:vAlign w:val="center"/>
          </w:tcPr>
          <w:p w14:paraId="0000011D">
            <w:pPr>
              <w:spacing w:before="20" w:after="20" w:line="264" w:lineRule="auto"/>
              <w:jc w:val="both"/>
            </w:pPr>
            <w:r>
              <w:rPr>
                <w:sz w:val="22"/>
                <w:szCs w:val="22"/>
                <w:rtl w:val="0"/>
              </w:rPr>
              <w:t>14</w:t>
            </w:r>
          </w:p>
        </w:tc>
        <w:tc>
          <w:tcPr>
            <w:tcBorders>
              <w:top w:val="single" w:color="000000" w:sz="6" w:space="0"/>
              <w:left w:val="single" w:color="000000" w:sz="6" w:space="0"/>
              <w:bottom w:val="single" w:color="000000" w:sz="6" w:space="0"/>
              <w:right w:val="single" w:color="000000" w:sz="6" w:space="0"/>
            </w:tcBorders>
            <w:vAlign w:val="center"/>
          </w:tcPr>
          <w:p w14:paraId="0000011E">
            <w:pPr>
              <w:spacing w:before="20" w:after="20" w:line="264" w:lineRule="auto"/>
              <w:jc w:val="both"/>
            </w:pPr>
            <w:r>
              <w:rPr>
                <w:sz w:val="22"/>
                <w:szCs w:val="22"/>
                <w:rtl w:val="0"/>
              </w:rPr>
              <w:t>12.188</w:t>
            </w:r>
          </w:p>
        </w:tc>
      </w:tr>
      <w:tr w14:paraId="2293EF2C">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1F">
            <w:pPr>
              <w:spacing w:before="20" w:after="20" w:line="264" w:lineRule="auto"/>
              <w:jc w:val="both"/>
            </w:pPr>
            <w:r>
              <w:rPr>
                <w:sz w:val="22"/>
                <w:szCs w:val="22"/>
                <w:rtl w:val="0"/>
              </w:rPr>
              <w:t>1016 AE</w:t>
            </w:r>
          </w:p>
        </w:tc>
        <w:tc>
          <w:tcPr>
            <w:tcBorders>
              <w:top w:val="single" w:color="000000" w:sz="6" w:space="0"/>
              <w:left w:val="single" w:color="000000" w:sz="6" w:space="0"/>
              <w:bottom w:val="single" w:color="000000" w:sz="6" w:space="0"/>
              <w:right w:val="single" w:color="000000" w:sz="6" w:space="0"/>
            </w:tcBorders>
            <w:vAlign w:val="center"/>
          </w:tcPr>
          <w:p w14:paraId="00000120">
            <w:pPr>
              <w:spacing w:before="20" w:after="20" w:line="264" w:lineRule="auto"/>
              <w:jc w:val="both"/>
            </w:pPr>
            <w:r>
              <w:rPr>
                <w:sz w:val="22"/>
                <w:szCs w:val="22"/>
                <w:rtl w:val="0"/>
              </w:rPr>
              <w:t>4.900.000</w:t>
            </w:r>
          </w:p>
        </w:tc>
        <w:tc>
          <w:tcPr>
            <w:tcBorders>
              <w:top w:val="single" w:color="000000" w:sz="6" w:space="0"/>
              <w:left w:val="single" w:color="000000" w:sz="6" w:space="0"/>
              <w:bottom w:val="single" w:color="000000" w:sz="6" w:space="0"/>
              <w:right w:val="single" w:color="000000" w:sz="6" w:space="0"/>
            </w:tcBorders>
            <w:vAlign w:val="center"/>
          </w:tcPr>
          <w:p w14:paraId="00000121">
            <w:pPr>
              <w:spacing w:before="20" w:after="20" w:line="264" w:lineRule="auto"/>
              <w:jc w:val="both"/>
            </w:pPr>
            <w:r>
              <w:rPr>
                <w:sz w:val="22"/>
                <w:szCs w:val="22"/>
                <w:rtl w:val="0"/>
              </w:rPr>
              <w:t>623</w:t>
            </w:r>
          </w:p>
        </w:tc>
        <w:tc>
          <w:tcPr>
            <w:tcBorders>
              <w:top w:val="single" w:color="000000" w:sz="6" w:space="0"/>
              <w:left w:val="single" w:color="000000" w:sz="6" w:space="0"/>
              <w:bottom w:val="single" w:color="000000" w:sz="6" w:space="0"/>
              <w:right w:val="single" w:color="000000" w:sz="6" w:space="0"/>
            </w:tcBorders>
            <w:vAlign w:val="center"/>
          </w:tcPr>
          <w:p w14:paraId="00000122">
            <w:pPr>
              <w:spacing w:before="20" w:after="20" w:line="264" w:lineRule="auto"/>
              <w:jc w:val="both"/>
            </w:pPr>
            <w:r>
              <w:rPr>
                <w:sz w:val="22"/>
                <w:szCs w:val="22"/>
                <w:rtl w:val="0"/>
              </w:rPr>
              <w:t>13</w:t>
            </w:r>
          </w:p>
        </w:tc>
        <w:tc>
          <w:tcPr>
            <w:tcBorders>
              <w:top w:val="single" w:color="000000" w:sz="6" w:space="0"/>
              <w:left w:val="single" w:color="000000" w:sz="6" w:space="0"/>
              <w:bottom w:val="single" w:color="000000" w:sz="6" w:space="0"/>
              <w:right w:val="single" w:color="000000" w:sz="6" w:space="0"/>
            </w:tcBorders>
            <w:vAlign w:val="center"/>
          </w:tcPr>
          <w:p w14:paraId="00000123">
            <w:pPr>
              <w:spacing w:before="20" w:after="20" w:line="264" w:lineRule="auto"/>
              <w:jc w:val="both"/>
            </w:pPr>
            <w:r>
              <w:rPr>
                <w:sz w:val="22"/>
                <w:szCs w:val="22"/>
                <w:rtl w:val="0"/>
              </w:rPr>
              <w:t>7.865</w:t>
            </w:r>
          </w:p>
        </w:tc>
      </w:tr>
      <w:tr w14:paraId="16289B66">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24">
            <w:pPr>
              <w:spacing w:before="20" w:after="20" w:line="264" w:lineRule="auto"/>
              <w:jc w:val="both"/>
            </w:pPr>
            <w:r>
              <w:rPr>
                <w:sz w:val="22"/>
                <w:szCs w:val="22"/>
                <w:rtl w:val="0"/>
              </w:rPr>
              <w:t>1017 ZP</w:t>
            </w:r>
          </w:p>
        </w:tc>
        <w:tc>
          <w:tcPr>
            <w:tcBorders>
              <w:top w:val="single" w:color="000000" w:sz="6" w:space="0"/>
              <w:left w:val="single" w:color="000000" w:sz="6" w:space="0"/>
              <w:bottom w:val="single" w:color="000000" w:sz="6" w:space="0"/>
              <w:right w:val="single" w:color="000000" w:sz="6" w:space="0"/>
            </w:tcBorders>
            <w:vAlign w:val="center"/>
          </w:tcPr>
          <w:p w14:paraId="00000125">
            <w:pPr>
              <w:spacing w:before="20" w:after="20" w:line="264" w:lineRule="auto"/>
              <w:jc w:val="both"/>
            </w:pPr>
            <w:r>
              <w:rPr>
                <w:sz w:val="22"/>
                <w:szCs w:val="22"/>
                <w:rtl w:val="0"/>
              </w:rPr>
              <w:t>4.550.000</w:t>
            </w:r>
          </w:p>
        </w:tc>
        <w:tc>
          <w:tcPr>
            <w:tcBorders>
              <w:top w:val="single" w:color="000000" w:sz="6" w:space="0"/>
              <w:left w:val="single" w:color="000000" w:sz="6" w:space="0"/>
              <w:bottom w:val="single" w:color="000000" w:sz="6" w:space="0"/>
              <w:right w:val="single" w:color="000000" w:sz="6" w:space="0"/>
            </w:tcBorders>
            <w:vAlign w:val="center"/>
          </w:tcPr>
          <w:p w14:paraId="00000126">
            <w:pPr>
              <w:spacing w:before="20" w:after="20" w:line="264" w:lineRule="auto"/>
              <w:jc w:val="both"/>
            </w:pPr>
            <w:r>
              <w:rPr>
                <w:sz w:val="22"/>
                <w:szCs w:val="22"/>
                <w:rtl w:val="0"/>
              </w:rPr>
              <w:t>497</w:t>
            </w:r>
          </w:p>
        </w:tc>
        <w:tc>
          <w:tcPr>
            <w:tcBorders>
              <w:top w:val="single" w:color="000000" w:sz="6" w:space="0"/>
              <w:left w:val="single" w:color="000000" w:sz="6" w:space="0"/>
              <w:bottom w:val="single" w:color="000000" w:sz="6" w:space="0"/>
              <w:right w:val="single" w:color="000000" w:sz="6" w:space="0"/>
            </w:tcBorders>
            <w:vAlign w:val="center"/>
          </w:tcPr>
          <w:p w14:paraId="00000127">
            <w:pPr>
              <w:spacing w:before="20" w:after="20" w:line="264" w:lineRule="auto"/>
              <w:jc w:val="both"/>
            </w:pPr>
            <w:r>
              <w:rPr>
                <w:sz w:val="22"/>
                <w:szCs w:val="22"/>
                <w:rtl w:val="0"/>
              </w:rPr>
              <w:t>13</w:t>
            </w:r>
          </w:p>
        </w:tc>
        <w:tc>
          <w:tcPr>
            <w:tcBorders>
              <w:top w:val="single" w:color="000000" w:sz="6" w:space="0"/>
              <w:left w:val="single" w:color="000000" w:sz="6" w:space="0"/>
              <w:bottom w:val="single" w:color="000000" w:sz="6" w:space="0"/>
              <w:right w:val="single" w:color="000000" w:sz="6" w:space="0"/>
            </w:tcBorders>
            <w:vAlign w:val="center"/>
          </w:tcPr>
          <w:p w14:paraId="00000128">
            <w:pPr>
              <w:spacing w:before="20" w:after="20" w:line="264" w:lineRule="auto"/>
              <w:jc w:val="both"/>
            </w:pPr>
            <w:r>
              <w:rPr>
                <w:sz w:val="22"/>
                <w:szCs w:val="22"/>
                <w:rtl w:val="0"/>
              </w:rPr>
              <w:t>9.155</w:t>
            </w:r>
          </w:p>
        </w:tc>
      </w:tr>
      <w:tr w14:paraId="6079C6B8">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29">
            <w:pPr>
              <w:spacing w:before="20" w:after="20" w:line="264" w:lineRule="auto"/>
              <w:jc w:val="both"/>
            </w:pPr>
            <w:r>
              <w:rPr>
                <w:sz w:val="22"/>
                <w:szCs w:val="22"/>
                <w:rtl w:val="0"/>
              </w:rPr>
              <w:t>1012 JS</w:t>
            </w:r>
          </w:p>
        </w:tc>
        <w:tc>
          <w:tcPr>
            <w:tcBorders>
              <w:top w:val="single" w:color="000000" w:sz="6" w:space="0"/>
              <w:left w:val="single" w:color="000000" w:sz="6" w:space="0"/>
              <w:bottom w:val="single" w:color="000000" w:sz="6" w:space="0"/>
              <w:right w:val="single" w:color="000000" w:sz="6" w:space="0"/>
            </w:tcBorders>
            <w:vAlign w:val="center"/>
          </w:tcPr>
          <w:p w14:paraId="0000012A">
            <w:pPr>
              <w:spacing w:before="20" w:after="20" w:line="264" w:lineRule="auto"/>
              <w:jc w:val="both"/>
            </w:pPr>
            <w:r>
              <w:rPr>
                <w:sz w:val="22"/>
                <w:szCs w:val="22"/>
                <w:rtl w:val="0"/>
              </w:rPr>
              <w:t>4.495.000</w:t>
            </w:r>
          </w:p>
        </w:tc>
        <w:tc>
          <w:tcPr>
            <w:tcBorders>
              <w:top w:val="single" w:color="000000" w:sz="6" w:space="0"/>
              <w:left w:val="single" w:color="000000" w:sz="6" w:space="0"/>
              <w:bottom w:val="single" w:color="000000" w:sz="6" w:space="0"/>
              <w:right w:val="single" w:color="000000" w:sz="6" w:space="0"/>
            </w:tcBorders>
            <w:vAlign w:val="center"/>
          </w:tcPr>
          <w:p w14:paraId="0000012B">
            <w:pPr>
              <w:spacing w:before="20" w:after="20" w:line="264" w:lineRule="auto"/>
              <w:jc w:val="both"/>
            </w:pPr>
            <w:r>
              <w:rPr>
                <w:sz w:val="22"/>
                <w:szCs w:val="22"/>
                <w:rtl w:val="0"/>
              </w:rPr>
              <w:t>178</w:t>
            </w:r>
          </w:p>
        </w:tc>
        <w:tc>
          <w:tcPr>
            <w:tcBorders>
              <w:top w:val="single" w:color="000000" w:sz="6" w:space="0"/>
              <w:left w:val="single" w:color="000000" w:sz="6" w:space="0"/>
              <w:bottom w:val="single" w:color="000000" w:sz="6" w:space="0"/>
              <w:right w:val="single" w:color="000000" w:sz="6" w:space="0"/>
            </w:tcBorders>
            <w:vAlign w:val="center"/>
          </w:tcPr>
          <w:p w14:paraId="0000012C">
            <w:pPr>
              <w:spacing w:before="20" w:after="20" w:line="264" w:lineRule="auto"/>
              <w:jc w:val="both"/>
            </w:pPr>
            <w:r>
              <w:rPr>
                <w:sz w:val="22"/>
                <w:szCs w:val="22"/>
                <w:rtl w:val="0"/>
              </w:rPr>
              <w:t>5</w:t>
            </w:r>
          </w:p>
        </w:tc>
        <w:tc>
          <w:tcPr>
            <w:tcBorders>
              <w:top w:val="single" w:color="000000" w:sz="6" w:space="0"/>
              <w:left w:val="single" w:color="000000" w:sz="6" w:space="0"/>
              <w:bottom w:val="single" w:color="000000" w:sz="6" w:space="0"/>
              <w:right w:val="single" w:color="000000" w:sz="6" w:space="0"/>
            </w:tcBorders>
            <w:vAlign w:val="center"/>
          </w:tcPr>
          <w:p w14:paraId="0000012D">
            <w:pPr>
              <w:spacing w:before="20" w:after="20" w:line="264" w:lineRule="auto"/>
              <w:jc w:val="both"/>
            </w:pPr>
            <w:r>
              <w:rPr>
                <w:sz w:val="22"/>
                <w:szCs w:val="22"/>
                <w:rtl w:val="0"/>
              </w:rPr>
              <w:t>25.253</w:t>
            </w:r>
          </w:p>
        </w:tc>
      </w:tr>
      <w:tr w14:paraId="50117B14">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2E">
            <w:pPr>
              <w:spacing w:before="20" w:after="20" w:line="264" w:lineRule="auto"/>
              <w:jc w:val="both"/>
            </w:pPr>
            <w:r>
              <w:rPr>
                <w:sz w:val="22"/>
                <w:szCs w:val="22"/>
                <w:rtl w:val="0"/>
              </w:rPr>
              <w:t>1054 GJ</w:t>
            </w:r>
          </w:p>
        </w:tc>
        <w:tc>
          <w:tcPr>
            <w:tcBorders>
              <w:top w:val="single" w:color="000000" w:sz="6" w:space="0"/>
              <w:left w:val="single" w:color="000000" w:sz="6" w:space="0"/>
              <w:bottom w:val="single" w:color="000000" w:sz="6" w:space="0"/>
              <w:right w:val="single" w:color="000000" w:sz="6" w:space="0"/>
            </w:tcBorders>
            <w:vAlign w:val="center"/>
          </w:tcPr>
          <w:p w14:paraId="0000012F">
            <w:pPr>
              <w:spacing w:before="20" w:after="20" w:line="264" w:lineRule="auto"/>
              <w:jc w:val="both"/>
            </w:pPr>
            <w:r>
              <w:rPr>
                <w:sz w:val="22"/>
                <w:szCs w:val="22"/>
                <w:rtl w:val="0"/>
              </w:rPr>
              <w:t>3.925.000</w:t>
            </w:r>
          </w:p>
        </w:tc>
        <w:tc>
          <w:tcPr>
            <w:tcBorders>
              <w:top w:val="single" w:color="000000" w:sz="6" w:space="0"/>
              <w:left w:val="single" w:color="000000" w:sz="6" w:space="0"/>
              <w:bottom w:val="single" w:color="000000" w:sz="6" w:space="0"/>
              <w:right w:val="single" w:color="000000" w:sz="6" w:space="0"/>
            </w:tcBorders>
            <w:vAlign w:val="center"/>
          </w:tcPr>
          <w:p w14:paraId="00000130">
            <w:pPr>
              <w:spacing w:before="20" w:after="20" w:line="264" w:lineRule="auto"/>
              <w:jc w:val="both"/>
            </w:pPr>
            <w:r>
              <w:rPr>
                <w:sz w:val="22"/>
                <w:szCs w:val="22"/>
                <w:rtl w:val="0"/>
              </w:rPr>
              <w:t>319</w:t>
            </w:r>
          </w:p>
        </w:tc>
        <w:tc>
          <w:tcPr>
            <w:tcBorders>
              <w:top w:val="single" w:color="000000" w:sz="6" w:space="0"/>
              <w:left w:val="single" w:color="000000" w:sz="6" w:space="0"/>
              <w:bottom w:val="single" w:color="000000" w:sz="6" w:space="0"/>
              <w:right w:val="single" w:color="000000" w:sz="6" w:space="0"/>
            </w:tcBorders>
            <w:vAlign w:val="center"/>
          </w:tcPr>
          <w:p w14:paraId="00000131">
            <w:pPr>
              <w:spacing w:before="20" w:after="20" w:line="264" w:lineRule="auto"/>
              <w:jc w:val="both"/>
            </w:pPr>
            <w:r>
              <w:rPr>
                <w:sz w:val="22"/>
                <w:szCs w:val="22"/>
                <w:rtl w:val="0"/>
              </w:rPr>
              <w:t>7</w:t>
            </w:r>
          </w:p>
        </w:tc>
        <w:tc>
          <w:tcPr>
            <w:tcBorders>
              <w:top w:val="single" w:color="000000" w:sz="6" w:space="0"/>
              <w:left w:val="single" w:color="000000" w:sz="6" w:space="0"/>
              <w:bottom w:val="single" w:color="000000" w:sz="6" w:space="0"/>
              <w:right w:val="single" w:color="000000" w:sz="6" w:space="0"/>
            </w:tcBorders>
            <w:vAlign w:val="center"/>
          </w:tcPr>
          <w:p w14:paraId="00000132">
            <w:pPr>
              <w:spacing w:before="20" w:after="20" w:line="264" w:lineRule="auto"/>
              <w:jc w:val="both"/>
            </w:pPr>
            <w:r>
              <w:rPr>
                <w:sz w:val="22"/>
                <w:szCs w:val="22"/>
                <w:rtl w:val="0"/>
              </w:rPr>
              <w:t>12.304</w:t>
            </w:r>
          </w:p>
        </w:tc>
      </w:tr>
      <w:tr w14:paraId="50C4B9B8">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33">
            <w:pPr>
              <w:spacing w:before="20" w:after="20" w:line="264" w:lineRule="auto"/>
              <w:jc w:val="both"/>
            </w:pPr>
            <w:r>
              <w:rPr>
                <w:sz w:val="22"/>
                <w:szCs w:val="22"/>
                <w:rtl w:val="0"/>
              </w:rPr>
              <w:t>1031 KV</w:t>
            </w:r>
          </w:p>
        </w:tc>
        <w:tc>
          <w:tcPr>
            <w:tcBorders>
              <w:top w:val="single" w:color="000000" w:sz="6" w:space="0"/>
              <w:left w:val="single" w:color="000000" w:sz="6" w:space="0"/>
              <w:bottom w:val="single" w:color="000000" w:sz="6" w:space="0"/>
              <w:right w:val="single" w:color="000000" w:sz="6" w:space="0"/>
            </w:tcBorders>
            <w:vAlign w:val="center"/>
          </w:tcPr>
          <w:p w14:paraId="00000134">
            <w:pPr>
              <w:spacing w:before="20" w:after="20" w:line="264" w:lineRule="auto"/>
              <w:jc w:val="both"/>
            </w:pPr>
            <w:r>
              <w:rPr>
                <w:sz w:val="22"/>
                <w:szCs w:val="22"/>
                <w:rtl w:val="0"/>
              </w:rPr>
              <w:t>3.680.000</w:t>
            </w:r>
          </w:p>
        </w:tc>
        <w:tc>
          <w:tcPr>
            <w:tcBorders>
              <w:top w:val="single" w:color="000000" w:sz="6" w:space="0"/>
              <w:left w:val="single" w:color="000000" w:sz="6" w:space="0"/>
              <w:bottom w:val="single" w:color="000000" w:sz="6" w:space="0"/>
              <w:right w:val="single" w:color="000000" w:sz="6" w:space="0"/>
            </w:tcBorders>
            <w:vAlign w:val="center"/>
          </w:tcPr>
          <w:p w14:paraId="00000135">
            <w:pPr>
              <w:spacing w:before="20" w:after="20" w:line="264" w:lineRule="auto"/>
              <w:jc w:val="both"/>
            </w:pPr>
            <w:r>
              <w:rPr>
                <w:sz w:val="22"/>
                <w:szCs w:val="22"/>
                <w:rtl w:val="0"/>
              </w:rPr>
              <w:t>374</w:t>
            </w:r>
          </w:p>
        </w:tc>
        <w:tc>
          <w:tcPr>
            <w:tcBorders>
              <w:top w:val="single" w:color="000000" w:sz="6" w:space="0"/>
              <w:left w:val="single" w:color="000000" w:sz="6" w:space="0"/>
              <w:bottom w:val="single" w:color="000000" w:sz="6" w:space="0"/>
              <w:right w:val="single" w:color="000000" w:sz="6" w:space="0"/>
            </w:tcBorders>
            <w:vAlign w:val="center"/>
          </w:tcPr>
          <w:p w14:paraId="00000136">
            <w:pPr>
              <w:spacing w:before="20" w:after="20" w:line="264" w:lineRule="auto"/>
              <w:jc w:val="both"/>
            </w:pPr>
            <w:r>
              <w:rPr>
                <w:sz w:val="22"/>
                <w:szCs w:val="22"/>
                <w:rtl w:val="0"/>
              </w:rPr>
              <w:t>4</w:t>
            </w:r>
          </w:p>
        </w:tc>
        <w:tc>
          <w:tcPr>
            <w:tcBorders>
              <w:top w:val="single" w:color="000000" w:sz="6" w:space="0"/>
              <w:left w:val="single" w:color="000000" w:sz="6" w:space="0"/>
              <w:bottom w:val="single" w:color="000000" w:sz="6" w:space="0"/>
              <w:right w:val="single" w:color="000000" w:sz="6" w:space="0"/>
            </w:tcBorders>
            <w:vAlign w:val="center"/>
          </w:tcPr>
          <w:p w14:paraId="00000137">
            <w:pPr>
              <w:spacing w:before="20" w:after="20" w:line="264" w:lineRule="auto"/>
              <w:jc w:val="both"/>
            </w:pPr>
            <w:r>
              <w:rPr>
                <w:sz w:val="22"/>
                <w:szCs w:val="22"/>
                <w:rtl w:val="0"/>
              </w:rPr>
              <w:t>9.840</w:t>
            </w:r>
          </w:p>
        </w:tc>
      </w:tr>
      <w:tr w14:paraId="71176961">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38">
            <w:pPr>
              <w:spacing w:before="20" w:after="20" w:line="264" w:lineRule="auto"/>
              <w:jc w:val="both"/>
            </w:pPr>
            <w:r>
              <w:rPr>
                <w:sz w:val="22"/>
                <w:szCs w:val="22"/>
                <w:rtl w:val="0"/>
              </w:rPr>
              <w:t>1015 AG</w:t>
            </w:r>
          </w:p>
        </w:tc>
        <w:tc>
          <w:tcPr>
            <w:tcBorders>
              <w:top w:val="single" w:color="000000" w:sz="6" w:space="0"/>
              <w:left w:val="single" w:color="000000" w:sz="6" w:space="0"/>
              <w:bottom w:val="single" w:color="000000" w:sz="6" w:space="0"/>
              <w:right w:val="single" w:color="000000" w:sz="6" w:space="0"/>
            </w:tcBorders>
            <w:vAlign w:val="center"/>
          </w:tcPr>
          <w:p w14:paraId="00000139">
            <w:pPr>
              <w:spacing w:before="20" w:after="20" w:line="264" w:lineRule="auto"/>
              <w:jc w:val="both"/>
            </w:pPr>
            <w:r>
              <w:rPr>
                <w:sz w:val="22"/>
                <w:szCs w:val="22"/>
                <w:rtl w:val="0"/>
              </w:rPr>
              <w:t>3.500.000</w:t>
            </w:r>
          </w:p>
        </w:tc>
        <w:tc>
          <w:tcPr>
            <w:tcBorders>
              <w:top w:val="single" w:color="000000" w:sz="6" w:space="0"/>
              <w:left w:val="single" w:color="000000" w:sz="6" w:space="0"/>
              <w:bottom w:val="single" w:color="000000" w:sz="6" w:space="0"/>
              <w:right w:val="single" w:color="000000" w:sz="6" w:space="0"/>
            </w:tcBorders>
            <w:vAlign w:val="center"/>
          </w:tcPr>
          <w:p w14:paraId="0000013A">
            <w:pPr>
              <w:spacing w:before="20" w:after="20" w:line="264" w:lineRule="auto"/>
              <w:jc w:val="both"/>
            </w:pPr>
            <w:r>
              <w:rPr>
                <w:sz w:val="22"/>
                <w:szCs w:val="22"/>
                <w:rtl w:val="0"/>
              </w:rPr>
              <w:t>348</w:t>
            </w:r>
          </w:p>
        </w:tc>
        <w:tc>
          <w:tcPr>
            <w:tcBorders>
              <w:top w:val="single" w:color="000000" w:sz="6" w:space="0"/>
              <w:left w:val="single" w:color="000000" w:sz="6" w:space="0"/>
              <w:bottom w:val="single" w:color="000000" w:sz="6" w:space="0"/>
              <w:right w:val="single" w:color="000000" w:sz="6" w:space="0"/>
            </w:tcBorders>
            <w:vAlign w:val="center"/>
          </w:tcPr>
          <w:p w14:paraId="0000013B">
            <w:pPr>
              <w:spacing w:before="20" w:after="20" w:line="264" w:lineRule="auto"/>
              <w:jc w:val="both"/>
            </w:pPr>
            <w:r>
              <w:rPr>
                <w:sz w:val="22"/>
                <w:szCs w:val="22"/>
                <w:rtl w:val="0"/>
              </w:rPr>
              <w:t>8</w:t>
            </w:r>
          </w:p>
        </w:tc>
        <w:tc>
          <w:tcPr>
            <w:tcBorders>
              <w:top w:val="single" w:color="000000" w:sz="6" w:space="0"/>
              <w:left w:val="single" w:color="000000" w:sz="6" w:space="0"/>
              <w:bottom w:val="single" w:color="000000" w:sz="6" w:space="0"/>
              <w:right w:val="single" w:color="000000" w:sz="6" w:space="0"/>
            </w:tcBorders>
            <w:vAlign w:val="center"/>
          </w:tcPr>
          <w:p w14:paraId="0000013C">
            <w:pPr>
              <w:spacing w:before="20" w:after="20" w:line="264" w:lineRule="auto"/>
              <w:jc w:val="both"/>
            </w:pPr>
            <w:r>
              <w:rPr>
                <w:sz w:val="22"/>
                <w:szCs w:val="22"/>
                <w:rtl w:val="0"/>
              </w:rPr>
              <w:t>10.057</w:t>
            </w:r>
          </w:p>
        </w:tc>
      </w:tr>
      <w:tr w14:paraId="5679D440">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3D">
            <w:pPr>
              <w:spacing w:before="20" w:after="20" w:line="264" w:lineRule="auto"/>
              <w:jc w:val="both"/>
            </w:pPr>
            <w:r>
              <w:rPr>
                <w:sz w:val="22"/>
                <w:szCs w:val="22"/>
                <w:rtl w:val="0"/>
              </w:rPr>
              <w:t>1075 BM</w:t>
            </w:r>
          </w:p>
        </w:tc>
        <w:tc>
          <w:tcPr>
            <w:tcBorders>
              <w:top w:val="single" w:color="000000" w:sz="6" w:space="0"/>
              <w:left w:val="single" w:color="000000" w:sz="6" w:space="0"/>
              <w:bottom w:val="single" w:color="000000" w:sz="6" w:space="0"/>
              <w:right w:val="single" w:color="000000" w:sz="6" w:space="0"/>
            </w:tcBorders>
            <w:vAlign w:val="center"/>
          </w:tcPr>
          <w:p w14:paraId="0000013E">
            <w:pPr>
              <w:spacing w:before="20" w:after="20" w:line="264" w:lineRule="auto"/>
              <w:jc w:val="both"/>
            </w:pPr>
            <w:r>
              <w:rPr>
                <w:sz w:val="22"/>
                <w:szCs w:val="22"/>
                <w:rtl w:val="0"/>
              </w:rPr>
              <w:t>3.500.000</w:t>
            </w:r>
          </w:p>
        </w:tc>
        <w:tc>
          <w:tcPr>
            <w:tcBorders>
              <w:top w:val="single" w:color="000000" w:sz="6" w:space="0"/>
              <w:left w:val="single" w:color="000000" w:sz="6" w:space="0"/>
              <w:bottom w:val="single" w:color="000000" w:sz="6" w:space="0"/>
              <w:right w:val="single" w:color="000000" w:sz="6" w:space="0"/>
            </w:tcBorders>
            <w:vAlign w:val="center"/>
          </w:tcPr>
          <w:p w14:paraId="0000013F">
            <w:pPr>
              <w:spacing w:before="20" w:after="20" w:line="264" w:lineRule="auto"/>
              <w:jc w:val="both"/>
            </w:pPr>
            <w:r>
              <w:rPr>
                <w:sz w:val="22"/>
                <w:szCs w:val="22"/>
                <w:rtl w:val="0"/>
              </w:rPr>
              <w:t>374</w:t>
            </w:r>
          </w:p>
        </w:tc>
        <w:tc>
          <w:tcPr>
            <w:tcBorders>
              <w:top w:val="single" w:color="000000" w:sz="6" w:space="0"/>
              <w:left w:val="single" w:color="000000" w:sz="6" w:space="0"/>
              <w:bottom w:val="single" w:color="000000" w:sz="6" w:space="0"/>
              <w:right w:val="single" w:color="000000" w:sz="6" w:space="0"/>
            </w:tcBorders>
            <w:vAlign w:val="center"/>
          </w:tcPr>
          <w:p w14:paraId="00000140">
            <w:pPr>
              <w:spacing w:before="20" w:after="20" w:line="264" w:lineRule="auto"/>
              <w:jc w:val="both"/>
            </w:pPr>
            <w:r>
              <w:rPr>
                <w:sz w:val="22"/>
                <w:szCs w:val="22"/>
                <w:rtl w:val="0"/>
              </w:rPr>
              <w:t>7</w:t>
            </w:r>
          </w:p>
        </w:tc>
        <w:tc>
          <w:tcPr>
            <w:tcBorders>
              <w:top w:val="single" w:color="000000" w:sz="6" w:space="0"/>
              <w:left w:val="single" w:color="000000" w:sz="6" w:space="0"/>
              <w:bottom w:val="single" w:color="000000" w:sz="6" w:space="0"/>
              <w:right w:val="single" w:color="000000" w:sz="6" w:space="0"/>
            </w:tcBorders>
            <w:vAlign w:val="center"/>
          </w:tcPr>
          <w:p w14:paraId="00000141">
            <w:pPr>
              <w:spacing w:before="20" w:after="20" w:line="264" w:lineRule="auto"/>
              <w:jc w:val="both"/>
            </w:pPr>
            <w:r>
              <w:rPr>
                <w:sz w:val="22"/>
                <w:szCs w:val="22"/>
                <w:rtl w:val="0"/>
              </w:rPr>
              <w:t>9.358</w:t>
            </w:r>
          </w:p>
        </w:tc>
      </w:tr>
      <w:tr w14:paraId="42CEFD73">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42">
            <w:pPr>
              <w:spacing w:before="20" w:after="20" w:line="264" w:lineRule="auto"/>
              <w:jc w:val="both"/>
            </w:pPr>
            <w:r>
              <w:rPr>
                <w:sz w:val="22"/>
                <w:szCs w:val="22"/>
                <w:rtl w:val="0"/>
              </w:rPr>
              <w:t>1076 XP</w:t>
            </w:r>
          </w:p>
        </w:tc>
        <w:tc>
          <w:tcPr>
            <w:tcBorders>
              <w:top w:val="single" w:color="000000" w:sz="6" w:space="0"/>
              <w:left w:val="single" w:color="000000" w:sz="6" w:space="0"/>
              <w:bottom w:val="single" w:color="000000" w:sz="6" w:space="0"/>
              <w:right w:val="single" w:color="000000" w:sz="6" w:space="0"/>
            </w:tcBorders>
            <w:vAlign w:val="center"/>
          </w:tcPr>
          <w:p w14:paraId="00000143">
            <w:pPr>
              <w:spacing w:before="20" w:after="20" w:line="264" w:lineRule="auto"/>
              <w:jc w:val="both"/>
            </w:pPr>
            <w:r>
              <w:rPr>
                <w:sz w:val="22"/>
                <w:szCs w:val="22"/>
                <w:rtl w:val="0"/>
              </w:rPr>
              <w:t>2.750.000</w:t>
            </w:r>
          </w:p>
        </w:tc>
        <w:tc>
          <w:tcPr>
            <w:tcBorders>
              <w:top w:val="single" w:color="000000" w:sz="6" w:space="0"/>
              <w:left w:val="single" w:color="000000" w:sz="6" w:space="0"/>
              <w:bottom w:val="single" w:color="000000" w:sz="6" w:space="0"/>
              <w:right w:val="single" w:color="000000" w:sz="6" w:space="0"/>
            </w:tcBorders>
            <w:vAlign w:val="center"/>
          </w:tcPr>
          <w:p w14:paraId="00000144">
            <w:pPr>
              <w:spacing w:before="20" w:after="20" w:line="264" w:lineRule="auto"/>
              <w:jc w:val="both"/>
            </w:pPr>
            <w:r>
              <w:rPr>
                <w:sz w:val="22"/>
                <w:szCs w:val="22"/>
                <w:rtl w:val="0"/>
              </w:rPr>
              <w:t>309</w:t>
            </w:r>
          </w:p>
        </w:tc>
        <w:tc>
          <w:tcPr>
            <w:tcBorders>
              <w:top w:val="single" w:color="000000" w:sz="6" w:space="0"/>
              <w:left w:val="single" w:color="000000" w:sz="6" w:space="0"/>
              <w:bottom w:val="single" w:color="000000" w:sz="6" w:space="0"/>
              <w:right w:val="single" w:color="000000" w:sz="6" w:space="0"/>
            </w:tcBorders>
            <w:vAlign w:val="center"/>
          </w:tcPr>
          <w:p w14:paraId="00000145">
            <w:pPr>
              <w:spacing w:before="20" w:after="20" w:line="264" w:lineRule="auto"/>
              <w:jc w:val="both"/>
            </w:pPr>
            <w:r>
              <w:rPr>
                <w:sz w:val="22"/>
                <w:szCs w:val="22"/>
                <w:rtl w:val="0"/>
              </w:rPr>
              <w:t>8</w:t>
            </w:r>
          </w:p>
        </w:tc>
        <w:tc>
          <w:tcPr>
            <w:tcBorders>
              <w:top w:val="single" w:color="000000" w:sz="6" w:space="0"/>
              <w:left w:val="single" w:color="000000" w:sz="6" w:space="0"/>
              <w:bottom w:val="single" w:color="000000" w:sz="6" w:space="0"/>
              <w:right w:val="single" w:color="000000" w:sz="6" w:space="0"/>
            </w:tcBorders>
            <w:vAlign w:val="center"/>
          </w:tcPr>
          <w:p w14:paraId="00000146">
            <w:pPr>
              <w:spacing w:before="20" w:after="20" w:line="264" w:lineRule="auto"/>
              <w:jc w:val="both"/>
            </w:pPr>
            <w:r>
              <w:rPr>
                <w:sz w:val="22"/>
                <w:szCs w:val="22"/>
                <w:rtl w:val="0"/>
              </w:rPr>
              <w:t>8.900</w:t>
            </w:r>
          </w:p>
        </w:tc>
      </w:tr>
    </w:tbl>
    <w:p w14:paraId="00000147">
      <w:pPr>
        <w:spacing w:after="160"/>
      </w:pPr>
      <w:r>
        <w:rPr>
          <w:rtl w:val="0"/>
        </w:rPr>
        <w:t xml:space="preserve"> </w:t>
      </w:r>
    </w:p>
    <w:p w14:paraId="00000148">
      <w:pPr>
        <w:ind w:left="800" w:firstLine="0"/>
        <w:jc w:val="both"/>
      </w:pPr>
      <w:r>
        <w:rPr>
          <w:rtl w:val="0"/>
        </w:rPr>
        <w:t xml:space="preserve">•  </w:t>
      </w:r>
      <w:r>
        <w:rPr>
          <w:rtl w:val="0"/>
        </w:rPr>
        <w:tab/>
      </w:r>
      <w:r>
        <w:rPr>
          <w:rtl w:val="0"/>
        </w:rPr>
        <w:t xml:space="preserve">Căn có giá cao nhất là </w:t>
      </w:r>
      <w:r>
        <w:rPr>
          <w:b/>
          <w:bCs/>
          <w:rtl w:val="0"/>
        </w:rPr>
        <w:t>1017 EL</w:t>
      </w:r>
      <w:r>
        <w:rPr>
          <w:rtl w:val="0"/>
        </w:rPr>
        <w:t xml:space="preserve"> (5,95 triệu EUR), tiếp theo là 1075 AH (5,85 triệu EUR).</w:t>
      </w:r>
    </w:p>
    <w:p w14:paraId="00000149">
      <w:pPr>
        <w:ind w:left="800" w:firstLine="0"/>
        <w:jc w:val="both"/>
      </w:pPr>
      <w:r>
        <w:rPr>
          <w:rtl w:val="0"/>
        </w:rPr>
        <w:t xml:space="preserve">•  </w:t>
      </w:r>
      <w:r>
        <w:rPr>
          <w:rtl w:val="0"/>
        </w:rPr>
        <w:tab/>
      </w:r>
      <w:r>
        <w:rPr>
          <w:rtl w:val="0"/>
        </w:rPr>
        <w:t xml:space="preserve">Xếp hạng theo giá và xếp hạng theo giá trên m^2 không trùng nhau. </w:t>
      </w:r>
      <w:r>
        <w:rPr>
          <w:b/>
          <w:bCs/>
          <w:rtl w:val="0"/>
        </w:rPr>
        <w:t>1012 JS</w:t>
      </w:r>
      <w:r>
        <w:rPr>
          <w:rtl w:val="0"/>
        </w:rPr>
        <w:t xml:space="preserve"> chỉ đứng thứ 5 về giá (4,495 triệu EUR) nhưng có giá trên m^2 cao nhất top 10 (khoảng 25.253 EUR/m^2, gấp khoảng 1,7 lần 1017 EL) vì diện tích chỉ 178 m^2.</w:t>
      </w:r>
    </w:p>
    <w:p w14:paraId="0000014A">
      <w:pPr>
        <w:ind w:left="800" w:firstLine="0"/>
        <w:jc w:val="both"/>
      </w:pPr>
      <w:r>
        <w:rPr>
          <w:rtl w:val="0"/>
        </w:rPr>
        <w:t xml:space="preserve">•  </w:t>
      </w:r>
      <w:r>
        <w:rPr>
          <w:rtl w:val="0"/>
        </w:rPr>
        <w:tab/>
      </w:r>
      <w:r>
        <w:rPr>
          <w:rtl w:val="0"/>
        </w:rPr>
        <w:t xml:space="preserve">Ngược lại, </w:t>
      </w:r>
      <w:r>
        <w:rPr>
          <w:b/>
          <w:bCs/>
          <w:rtl w:val="0"/>
        </w:rPr>
        <w:t>1016 AE</w:t>
      </w:r>
      <w:r>
        <w:rPr>
          <w:rtl w:val="0"/>
        </w:rPr>
        <w:t xml:space="preserve"> đứng thứ 3 về giá nhưng có giá trên m^2 thấp nhất top 10 (khoảng 7.865 EUR/m^2) vì diện tích lên tới 623 m^2. Vì vậy khi so sánh mức giá giữa các khu vực nên dùng PriceperSqm thay vì chỉ dùng Price.</w:t>
      </w:r>
    </w:p>
    <w:p w14:paraId="258293A0">
      <w:pPr>
        <w:pStyle w:val="4"/>
      </w:pPr>
      <w:bookmarkStart w:id="21" w:name="_Toc5014"/>
      <w:r>
        <w:t>1.2.4. Bài tập: Red Wine Quality</w:t>
      </w:r>
      <w:bookmarkEnd w:id="21"/>
    </w:p>
    <w:p w14:paraId="0000014C">
      <w:pPr>
        <w:ind w:firstLine="567"/>
        <w:jc w:val="both"/>
      </w:pPr>
      <w:r>
        <w:rPr>
          <w:rtl w:val="0"/>
        </w:rPr>
        <w:t>Tập dữ liệu gồm 1.599 mẫu, 11 biến hóa học và biến quality (điểm chất lượng từ 3 đến 8).</w:t>
      </w:r>
    </w:p>
    <w:p w14:paraId="0000014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 Biến mục tiêu quality</w:t>
      </w:r>
    </w:p>
    <w:p w14:paraId="0000014E">
      <w:pPr>
        <w:spacing w:before="40" w:after="60"/>
        <w:jc w:val="center"/>
        <w:rPr>
          <w:b/>
          <w:bCs/>
        </w:rPr>
      </w:pPr>
      <w:r>
        <w:drawing>
          <wp:inline distT="0" distB="0" distL="0" distR="0">
            <wp:extent cx="5731510" cy="2171700"/>
            <wp:effectExtent l="0" t="0" r="0" b="0"/>
            <wp:docPr id="63" name="image34.png"/>
            <wp:cNvGraphicFramePr/>
            <a:graphic xmlns:a="http://schemas.openxmlformats.org/drawingml/2006/main">
              <a:graphicData uri="http://schemas.openxmlformats.org/drawingml/2006/picture">
                <pic:pic xmlns:pic="http://schemas.openxmlformats.org/drawingml/2006/picture">
                  <pic:nvPicPr>
                    <pic:cNvPr id="63" name="image34.png"/>
                    <pic:cNvPicPr preferRelativeResize="0"/>
                  </pic:nvPicPr>
                  <pic:blipFill>
                    <a:blip r:embed="rId21"/>
                    <a:srcRect/>
                    <a:stretch>
                      <a:fillRect/>
                    </a:stretch>
                  </pic:blipFill>
                  <pic:spPr>
                    <a:xfrm>
                      <a:off x="0" y="0"/>
                      <a:ext cx="5731510" cy="2171700"/>
                    </a:xfrm>
                    <a:prstGeom prst="rect">
                      <a:avLst/>
                    </a:prstGeom>
                  </pic:spPr>
                </pic:pic>
              </a:graphicData>
            </a:graphic>
          </wp:inline>
        </w:drawing>
      </w:r>
    </w:p>
    <w:p w14:paraId="0000014F">
      <w:pPr>
        <w:spacing w:before="80" w:after="100" w:line="276" w:lineRule="auto"/>
        <w:jc w:val="center"/>
        <w:rPr>
          <w:i/>
          <w:iCs/>
        </w:rPr>
      </w:pPr>
      <w:r>
        <w:rPr>
          <w:i/>
          <w:iCs/>
          <w:sz w:val="24"/>
          <w:szCs w:val="24"/>
          <w:rtl w:val="0"/>
        </w:rPr>
        <w:t>Hình 1.2.6 – Số mẫu theo mức chất lượng rượu</w:t>
      </w:r>
    </w:p>
    <w:p w14:paraId="00000150">
      <w:pPr>
        <w:ind w:firstLine="567"/>
        <w:jc w:val="both"/>
      </w:pPr>
      <w:r>
        <w:rPr>
          <w:rtl w:val="0"/>
        </w:rPr>
        <w:t xml:space="preserve">Dữ liệu tập trung ở hai mức 5 (681 mẫu, 42,6%) và 6 (638 mẫu, 39,9%), cộng lại chiếm khoảng 82,5%. Mức 7 có 199 mẫu (12,4%); các mức 3, 4 và 8 chỉ có 10, 53 và 18 mẫu. Vì vậy quality </w:t>
      </w:r>
      <w:r>
        <w:rPr>
          <w:b/>
          <w:bCs/>
          <w:rtl w:val="0"/>
        </w:rPr>
        <w:t>mất cân bằng nghiêm trọng</w:t>
      </w:r>
      <w:r>
        <w:rPr>
          <w:rtl w:val="0"/>
        </w:rPr>
        <w:t>; nếu dùng quality làm nhãn phân lớp thì chỉ số accuracy dễ gây hiểu lầm. Biểu đồ tròn trong notebook bị chồng nhãn ở các lát nhỏ (3, 4, 8), do đó báo cáo dùng biểu đồ cột và ghi tỷ lệ bằng chữ.</w:t>
      </w:r>
    </w:p>
    <w:p w14:paraId="0000015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b/ Phân bố của từng biến</w:t>
      </w:r>
    </w:p>
    <w:p w14:paraId="00000152">
      <w:pPr>
        <w:spacing w:before="40" w:after="60"/>
        <w:jc w:val="center"/>
        <w:rPr>
          <w:b/>
          <w:bCs/>
        </w:rPr>
      </w:pPr>
      <w:r>
        <w:drawing>
          <wp:inline distT="0" distB="0" distL="0" distR="0">
            <wp:extent cx="5731510" cy="3479800"/>
            <wp:effectExtent l="0" t="0" r="0" b="0"/>
            <wp:docPr id="64" name="image28.png"/>
            <wp:cNvGraphicFramePr/>
            <a:graphic xmlns:a="http://schemas.openxmlformats.org/drawingml/2006/main">
              <a:graphicData uri="http://schemas.openxmlformats.org/drawingml/2006/picture">
                <pic:pic xmlns:pic="http://schemas.openxmlformats.org/drawingml/2006/picture">
                  <pic:nvPicPr>
                    <pic:cNvPr id="64" name="image28.png"/>
                    <pic:cNvPicPr preferRelativeResize="0"/>
                  </pic:nvPicPr>
                  <pic:blipFill>
                    <a:blip r:embed="rId22"/>
                    <a:srcRect/>
                    <a:stretch>
                      <a:fillRect/>
                    </a:stretch>
                  </pic:blipFill>
                  <pic:spPr>
                    <a:xfrm>
                      <a:off x="0" y="0"/>
                      <a:ext cx="5731510" cy="3479800"/>
                    </a:xfrm>
                    <a:prstGeom prst="rect">
                      <a:avLst/>
                    </a:prstGeom>
                  </pic:spPr>
                </pic:pic>
              </a:graphicData>
            </a:graphic>
          </wp:inline>
        </w:drawing>
      </w:r>
    </w:p>
    <w:p w14:paraId="00000153">
      <w:pPr>
        <w:spacing w:before="80" w:after="100" w:line="276" w:lineRule="auto"/>
        <w:jc w:val="center"/>
        <w:rPr>
          <w:i/>
          <w:iCs/>
        </w:rPr>
      </w:pPr>
      <w:r>
        <w:rPr>
          <w:i/>
          <w:iCs/>
          <w:sz w:val="24"/>
          <w:szCs w:val="24"/>
          <w:rtl w:val="0"/>
        </w:rPr>
        <w:t>Hình 1.2.7 – Histogram kèm đường KDE của 11 biến hóa học (tiêu đề ghi độ lệch skew)</w:t>
      </w:r>
    </w:p>
    <w:p w14:paraId="00000154">
      <w:pPr>
        <w:ind w:left="800" w:firstLine="0"/>
        <w:jc w:val="both"/>
      </w:pPr>
      <w:r>
        <w:rPr>
          <w:rtl w:val="0"/>
        </w:rPr>
        <w:t xml:space="preserve">•  </w:t>
      </w:r>
      <w:r>
        <w:rPr>
          <w:rtl w:val="0"/>
        </w:rPr>
        <w:tab/>
      </w:r>
      <w:r>
        <w:rPr>
          <w:b/>
          <w:bCs/>
          <w:rtl w:val="0"/>
        </w:rPr>
        <w:t>Lệch phải mạnh:</w:t>
      </w:r>
      <w:r>
        <w:rPr>
          <w:rtl w:val="0"/>
        </w:rPr>
        <w:t xml:space="preserve"> chlorides (skew 5,68), residual sugar (4,54), sulphates (2,43); lệch vừa: total sulfur dioxide (1,52), free sulfur dioxide (1,25), fixed acidity (0,98), alcohol (0,86).</w:t>
      </w:r>
    </w:p>
    <w:p w14:paraId="00000155">
      <w:pPr>
        <w:ind w:left="800" w:firstLine="0"/>
        <w:jc w:val="both"/>
      </w:pPr>
      <w:r>
        <w:rPr>
          <w:rtl w:val="0"/>
        </w:rPr>
        <w:t xml:space="preserve">•  </w:t>
      </w:r>
      <w:r>
        <w:rPr>
          <w:rtl w:val="0"/>
        </w:rPr>
        <w:tab/>
      </w:r>
      <w:r>
        <w:rPr>
          <w:b/>
          <w:bCs/>
          <w:rtl w:val="0"/>
        </w:rPr>
        <w:t>Gần đối xứng:</w:t>
      </w:r>
      <w:r>
        <w:rPr>
          <w:rtl w:val="0"/>
        </w:rPr>
        <w:t xml:space="preserve"> density (0,07) và pH (0,19), hình dạng gần phân bố chuẩn.</w:t>
      </w:r>
    </w:p>
    <w:p w14:paraId="00000156">
      <w:pPr>
        <w:ind w:left="800" w:firstLine="0"/>
        <w:jc w:val="both"/>
      </w:pPr>
      <w:r>
        <w:rPr>
          <w:rtl w:val="0"/>
        </w:rPr>
        <w:t xml:space="preserve">•  </w:t>
      </w:r>
      <w:r>
        <w:rPr>
          <w:rtl w:val="0"/>
        </w:rPr>
        <w:tab/>
      </w:r>
      <w:r>
        <w:rPr>
          <w:rtl w:val="0"/>
        </w:rPr>
        <w:t>Alcohol tập trung quanh 9,5% (cột cao nhất khoảng 350 mẫu) và đuôi kéo dài tới khoảng 14,9%. Citric acid có một cột nhô cao ở giá trị 0 (khoảng 245 mẫu), cho thấy nhiều mẫu không chứa citric acid.</w:t>
      </w:r>
    </w:p>
    <w:p w14:paraId="0000015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c/ Quan hệ với quality</w:t>
      </w:r>
    </w:p>
    <w:p w14:paraId="00000158">
      <w:pPr>
        <w:spacing w:before="40" w:after="60"/>
        <w:jc w:val="center"/>
        <w:rPr>
          <w:b/>
          <w:bCs/>
        </w:rPr>
      </w:pPr>
      <w:r>
        <w:drawing>
          <wp:inline distT="0" distB="0" distL="0" distR="0">
            <wp:extent cx="5731510" cy="2844800"/>
            <wp:effectExtent l="0" t="0" r="0" b="0"/>
            <wp:docPr id="65" name="image27.png"/>
            <wp:cNvGraphicFramePr/>
            <a:graphic xmlns:a="http://schemas.openxmlformats.org/drawingml/2006/main">
              <a:graphicData uri="http://schemas.openxmlformats.org/drawingml/2006/picture">
                <pic:pic xmlns:pic="http://schemas.openxmlformats.org/drawingml/2006/picture">
                  <pic:nvPicPr>
                    <pic:cNvPr id="65" name="image27.png"/>
                    <pic:cNvPicPr preferRelativeResize="0"/>
                  </pic:nvPicPr>
                  <pic:blipFill>
                    <a:blip r:embed="rId23"/>
                    <a:srcRect/>
                    <a:stretch>
                      <a:fillRect/>
                    </a:stretch>
                  </pic:blipFill>
                  <pic:spPr>
                    <a:xfrm>
                      <a:off x="0" y="0"/>
                      <a:ext cx="5731510" cy="2844800"/>
                    </a:xfrm>
                    <a:prstGeom prst="rect">
                      <a:avLst/>
                    </a:prstGeom>
                  </pic:spPr>
                </pic:pic>
              </a:graphicData>
            </a:graphic>
          </wp:inline>
        </w:drawing>
      </w:r>
    </w:p>
    <w:p w14:paraId="00000159">
      <w:pPr>
        <w:spacing w:before="80" w:after="100" w:line="276" w:lineRule="auto"/>
        <w:jc w:val="center"/>
        <w:rPr>
          <w:i/>
          <w:iCs/>
        </w:rPr>
      </w:pPr>
      <w:r>
        <w:rPr>
          <w:i/>
          <w:iCs/>
          <w:sz w:val="24"/>
          <w:szCs w:val="24"/>
          <w:rtl w:val="0"/>
        </w:rPr>
        <w:t>Hình 1.2.8 – Boxplot của sáu biến theo từng mức quality</w:t>
      </w:r>
    </w:p>
    <w:p w14:paraId="0000015A">
      <w:pPr>
        <w:ind w:left="800" w:firstLine="0"/>
        <w:jc w:val="both"/>
      </w:pPr>
      <w:r>
        <w:rPr>
          <w:rtl w:val="0"/>
        </w:rPr>
        <w:t xml:space="preserve">•  </w:t>
      </w:r>
      <w:r>
        <w:rPr>
          <w:rtl w:val="0"/>
        </w:rPr>
        <w:tab/>
      </w:r>
      <w:r>
        <w:rPr>
          <w:b/>
          <w:bCs/>
          <w:rtl w:val="0"/>
        </w:rPr>
        <w:t>alcohol:</w:t>
      </w:r>
      <w:r>
        <w:rPr>
          <w:rtl w:val="0"/>
        </w:rPr>
        <w:t xml:space="preserve"> trung vị tăng rõ từ mức 5 lên mức 8.</w:t>
      </w:r>
    </w:p>
    <w:p w14:paraId="0000015B">
      <w:pPr>
        <w:ind w:left="800" w:firstLine="0"/>
        <w:jc w:val="both"/>
      </w:pPr>
      <w:r>
        <w:rPr>
          <w:rtl w:val="0"/>
        </w:rPr>
        <w:t xml:space="preserve">•  </w:t>
      </w:r>
      <w:r>
        <w:rPr>
          <w:rtl w:val="0"/>
        </w:rPr>
        <w:tab/>
      </w:r>
      <w:r>
        <w:rPr>
          <w:b/>
          <w:bCs/>
          <w:rtl w:val="0"/>
        </w:rPr>
        <w:t>volatile acidity:</w:t>
      </w:r>
      <w:r>
        <w:rPr>
          <w:rtl w:val="0"/>
        </w:rPr>
        <w:t xml:space="preserve"> giảm dần khi quality tăng, từ trung vị khoảng 0,85 ở mức 3 xuống khoảng 0,37 ở mức 8.</w:t>
      </w:r>
    </w:p>
    <w:p w14:paraId="0000015C">
      <w:pPr>
        <w:ind w:left="800" w:firstLine="0"/>
        <w:jc w:val="both"/>
      </w:pPr>
      <w:r>
        <w:rPr>
          <w:rtl w:val="0"/>
        </w:rPr>
        <w:t xml:space="preserve">•  </w:t>
      </w:r>
      <w:r>
        <w:rPr>
          <w:rtl w:val="0"/>
        </w:rPr>
        <w:tab/>
      </w:r>
      <w:r>
        <w:rPr>
          <w:b/>
          <w:bCs/>
          <w:rtl w:val="0"/>
        </w:rPr>
        <w:t>sulphates</w:t>
      </w:r>
      <w:r>
        <w:rPr>
          <w:rtl w:val="0"/>
        </w:rPr>
        <w:t xml:space="preserve"> và </w:t>
      </w:r>
      <w:r>
        <w:rPr>
          <w:b/>
          <w:bCs/>
          <w:rtl w:val="0"/>
        </w:rPr>
        <w:t>citric acid</w:t>
      </w:r>
      <w:r>
        <w:rPr>
          <w:rtl w:val="0"/>
        </w:rPr>
        <w:t xml:space="preserve"> có xu hướng tăng theo quality, </w:t>
      </w:r>
      <w:r>
        <w:rPr>
          <w:b/>
          <w:bCs/>
          <w:rtl w:val="0"/>
        </w:rPr>
        <w:t>density</w:t>
      </w:r>
      <w:r>
        <w:rPr>
          <w:rtl w:val="0"/>
        </w:rPr>
        <w:t xml:space="preserve"> có xu hướng giảm nhẹ.</w:t>
      </w:r>
    </w:p>
    <w:p w14:paraId="0000015D">
      <w:pPr>
        <w:ind w:left="800" w:firstLine="0"/>
        <w:jc w:val="both"/>
      </w:pPr>
      <w:r>
        <w:rPr>
          <w:rtl w:val="0"/>
        </w:rPr>
        <w:t xml:space="preserve">•  </w:t>
      </w:r>
      <w:r>
        <w:rPr>
          <w:rtl w:val="0"/>
        </w:rPr>
        <w:tab/>
      </w:r>
      <w:r>
        <w:rPr>
          <w:rtl w:val="0"/>
        </w:rPr>
        <w:t>Có nhiều ngoại lai: sulphates ở nhóm quality 5 và 6, total sulfur dioxide ở nhóm 7 (hai điểm khoảng 280–290). Trong EDA các điểm này được giữ nguyên để quan sát, việc xử lý thuộc bước tiền xử lý.</w:t>
      </w:r>
    </w:p>
    <w:p w14:paraId="0000015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d/ Tương quan giữa các biến</w:t>
      </w:r>
    </w:p>
    <w:p w14:paraId="0000015F">
      <w:pPr>
        <w:spacing w:before="40" w:after="60"/>
        <w:jc w:val="center"/>
        <w:rPr>
          <w:b/>
          <w:bCs/>
        </w:rPr>
      </w:pPr>
      <w:r>
        <w:drawing>
          <wp:inline distT="0" distB="0" distL="0" distR="0">
            <wp:extent cx="4635500" cy="3852545"/>
            <wp:effectExtent l="0" t="0" r="0" b="0"/>
            <wp:docPr id="66" name="image30.png"/>
            <wp:cNvGraphicFramePr/>
            <a:graphic xmlns:a="http://schemas.openxmlformats.org/drawingml/2006/main">
              <a:graphicData uri="http://schemas.openxmlformats.org/drawingml/2006/picture">
                <pic:pic xmlns:pic="http://schemas.openxmlformats.org/drawingml/2006/picture">
                  <pic:nvPicPr>
                    <pic:cNvPr id="66" name="image30.png"/>
                    <pic:cNvPicPr preferRelativeResize="0"/>
                  </pic:nvPicPr>
                  <pic:blipFill>
                    <a:blip r:embed="rId24"/>
                    <a:srcRect/>
                    <a:stretch>
                      <a:fillRect/>
                    </a:stretch>
                  </pic:blipFill>
                  <pic:spPr>
                    <a:xfrm>
                      <a:off x="0" y="0"/>
                      <a:ext cx="4635500" cy="3852545"/>
                    </a:xfrm>
                    <a:prstGeom prst="rect">
                      <a:avLst/>
                    </a:prstGeom>
                  </pic:spPr>
                </pic:pic>
              </a:graphicData>
            </a:graphic>
          </wp:inline>
        </w:drawing>
      </w:r>
    </w:p>
    <w:p w14:paraId="00000160">
      <w:pPr>
        <w:spacing w:before="80" w:after="100" w:line="276" w:lineRule="auto"/>
        <w:jc w:val="center"/>
        <w:rPr>
          <w:i/>
          <w:iCs/>
        </w:rPr>
      </w:pPr>
      <w:r>
        <w:rPr>
          <w:i/>
          <w:iCs/>
          <w:sz w:val="24"/>
          <w:szCs w:val="24"/>
          <w:rtl w:val="0"/>
        </w:rPr>
        <w:t>Hình 1.2.9 – Ma trận tương quan của Red Wine Quality</w:t>
      </w:r>
    </w:p>
    <w:p w14:paraId="00000161">
      <w:pPr>
        <w:ind w:firstLine="567"/>
        <w:jc w:val="both"/>
      </w:pPr>
      <w:r>
        <w:rPr>
          <w:rtl w:val="0"/>
        </w:rPr>
        <w:t xml:space="preserve">Với quality, tương quan dương mạnh nhất là </w:t>
      </w:r>
      <w:r>
        <w:rPr>
          <w:b/>
          <w:bCs/>
          <w:rtl w:val="0"/>
        </w:rPr>
        <w:t>alcohol (0,48)</w:t>
      </w:r>
      <w:r>
        <w:rPr>
          <w:rtl w:val="0"/>
        </w:rPr>
        <w:t xml:space="preserve">, tiếp theo là sulphates (0,25) và citric acid (0,23), tương quan âm mạnh nhất là </w:t>
      </w:r>
      <w:sdt>
        <w:sdtPr>
          <w:tag w:val="goog_rdk_0"/>
          <w:id w:val="-226677374"/>
        </w:sdtPr>
        <w:sdtContent>
          <w:r>
            <w:rPr>
              <w:rFonts w:ascii="Gungsuh" w:hAnsi="Gungsuh" w:eastAsia="Gungsuh" w:cs="Gungsuh"/>
              <w:b/>
              <w:bCs/>
              <w:rtl w:val="0"/>
            </w:rPr>
            <w:t>volatile acidity (−0,39)</w:t>
          </w:r>
        </w:sdtContent>
      </w:sdt>
      <w:r>
        <w:rPr>
          <w:rtl w:val="0"/>
        </w:rPr>
        <w:t>. Các biến còn lại có r nhỏ. Giữa các biến đầu vào có các cặp tương quan cao: fixed acidity với density (0,67), với citric acid (0,67) và với pH (−0,68), free với total sulfur dioxide (0,67), alcohol với density (−0,50). Các cặp này cần lưu ý (đa cộng tuyến) khi xây mô hình.</w:t>
      </w:r>
    </w:p>
    <w:p w14:paraId="00000162">
      <w:pPr>
        <w:spacing w:before="40" w:after="60"/>
        <w:jc w:val="center"/>
      </w:pPr>
      <w:r>
        <w:drawing>
          <wp:inline distT="0" distB="0" distL="0" distR="0">
            <wp:extent cx="5731510" cy="1549400"/>
            <wp:effectExtent l="0" t="0" r="0" b="0"/>
            <wp:docPr id="67" name="image18.png"/>
            <wp:cNvGraphicFramePr/>
            <a:graphic xmlns:a="http://schemas.openxmlformats.org/drawingml/2006/main">
              <a:graphicData uri="http://schemas.openxmlformats.org/drawingml/2006/picture">
                <pic:pic xmlns:pic="http://schemas.openxmlformats.org/drawingml/2006/picture">
                  <pic:nvPicPr>
                    <pic:cNvPr id="67" name="image18.png"/>
                    <pic:cNvPicPr preferRelativeResize="0"/>
                  </pic:nvPicPr>
                  <pic:blipFill>
                    <a:blip r:embed="rId25"/>
                    <a:srcRect/>
                    <a:stretch>
                      <a:fillRect/>
                    </a:stretch>
                  </pic:blipFill>
                  <pic:spPr>
                    <a:xfrm>
                      <a:off x="0" y="0"/>
                      <a:ext cx="5731510" cy="1549400"/>
                    </a:xfrm>
                    <a:prstGeom prst="rect">
                      <a:avLst/>
                    </a:prstGeom>
                  </pic:spPr>
                </pic:pic>
              </a:graphicData>
            </a:graphic>
          </wp:inline>
        </w:drawing>
      </w:r>
    </w:p>
    <w:p w14:paraId="00000163">
      <w:pPr>
        <w:spacing w:before="80" w:after="100" w:line="276" w:lineRule="auto"/>
        <w:jc w:val="center"/>
        <w:rPr>
          <w:i/>
          <w:iCs/>
        </w:rPr>
      </w:pPr>
      <w:r>
        <w:rPr>
          <w:i/>
          <w:iCs/>
          <w:sz w:val="24"/>
          <w:szCs w:val="24"/>
          <w:rtl w:val="0"/>
        </w:rPr>
        <w:t>Hình 1.2.10 – Scatter plot: alcohol – volatile acidity (màu theo quality), fixed acidity – density, free – total sulfur dioxide</w:t>
      </w:r>
    </w:p>
    <w:p w14:paraId="00000164">
      <w:pPr>
        <w:ind w:firstLine="567"/>
        <w:jc w:val="both"/>
      </w:pPr>
      <w:r>
        <w:rPr>
          <w:rtl w:val="0"/>
        </w:rPr>
        <w:t>Biểu đồ phân tán xác nhận ba điểm trên: các mẫu quality cao (màu vàng, xanh lá) tập trung ở vùng alcohol cao và volatile acidity thấp, fixed acidity và density tăng cùng nhau, free và total sulfur dioxide có quan hệ đồng biến rõ.</w:t>
      </w:r>
    </w:p>
    <w:p w14:paraId="7D6A01BA">
      <w:pPr>
        <w:pStyle w:val="4"/>
      </w:pPr>
      <w:bookmarkStart w:id="22" w:name="_Toc5015"/>
      <w:r>
        <w:t>1.2.5. Bài tập: Pima Indians Diabetes</w:t>
      </w:r>
      <w:bookmarkEnd w:id="22"/>
    </w:p>
    <w:p w14:paraId="0000016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 Biến Outcome và giá trị 0 bất thường</w:t>
      </w:r>
    </w:p>
    <w:p w14:paraId="00000167">
      <w:pPr>
        <w:spacing w:before="40" w:after="60"/>
        <w:jc w:val="center"/>
        <w:rPr>
          <w:b/>
          <w:bCs/>
        </w:rPr>
      </w:pPr>
      <w:r>
        <w:drawing>
          <wp:inline distT="0" distB="0" distL="0" distR="0">
            <wp:extent cx="5731510" cy="1943100"/>
            <wp:effectExtent l="0" t="0" r="0" b="0"/>
            <wp:docPr id="68" name="image29.png"/>
            <wp:cNvGraphicFramePr/>
            <a:graphic xmlns:a="http://schemas.openxmlformats.org/drawingml/2006/main">
              <a:graphicData uri="http://schemas.openxmlformats.org/drawingml/2006/picture">
                <pic:pic xmlns:pic="http://schemas.openxmlformats.org/drawingml/2006/picture">
                  <pic:nvPicPr>
                    <pic:cNvPr id="68" name="image29.png"/>
                    <pic:cNvPicPr preferRelativeResize="0"/>
                  </pic:nvPicPr>
                  <pic:blipFill>
                    <a:blip r:embed="rId26"/>
                    <a:srcRect/>
                    <a:stretch>
                      <a:fillRect/>
                    </a:stretch>
                  </pic:blipFill>
                  <pic:spPr>
                    <a:xfrm>
                      <a:off x="0" y="0"/>
                      <a:ext cx="5731510" cy="1943100"/>
                    </a:xfrm>
                    <a:prstGeom prst="rect">
                      <a:avLst/>
                    </a:prstGeom>
                  </pic:spPr>
                </pic:pic>
              </a:graphicData>
            </a:graphic>
          </wp:inline>
        </w:drawing>
      </w:r>
    </w:p>
    <w:p w14:paraId="00000168">
      <w:pPr>
        <w:spacing w:before="80" w:after="100" w:line="276" w:lineRule="auto"/>
        <w:jc w:val="center"/>
        <w:rPr>
          <w:i/>
          <w:iCs/>
        </w:rPr>
      </w:pPr>
      <w:r>
        <w:rPr>
          <w:i/>
          <w:iCs/>
          <w:sz w:val="24"/>
          <w:szCs w:val="24"/>
          <w:rtl w:val="0"/>
        </w:rPr>
        <w:t>Hình 1.2.11 – Số mẫu theo Outcome (trái) và tỷ lệ giá trị bằng 0 ở các cột y học (phải)</w:t>
      </w:r>
    </w:p>
    <w:p w14:paraId="00000169">
      <w:pPr>
        <w:ind w:firstLine="567"/>
        <w:jc w:val="both"/>
      </w:pPr>
      <w:r>
        <w:rPr>
          <w:rtl w:val="0"/>
        </w:rPr>
        <w:t xml:space="preserve">Outcome có 500 mẫu không bệnh (65,1%) và 268 mẫu có bệnh (34,9%), tức mất cân bằng ở mức vừa. Năm cột đo lường y học có giá trị 0 không hợp lý về mặt sinh học, nên được coi là </w:t>
      </w:r>
      <w:r>
        <w:rPr>
          <w:b/>
          <w:bCs/>
          <w:rtl w:val="0"/>
        </w:rPr>
        <w:t>dữ liệu thiếu</w:t>
      </w:r>
      <w:r>
        <w:rPr>
          <w:rtl w:val="0"/>
        </w:rPr>
        <w:t xml:space="preserve"> và thay bằng NaN trước khi vẽ các biểu đồ còn lại.</w:t>
      </w:r>
    </w:p>
    <w:tbl>
      <w:tblPr>
        <w:tblStyle w:val="39"/>
        <w:tblW w:w="9000" w:type="dxa"/>
        <w:jc w:val="center"/>
        <w:tblLayout w:type="fixed"/>
        <w:tblCellMar>
          <w:top w:w="60" w:type="dxa"/>
          <w:left w:w="100" w:type="dxa"/>
          <w:bottom w:w="60" w:type="dxa"/>
          <w:right w:w="100" w:type="dxa"/>
        </w:tblCellMar>
      </w:tblPr>
      <w:tblGrid>
        <w:gridCol w:w="3044"/>
        <w:gridCol w:w="2970"/>
        <w:gridCol w:w="2986"/>
      </w:tblGrid>
      <w:tr w14:paraId="10F7DFA2">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6A">
            <w:pPr>
              <w:spacing w:before="20" w:after="20" w:line="264" w:lineRule="auto"/>
              <w:jc w:val="both"/>
              <w:rPr>
                <w:b/>
                <w:bCs/>
              </w:rPr>
            </w:pPr>
            <w:r>
              <w:rPr>
                <w:b/>
                <w:bCs/>
                <w:sz w:val="24"/>
                <w:szCs w:val="24"/>
                <w:rtl w:val="0"/>
              </w:rPr>
              <w:t>Cột</w:t>
            </w:r>
          </w:p>
        </w:tc>
        <w:tc>
          <w:tcPr>
            <w:tcBorders>
              <w:top w:val="single" w:color="000000" w:sz="6" w:space="0"/>
              <w:left w:val="single" w:color="000000" w:sz="6" w:space="0"/>
              <w:bottom w:val="single" w:color="000000" w:sz="6" w:space="0"/>
              <w:right w:val="single" w:color="000000" w:sz="6" w:space="0"/>
            </w:tcBorders>
            <w:vAlign w:val="center"/>
          </w:tcPr>
          <w:p w14:paraId="0000016B">
            <w:pPr>
              <w:spacing w:before="20" w:after="20" w:line="264" w:lineRule="auto"/>
              <w:jc w:val="both"/>
              <w:rPr>
                <w:b/>
                <w:bCs/>
              </w:rPr>
            </w:pPr>
            <w:r>
              <w:rPr>
                <w:b/>
                <w:bCs/>
                <w:sz w:val="24"/>
                <w:szCs w:val="24"/>
                <w:rtl w:val="0"/>
              </w:rPr>
              <w:t>Số giá trị 0</w:t>
            </w:r>
          </w:p>
        </w:tc>
        <w:tc>
          <w:tcPr>
            <w:tcBorders>
              <w:top w:val="single" w:color="000000" w:sz="6" w:space="0"/>
              <w:left w:val="single" w:color="000000" w:sz="6" w:space="0"/>
              <w:bottom w:val="single" w:color="000000" w:sz="6" w:space="0"/>
              <w:right w:val="single" w:color="000000" w:sz="6" w:space="0"/>
            </w:tcBorders>
            <w:vAlign w:val="center"/>
          </w:tcPr>
          <w:p w14:paraId="0000016C">
            <w:pPr>
              <w:spacing w:before="20" w:after="20" w:line="264" w:lineRule="auto"/>
              <w:jc w:val="both"/>
              <w:rPr>
                <w:b/>
                <w:bCs/>
              </w:rPr>
            </w:pPr>
            <w:r>
              <w:rPr>
                <w:b/>
                <w:bCs/>
                <w:sz w:val="24"/>
                <w:szCs w:val="24"/>
                <w:rtl w:val="0"/>
              </w:rPr>
              <w:t>Tỷ lệ</w:t>
            </w:r>
          </w:p>
        </w:tc>
      </w:tr>
      <w:tr w14:paraId="250DC00C">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6D">
            <w:pPr>
              <w:spacing w:before="20" w:after="20" w:line="264" w:lineRule="auto"/>
              <w:jc w:val="both"/>
            </w:pPr>
            <w:r>
              <w:rPr>
                <w:sz w:val="24"/>
                <w:szCs w:val="24"/>
                <w:rtl w:val="0"/>
              </w:rPr>
              <w:t>Glucose</w:t>
            </w:r>
          </w:p>
        </w:tc>
        <w:tc>
          <w:tcPr>
            <w:tcBorders>
              <w:top w:val="single" w:color="000000" w:sz="6" w:space="0"/>
              <w:left w:val="single" w:color="000000" w:sz="6" w:space="0"/>
              <w:bottom w:val="single" w:color="000000" w:sz="6" w:space="0"/>
              <w:right w:val="single" w:color="000000" w:sz="6" w:space="0"/>
            </w:tcBorders>
            <w:vAlign w:val="center"/>
          </w:tcPr>
          <w:p w14:paraId="0000016E">
            <w:pPr>
              <w:spacing w:before="20" w:after="20" w:line="264" w:lineRule="auto"/>
              <w:jc w:val="both"/>
            </w:pPr>
            <w:r>
              <w:rPr>
                <w:sz w:val="24"/>
                <w:szCs w:val="24"/>
                <w:rtl w:val="0"/>
              </w:rPr>
              <w:t>5</w:t>
            </w:r>
          </w:p>
        </w:tc>
        <w:tc>
          <w:tcPr>
            <w:tcBorders>
              <w:top w:val="single" w:color="000000" w:sz="6" w:space="0"/>
              <w:left w:val="single" w:color="000000" w:sz="6" w:space="0"/>
              <w:bottom w:val="single" w:color="000000" w:sz="6" w:space="0"/>
              <w:right w:val="single" w:color="000000" w:sz="6" w:space="0"/>
            </w:tcBorders>
            <w:vAlign w:val="center"/>
          </w:tcPr>
          <w:p w14:paraId="0000016F">
            <w:pPr>
              <w:spacing w:before="20" w:after="20" w:line="264" w:lineRule="auto"/>
              <w:jc w:val="both"/>
            </w:pPr>
            <w:r>
              <w:rPr>
                <w:sz w:val="24"/>
                <w:szCs w:val="24"/>
                <w:rtl w:val="0"/>
              </w:rPr>
              <w:t>0,7%</w:t>
            </w:r>
          </w:p>
        </w:tc>
      </w:tr>
      <w:tr w14:paraId="79D87AE4">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70">
            <w:pPr>
              <w:spacing w:before="20" w:after="20" w:line="264" w:lineRule="auto"/>
              <w:jc w:val="both"/>
            </w:pPr>
            <w:r>
              <w:rPr>
                <w:sz w:val="24"/>
                <w:szCs w:val="24"/>
                <w:rtl w:val="0"/>
              </w:rPr>
              <w:t>BloodPressure</w:t>
            </w:r>
          </w:p>
        </w:tc>
        <w:tc>
          <w:tcPr>
            <w:tcBorders>
              <w:top w:val="single" w:color="000000" w:sz="6" w:space="0"/>
              <w:left w:val="single" w:color="000000" w:sz="6" w:space="0"/>
              <w:bottom w:val="single" w:color="000000" w:sz="6" w:space="0"/>
              <w:right w:val="single" w:color="000000" w:sz="6" w:space="0"/>
            </w:tcBorders>
            <w:vAlign w:val="center"/>
          </w:tcPr>
          <w:p w14:paraId="00000171">
            <w:pPr>
              <w:spacing w:before="20" w:after="20" w:line="264" w:lineRule="auto"/>
              <w:jc w:val="both"/>
            </w:pPr>
            <w:r>
              <w:rPr>
                <w:sz w:val="24"/>
                <w:szCs w:val="24"/>
                <w:rtl w:val="0"/>
              </w:rPr>
              <w:t>35</w:t>
            </w:r>
          </w:p>
        </w:tc>
        <w:tc>
          <w:tcPr>
            <w:tcBorders>
              <w:top w:val="single" w:color="000000" w:sz="6" w:space="0"/>
              <w:left w:val="single" w:color="000000" w:sz="6" w:space="0"/>
              <w:bottom w:val="single" w:color="000000" w:sz="6" w:space="0"/>
              <w:right w:val="single" w:color="000000" w:sz="6" w:space="0"/>
            </w:tcBorders>
            <w:vAlign w:val="center"/>
          </w:tcPr>
          <w:p w14:paraId="00000172">
            <w:pPr>
              <w:spacing w:before="20" w:after="20" w:line="264" w:lineRule="auto"/>
              <w:jc w:val="both"/>
            </w:pPr>
            <w:r>
              <w:rPr>
                <w:sz w:val="24"/>
                <w:szCs w:val="24"/>
                <w:rtl w:val="0"/>
              </w:rPr>
              <w:t>4,6%</w:t>
            </w:r>
          </w:p>
        </w:tc>
      </w:tr>
      <w:tr w14:paraId="430B6EAD">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73">
            <w:pPr>
              <w:spacing w:before="20" w:after="20" w:line="264" w:lineRule="auto"/>
              <w:jc w:val="both"/>
            </w:pPr>
            <w:r>
              <w:rPr>
                <w:sz w:val="24"/>
                <w:szCs w:val="24"/>
                <w:rtl w:val="0"/>
              </w:rPr>
              <w:t>SkinThickness</w:t>
            </w:r>
          </w:p>
        </w:tc>
        <w:tc>
          <w:tcPr>
            <w:tcBorders>
              <w:top w:val="single" w:color="000000" w:sz="6" w:space="0"/>
              <w:left w:val="single" w:color="000000" w:sz="6" w:space="0"/>
              <w:bottom w:val="single" w:color="000000" w:sz="6" w:space="0"/>
              <w:right w:val="single" w:color="000000" w:sz="6" w:space="0"/>
            </w:tcBorders>
            <w:vAlign w:val="center"/>
          </w:tcPr>
          <w:p w14:paraId="00000174">
            <w:pPr>
              <w:spacing w:before="20" w:after="20" w:line="264" w:lineRule="auto"/>
              <w:jc w:val="both"/>
            </w:pPr>
            <w:r>
              <w:rPr>
                <w:sz w:val="24"/>
                <w:szCs w:val="24"/>
                <w:rtl w:val="0"/>
              </w:rPr>
              <w:t>227</w:t>
            </w:r>
          </w:p>
        </w:tc>
        <w:tc>
          <w:tcPr>
            <w:tcBorders>
              <w:top w:val="single" w:color="000000" w:sz="6" w:space="0"/>
              <w:left w:val="single" w:color="000000" w:sz="6" w:space="0"/>
              <w:bottom w:val="single" w:color="000000" w:sz="6" w:space="0"/>
              <w:right w:val="single" w:color="000000" w:sz="6" w:space="0"/>
            </w:tcBorders>
            <w:vAlign w:val="center"/>
          </w:tcPr>
          <w:p w14:paraId="00000175">
            <w:pPr>
              <w:spacing w:before="20" w:after="20" w:line="264" w:lineRule="auto"/>
              <w:jc w:val="both"/>
            </w:pPr>
            <w:r>
              <w:rPr>
                <w:sz w:val="24"/>
                <w:szCs w:val="24"/>
                <w:rtl w:val="0"/>
              </w:rPr>
              <w:t>29,6%</w:t>
            </w:r>
          </w:p>
        </w:tc>
      </w:tr>
      <w:tr w14:paraId="2142080F">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76">
            <w:pPr>
              <w:spacing w:before="20" w:after="20" w:line="264" w:lineRule="auto"/>
              <w:jc w:val="both"/>
            </w:pPr>
            <w:r>
              <w:rPr>
                <w:sz w:val="24"/>
                <w:szCs w:val="24"/>
                <w:rtl w:val="0"/>
              </w:rPr>
              <w:t>Insulin</w:t>
            </w:r>
          </w:p>
        </w:tc>
        <w:tc>
          <w:tcPr>
            <w:tcBorders>
              <w:top w:val="single" w:color="000000" w:sz="6" w:space="0"/>
              <w:left w:val="single" w:color="000000" w:sz="6" w:space="0"/>
              <w:bottom w:val="single" w:color="000000" w:sz="6" w:space="0"/>
              <w:right w:val="single" w:color="000000" w:sz="6" w:space="0"/>
            </w:tcBorders>
            <w:vAlign w:val="center"/>
          </w:tcPr>
          <w:p w14:paraId="00000177">
            <w:pPr>
              <w:spacing w:before="20" w:after="20" w:line="264" w:lineRule="auto"/>
              <w:jc w:val="both"/>
            </w:pPr>
            <w:r>
              <w:rPr>
                <w:sz w:val="24"/>
                <w:szCs w:val="24"/>
                <w:rtl w:val="0"/>
              </w:rPr>
              <w:t>374</w:t>
            </w:r>
          </w:p>
        </w:tc>
        <w:tc>
          <w:tcPr>
            <w:tcBorders>
              <w:top w:val="single" w:color="000000" w:sz="6" w:space="0"/>
              <w:left w:val="single" w:color="000000" w:sz="6" w:space="0"/>
              <w:bottom w:val="single" w:color="000000" w:sz="6" w:space="0"/>
              <w:right w:val="single" w:color="000000" w:sz="6" w:space="0"/>
            </w:tcBorders>
            <w:vAlign w:val="center"/>
          </w:tcPr>
          <w:p w14:paraId="00000178">
            <w:pPr>
              <w:spacing w:before="20" w:after="20" w:line="264" w:lineRule="auto"/>
              <w:jc w:val="both"/>
            </w:pPr>
            <w:r>
              <w:rPr>
                <w:sz w:val="24"/>
                <w:szCs w:val="24"/>
                <w:rtl w:val="0"/>
              </w:rPr>
              <w:t>48,7%</w:t>
            </w:r>
          </w:p>
        </w:tc>
      </w:tr>
      <w:tr w14:paraId="0ADCF1B0">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79">
            <w:pPr>
              <w:spacing w:before="20" w:after="20" w:line="264" w:lineRule="auto"/>
              <w:jc w:val="both"/>
            </w:pPr>
            <w:r>
              <w:rPr>
                <w:sz w:val="24"/>
                <w:szCs w:val="24"/>
                <w:rtl w:val="0"/>
              </w:rPr>
              <w:t>BMI</w:t>
            </w:r>
          </w:p>
        </w:tc>
        <w:tc>
          <w:tcPr>
            <w:tcBorders>
              <w:top w:val="single" w:color="000000" w:sz="6" w:space="0"/>
              <w:left w:val="single" w:color="000000" w:sz="6" w:space="0"/>
              <w:bottom w:val="single" w:color="000000" w:sz="6" w:space="0"/>
              <w:right w:val="single" w:color="000000" w:sz="6" w:space="0"/>
            </w:tcBorders>
            <w:vAlign w:val="center"/>
          </w:tcPr>
          <w:p w14:paraId="0000017A">
            <w:pPr>
              <w:spacing w:before="20" w:after="20" w:line="264" w:lineRule="auto"/>
              <w:jc w:val="both"/>
            </w:pPr>
            <w:r>
              <w:rPr>
                <w:sz w:val="24"/>
                <w:szCs w:val="24"/>
                <w:rtl w:val="0"/>
              </w:rPr>
              <w:t>11</w:t>
            </w:r>
          </w:p>
        </w:tc>
        <w:tc>
          <w:tcPr>
            <w:tcBorders>
              <w:top w:val="single" w:color="000000" w:sz="6" w:space="0"/>
              <w:left w:val="single" w:color="000000" w:sz="6" w:space="0"/>
              <w:bottom w:val="single" w:color="000000" w:sz="6" w:space="0"/>
              <w:right w:val="single" w:color="000000" w:sz="6" w:space="0"/>
            </w:tcBorders>
            <w:vAlign w:val="center"/>
          </w:tcPr>
          <w:p w14:paraId="0000017B">
            <w:pPr>
              <w:spacing w:before="20" w:after="20" w:line="264" w:lineRule="auto"/>
              <w:jc w:val="both"/>
            </w:pPr>
            <w:r>
              <w:rPr>
                <w:sz w:val="24"/>
                <w:szCs w:val="24"/>
                <w:rtl w:val="0"/>
              </w:rPr>
              <w:t>1,4%</w:t>
            </w:r>
          </w:p>
        </w:tc>
      </w:tr>
    </w:tbl>
    <w:p w14:paraId="0000017C">
      <w:pPr>
        <w:spacing w:before="80" w:after="100" w:line="276" w:lineRule="auto"/>
        <w:jc w:val="center"/>
      </w:pPr>
      <w:r>
        <w:rPr>
          <w:i/>
          <w:iCs/>
          <w:sz w:val="24"/>
          <w:szCs w:val="24"/>
          <w:rtl w:val="0"/>
        </w:rPr>
        <w:t>Bảng 1.2.4 – Số giá trị 0 (coi là thiếu) ở các cột y học</w:t>
      </w:r>
    </w:p>
    <w:p w14:paraId="0000017D">
      <w:pPr>
        <w:ind w:firstLine="567"/>
        <w:jc w:val="both"/>
      </w:pPr>
      <w:r>
        <w:rPr>
          <w:rtl w:val="0"/>
        </w:rPr>
        <w:t>Insulin và SkinThickness thiếu nhiều nhất nên các nhận xét dựa trên hai cột này chỉ phản ánh phần mẫu còn lại.</w:t>
      </w:r>
    </w:p>
    <w:p w14:paraId="0000017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b/ Phân bố của từng biến</w:t>
      </w:r>
    </w:p>
    <w:p w14:paraId="0000017F">
      <w:pPr>
        <w:spacing w:before="40" w:after="60"/>
        <w:jc w:val="center"/>
        <w:rPr>
          <w:b/>
          <w:bCs/>
        </w:rPr>
      </w:pPr>
      <w:r>
        <w:drawing>
          <wp:inline distT="0" distB="0" distL="0" distR="0">
            <wp:extent cx="5731510" cy="2527300"/>
            <wp:effectExtent l="0" t="0" r="0" b="0"/>
            <wp:docPr id="69" name="image33.png"/>
            <wp:cNvGraphicFramePr/>
            <a:graphic xmlns:a="http://schemas.openxmlformats.org/drawingml/2006/main">
              <a:graphicData uri="http://schemas.openxmlformats.org/drawingml/2006/picture">
                <pic:pic xmlns:pic="http://schemas.openxmlformats.org/drawingml/2006/picture">
                  <pic:nvPicPr>
                    <pic:cNvPr id="69" name="image33.png"/>
                    <pic:cNvPicPr preferRelativeResize="0"/>
                  </pic:nvPicPr>
                  <pic:blipFill>
                    <a:blip r:embed="rId27"/>
                    <a:srcRect/>
                    <a:stretch>
                      <a:fillRect/>
                    </a:stretch>
                  </pic:blipFill>
                  <pic:spPr>
                    <a:xfrm>
                      <a:off x="0" y="0"/>
                      <a:ext cx="5731510" cy="2527300"/>
                    </a:xfrm>
                    <a:prstGeom prst="rect">
                      <a:avLst/>
                    </a:prstGeom>
                  </pic:spPr>
                </pic:pic>
              </a:graphicData>
            </a:graphic>
          </wp:inline>
        </w:drawing>
      </w:r>
    </w:p>
    <w:p w14:paraId="00000180">
      <w:pPr>
        <w:spacing w:before="80" w:after="100" w:line="276" w:lineRule="auto"/>
        <w:jc w:val="center"/>
        <w:rPr>
          <w:i/>
          <w:iCs/>
        </w:rPr>
      </w:pPr>
      <w:r>
        <w:rPr>
          <w:i/>
          <w:iCs/>
          <w:sz w:val="24"/>
          <w:szCs w:val="24"/>
          <w:rtl w:val="0"/>
        </w:rPr>
        <w:t>Hình 1.2.12 – Histogram kèm KDE của 8 biến đầu vào (sau khi thay giá trị 0 bằng NaN)</w:t>
      </w:r>
    </w:p>
    <w:p w14:paraId="00000181">
      <w:pPr>
        <w:ind w:firstLine="567"/>
        <w:jc w:val="both"/>
      </w:pPr>
      <w:r>
        <w:rPr>
          <w:rtl w:val="0"/>
        </w:rPr>
        <w:t>Insulin và DiabetesPedigreeFunction lệch phải mạnh; Age và Pregnancies lệch phải vừa, tập trung ở độ tuổi trẻ và ít lần mang thai. BloodPressure và SkinThickness gần đối xứng, Glucose và BMI lệch phải nhẹ. SkinThickness có một điểm rất xa gần 100 mm, Insulin kéo dài tới khoảng 850.</w:t>
      </w:r>
    </w:p>
    <w:p w14:paraId="0000018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c/ So sánh giữa nhóm không bệnh và nhóm có bệnh</w:t>
      </w:r>
    </w:p>
    <w:p w14:paraId="00000183">
      <w:pPr>
        <w:spacing w:before="40" w:after="60"/>
        <w:jc w:val="center"/>
        <w:rPr>
          <w:b/>
          <w:bCs/>
        </w:rPr>
      </w:pPr>
      <w:r>
        <w:drawing>
          <wp:inline distT="0" distB="0" distL="0" distR="0">
            <wp:extent cx="5731510" cy="2844800"/>
            <wp:effectExtent l="0" t="0" r="0" b="0"/>
            <wp:docPr id="70" name="image20.png"/>
            <wp:cNvGraphicFramePr/>
            <a:graphic xmlns:a="http://schemas.openxmlformats.org/drawingml/2006/main">
              <a:graphicData uri="http://schemas.openxmlformats.org/drawingml/2006/picture">
                <pic:pic xmlns:pic="http://schemas.openxmlformats.org/drawingml/2006/picture">
                  <pic:nvPicPr>
                    <pic:cNvPr id="70" name="image20.png"/>
                    <pic:cNvPicPr preferRelativeResize="0"/>
                  </pic:nvPicPr>
                  <pic:blipFill>
                    <a:blip r:embed="rId28"/>
                    <a:srcRect/>
                    <a:stretch>
                      <a:fillRect/>
                    </a:stretch>
                  </pic:blipFill>
                  <pic:spPr>
                    <a:xfrm>
                      <a:off x="0" y="0"/>
                      <a:ext cx="5731510" cy="2844800"/>
                    </a:xfrm>
                    <a:prstGeom prst="rect">
                      <a:avLst/>
                    </a:prstGeom>
                  </pic:spPr>
                </pic:pic>
              </a:graphicData>
            </a:graphic>
          </wp:inline>
        </w:drawing>
      </w:r>
    </w:p>
    <w:p w14:paraId="00000184">
      <w:pPr>
        <w:spacing w:before="80" w:after="100" w:line="276" w:lineRule="auto"/>
        <w:jc w:val="center"/>
        <w:rPr>
          <w:i/>
          <w:iCs/>
        </w:rPr>
      </w:pPr>
      <w:r>
        <w:rPr>
          <w:i/>
          <w:iCs/>
          <w:sz w:val="24"/>
          <w:szCs w:val="24"/>
          <w:rtl w:val="0"/>
        </w:rPr>
        <w:t>Hình 1.2.13 – Boxplot của các biến theo Outcome</w:t>
      </w:r>
    </w:p>
    <w:p w14:paraId="00000185">
      <w:pPr>
        <w:ind w:firstLine="567"/>
        <w:jc w:val="both"/>
      </w:pPr>
      <w:r>
        <w:rPr>
          <w:rtl w:val="0"/>
        </w:rPr>
        <w:t xml:space="preserve">Ở cả tám biến, nhóm có bệnh (Outcome = 1) có xu hướng cao hơn nhóm không bệnh. Khác biệt rõ nhất ở </w:t>
      </w:r>
      <w:r>
        <w:rPr>
          <w:b/>
          <w:bCs/>
          <w:rtl w:val="0"/>
        </w:rPr>
        <w:t>Glucose</w:t>
      </w:r>
      <w:r>
        <w:rPr>
          <w:rtl w:val="0"/>
        </w:rPr>
        <w:t xml:space="preserve"> (trung vị khoảng 107 so với 140), </w:t>
      </w:r>
      <w:r>
        <w:rPr>
          <w:b/>
          <w:bCs/>
          <w:rtl w:val="0"/>
        </w:rPr>
        <w:t>Insulin</w:t>
      </w:r>
      <w:r>
        <w:rPr>
          <w:rtl w:val="0"/>
        </w:rPr>
        <w:t xml:space="preserve"> (khoảng 105 so với 170), </w:t>
      </w:r>
      <w:r>
        <w:rPr>
          <w:b/>
          <w:bCs/>
          <w:rtl w:val="0"/>
        </w:rPr>
        <w:t>Age</w:t>
      </w:r>
      <w:r>
        <w:rPr>
          <w:rtl w:val="0"/>
        </w:rPr>
        <w:t xml:space="preserve"> (khoảng 27 so với 36) và </w:t>
      </w:r>
      <w:r>
        <w:rPr>
          <w:b/>
          <w:bCs/>
          <w:rtl w:val="0"/>
        </w:rPr>
        <w:t>BMI</w:t>
      </w:r>
      <w:r>
        <w:rPr>
          <w:rtl w:val="0"/>
        </w:rPr>
        <w:t xml:space="preserve"> (khoảng 30 so với 34). Đây là các giá trị đọc từ biểu đồ nên chỉ mang tính xấp xỉ.</w:t>
      </w:r>
    </w:p>
    <w:p w14:paraId="00000186">
      <w:pPr>
        <w:spacing w:before="40" w:after="60"/>
        <w:jc w:val="center"/>
      </w:pPr>
      <w:r>
        <w:drawing>
          <wp:inline distT="0" distB="0" distL="0" distR="0">
            <wp:extent cx="4368165" cy="3892550"/>
            <wp:effectExtent l="0" t="0" r="0" b="0"/>
            <wp:docPr id="41" name="image35.png"/>
            <wp:cNvGraphicFramePr/>
            <a:graphic xmlns:a="http://schemas.openxmlformats.org/drawingml/2006/main">
              <a:graphicData uri="http://schemas.openxmlformats.org/drawingml/2006/picture">
                <pic:pic xmlns:pic="http://schemas.openxmlformats.org/drawingml/2006/picture">
                  <pic:nvPicPr>
                    <pic:cNvPr id="41" name="image35.png"/>
                    <pic:cNvPicPr preferRelativeResize="0"/>
                  </pic:nvPicPr>
                  <pic:blipFill>
                    <a:blip r:embed="rId29"/>
                    <a:srcRect/>
                    <a:stretch>
                      <a:fillRect/>
                    </a:stretch>
                  </pic:blipFill>
                  <pic:spPr>
                    <a:xfrm>
                      <a:off x="0" y="0"/>
                      <a:ext cx="4368165" cy="3892550"/>
                    </a:xfrm>
                    <a:prstGeom prst="rect">
                      <a:avLst/>
                    </a:prstGeom>
                  </pic:spPr>
                </pic:pic>
              </a:graphicData>
            </a:graphic>
          </wp:inline>
        </w:drawing>
      </w:r>
    </w:p>
    <w:p w14:paraId="00000187">
      <w:pPr>
        <w:spacing w:before="80" w:after="100" w:line="276" w:lineRule="auto"/>
        <w:jc w:val="center"/>
        <w:rPr>
          <w:i/>
          <w:iCs/>
        </w:rPr>
      </w:pPr>
      <w:r>
        <w:rPr>
          <w:i/>
          <w:iCs/>
          <w:sz w:val="24"/>
          <w:szCs w:val="24"/>
          <w:rtl w:val="0"/>
        </w:rPr>
        <w:t>Hình 1.2.14 – Ma trận tương quan của Pima Indians Diabetes</w:t>
      </w:r>
    </w:p>
    <w:p w14:paraId="00000188">
      <w:pPr>
        <w:ind w:firstLine="567"/>
        <w:jc w:val="both"/>
      </w:pPr>
      <w:r>
        <w:rPr>
          <w:rtl w:val="0"/>
        </w:rPr>
        <w:t>Glucose có tương quan cao nhất với Outcome (</w:t>
      </w:r>
      <w:r>
        <w:rPr>
          <w:b/>
          <w:bCs/>
          <w:rtl w:val="0"/>
        </w:rPr>
        <w:t>0,49</w:t>
      </w:r>
      <w:r>
        <w:rPr>
          <w:rtl w:val="0"/>
        </w:rPr>
        <w:t>), tiếp theo là BMI (0,31), Insulin (0,30), SkinThickness (0,26), Age (0,24) và Pregnancies (0,22). Giữa các biến đầu vào, nổi bật là SkinThickness với BMI (0,65), Glucose với Insulin (0,58) và Age với Pregnancies (0,54). Hệ số tương quan được tính trên các cặp giá trị không thiếu nên các hệ số liên quan đến Insulin và SkinThickness dựa trên số mẫu ít hơn.</w:t>
      </w:r>
    </w:p>
    <w:p w14:paraId="0000018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d/ Tỷ lệ mắc bệnh theo nhóm tuổi và nhóm BMI</w:t>
      </w:r>
    </w:p>
    <w:p w14:paraId="0000018A">
      <w:pPr>
        <w:spacing w:before="40" w:after="60"/>
        <w:jc w:val="center"/>
        <w:rPr>
          <w:b/>
          <w:bCs/>
        </w:rPr>
      </w:pPr>
      <w:r>
        <w:drawing>
          <wp:inline distT="0" distB="0" distL="0" distR="0">
            <wp:extent cx="5731510" cy="1943100"/>
            <wp:effectExtent l="0" t="0" r="0" b="0"/>
            <wp:docPr id="42" name="image3.png"/>
            <wp:cNvGraphicFramePr/>
            <a:graphic xmlns:a="http://schemas.openxmlformats.org/drawingml/2006/main">
              <a:graphicData uri="http://schemas.openxmlformats.org/drawingml/2006/picture">
                <pic:pic xmlns:pic="http://schemas.openxmlformats.org/drawingml/2006/picture">
                  <pic:nvPicPr>
                    <pic:cNvPr id="42" name="image3.png"/>
                    <pic:cNvPicPr preferRelativeResize="0"/>
                  </pic:nvPicPr>
                  <pic:blipFill>
                    <a:blip r:embed="rId30"/>
                    <a:srcRect/>
                    <a:stretch>
                      <a:fillRect/>
                    </a:stretch>
                  </pic:blipFill>
                  <pic:spPr>
                    <a:xfrm>
                      <a:off x="0" y="0"/>
                      <a:ext cx="5731510" cy="1943100"/>
                    </a:xfrm>
                    <a:prstGeom prst="rect">
                      <a:avLst/>
                    </a:prstGeom>
                  </pic:spPr>
                </pic:pic>
              </a:graphicData>
            </a:graphic>
          </wp:inline>
        </w:drawing>
      </w:r>
    </w:p>
    <w:p w14:paraId="0000018B">
      <w:pPr>
        <w:spacing w:before="80" w:after="100" w:line="276" w:lineRule="auto"/>
        <w:jc w:val="center"/>
        <w:rPr>
          <w:i/>
          <w:iCs/>
        </w:rPr>
      </w:pPr>
      <w:r>
        <w:rPr>
          <w:i/>
          <w:iCs/>
          <w:sz w:val="24"/>
          <w:szCs w:val="24"/>
          <w:rtl w:val="0"/>
        </w:rPr>
        <w:t>Hình 1.2.15 – Tỷ lệ mắc bệnh theo nhóm tuổi (trái) và nhóm BMI (phải)</w:t>
      </w:r>
    </w:p>
    <w:p w14:paraId="0000018C">
      <w:pPr>
        <w:ind w:firstLine="567"/>
        <w:jc w:val="both"/>
      </w:pPr>
      <w:r>
        <w:rPr>
          <w:rtl w:val="0"/>
        </w:rPr>
        <w:t xml:space="preserve">Tỷ lệ có bệnh tăng từ 21,6% ở nhóm 21–30 tuổi lên 48,4% ở nhóm 31–40 và đạt 56,6% ở nhóm 41–50, sau đó giảm nhẹ còn 46,9% ở nhóm trên 50 tuổi. Theo BMI, tỷ lệ tăng dần từ 6,5% (bình thường) lên 24,4% (thừa cân) và 46,2% (béo phì). Nhóm thiếu cân có tỷ lệ 0,0%, nhưng chưa kiểm tra cỡ mẫu của nhóm này nên không nên diễn giải con số đó. Các kết quả trên cho thấy tuổi, BMI và Glucose </w:t>
      </w:r>
      <w:r>
        <w:rPr>
          <w:b/>
          <w:bCs/>
          <w:rtl w:val="0"/>
        </w:rPr>
        <w:t>có liên quan</w:t>
      </w:r>
      <w:r>
        <w:rPr>
          <w:rtl w:val="0"/>
        </w:rPr>
        <w:t xml:space="preserve"> đến Outcome trong dữ liệu; báo cáo không kết luận quan hệ nhân quả.</w:t>
      </w:r>
    </w:p>
    <w:p w14:paraId="6DC8450D">
      <w:pPr>
        <w:pStyle w:val="4"/>
      </w:pPr>
      <w:bookmarkStart w:id="23" w:name="_Toc5016"/>
      <w:r>
        <w:t>1.2.6. Bài tập: Online Retail</w:t>
      </w:r>
      <w:bookmarkEnd w:id="23"/>
    </w:p>
    <w:p w14:paraId="0000018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 Tổng quan và chất lượng dữ liệu</w:t>
      </w:r>
    </w:p>
    <w:p w14:paraId="0000018F">
      <w:pPr>
        <w:ind w:firstLine="567"/>
        <w:jc w:val="both"/>
      </w:pPr>
      <w:r>
        <w:rPr>
          <w:rtl w:val="0"/>
        </w:rPr>
        <w:t>Tập dữ liệu có 541.909 dòng và 8 cột (CustomerID, InvoiceNo, StockCode, Quantity, UnitPrice, Description, InvoiceDate, Country), gồm 38 quốc gia, từ 01/12/2010 đến 09/12/2011.</w:t>
      </w:r>
    </w:p>
    <w:tbl>
      <w:tblPr>
        <w:tblStyle w:val="40"/>
        <w:tblW w:w="9015" w:type="dxa"/>
        <w:jc w:val="center"/>
        <w:tblLayout w:type="fixed"/>
        <w:tblCellMar>
          <w:top w:w="60" w:type="dxa"/>
          <w:left w:w="100" w:type="dxa"/>
          <w:bottom w:w="60" w:type="dxa"/>
          <w:right w:w="100" w:type="dxa"/>
        </w:tblCellMar>
      </w:tblPr>
      <w:tblGrid>
        <w:gridCol w:w="4094"/>
        <w:gridCol w:w="2250"/>
        <w:gridCol w:w="2671"/>
      </w:tblGrid>
      <w:tr w14:paraId="2F03D135">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90">
            <w:pPr>
              <w:spacing w:before="20" w:after="20" w:line="264" w:lineRule="auto"/>
              <w:jc w:val="both"/>
              <w:rPr>
                <w:b/>
                <w:bCs/>
              </w:rPr>
            </w:pPr>
            <w:r>
              <w:rPr>
                <w:b/>
                <w:bCs/>
                <w:sz w:val="24"/>
                <w:szCs w:val="24"/>
                <w:rtl w:val="0"/>
              </w:rPr>
              <w:t>Vấn đề</w:t>
            </w:r>
          </w:p>
        </w:tc>
        <w:tc>
          <w:tcPr>
            <w:tcBorders>
              <w:top w:val="single" w:color="000000" w:sz="6" w:space="0"/>
              <w:left w:val="single" w:color="000000" w:sz="6" w:space="0"/>
              <w:bottom w:val="single" w:color="000000" w:sz="6" w:space="0"/>
              <w:right w:val="single" w:color="000000" w:sz="6" w:space="0"/>
            </w:tcBorders>
            <w:vAlign w:val="center"/>
          </w:tcPr>
          <w:p w14:paraId="00000191">
            <w:pPr>
              <w:spacing w:before="20" w:after="20" w:line="264" w:lineRule="auto"/>
              <w:jc w:val="both"/>
              <w:rPr>
                <w:b/>
                <w:bCs/>
              </w:rPr>
            </w:pPr>
            <w:r>
              <w:rPr>
                <w:b/>
                <w:bCs/>
                <w:sz w:val="24"/>
                <w:szCs w:val="24"/>
                <w:rtl w:val="0"/>
              </w:rPr>
              <w:t>Số dòng</w:t>
            </w:r>
          </w:p>
        </w:tc>
        <w:tc>
          <w:tcPr>
            <w:tcBorders>
              <w:top w:val="single" w:color="000000" w:sz="6" w:space="0"/>
              <w:left w:val="single" w:color="000000" w:sz="6" w:space="0"/>
              <w:bottom w:val="single" w:color="000000" w:sz="6" w:space="0"/>
              <w:right w:val="single" w:color="000000" w:sz="6" w:space="0"/>
            </w:tcBorders>
            <w:vAlign w:val="center"/>
          </w:tcPr>
          <w:p w14:paraId="00000192">
            <w:pPr>
              <w:spacing w:before="20" w:after="20" w:line="264" w:lineRule="auto"/>
              <w:jc w:val="both"/>
              <w:rPr>
                <w:b/>
                <w:bCs/>
              </w:rPr>
            </w:pPr>
            <w:r>
              <w:rPr>
                <w:b/>
                <w:bCs/>
                <w:sz w:val="24"/>
                <w:szCs w:val="24"/>
                <w:rtl w:val="0"/>
              </w:rPr>
              <w:t>Ghi chú</w:t>
            </w:r>
          </w:p>
        </w:tc>
      </w:tr>
      <w:tr w14:paraId="0586ED44">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93">
            <w:pPr>
              <w:spacing w:before="20" w:after="20" w:line="264" w:lineRule="auto"/>
              <w:jc w:val="both"/>
            </w:pPr>
            <w:r>
              <w:rPr>
                <w:sz w:val="24"/>
                <w:szCs w:val="24"/>
                <w:rtl w:val="0"/>
              </w:rPr>
              <w:t>Thiếu CustomerID</w:t>
            </w:r>
          </w:p>
        </w:tc>
        <w:tc>
          <w:tcPr>
            <w:tcBorders>
              <w:top w:val="single" w:color="000000" w:sz="6" w:space="0"/>
              <w:left w:val="single" w:color="000000" w:sz="6" w:space="0"/>
              <w:bottom w:val="single" w:color="000000" w:sz="6" w:space="0"/>
              <w:right w:val="single" w:color="000000" w:sz="6" w:space="0"/>
            </w:tcBorders>
            <w:vAlign w:val="center"/>
          </w:tcPr>
          <w:p w14:paraId="00000194">
            <w:pPr>
              <w:spacing w:before="20" w:after="20" w:line="264" w:lineRule="auto"/>
              <w:jc w:val="both"/>
            </w:pPr>
            <w:r>
              <w:rPr>
                <w:sz w:val="24"/>
                <w:szCs w:val="24"/>
                <w:rtl w:val="0"/>
              </w:rPr>
              <w:t>135.080</w:t>
            </w:r>
          </w:p>
        </w:tc>
        <w:tc>
          <w:tcPr>
            <w:tcBorders>
              <w:top w:val="single" w:color="000000" w:sz="6" w:space="0"/>
              <w:left w:val="single" w:color="000000" w:sz="6" w:space="0"/>
              <w:bottom w:val="single" w:color="000000" w:sz="6" w:space="0"/>
              <w:right w:val="single" w:color="000000" w:sz="6" w:space="0"/>
            </w:tcBorders>
            <w:vAlign w:val="center"/>
          </w:tcPr>
          <w:p w14:paraId="00000195">
            <w:pPr>
              <w:spacing w:before="20" w:after="20" w:line="264" w:lineRule="auto"/>
              <w:jc w:val="both"/>
            </w:pPr>
            <w:r>
              <w:rPr>
                <w:sz w:val="24"/>
                <w:szCs w:val="24"/>
                <w:rtl w:val="0"/>
              </w:rPr>
              <w:t>khoảng 24,9% tổng số dòng</w:t>
            </w:r>
          </w:p>
        </w:tc>
      </w:tr>
      <w:tr w14:paraId="579B86BC">
        <w:tblPrEx>
          <w:tblCellMar>
            <w:top w:w="60" w:type="dxa"/>
            <w:left w:w="100" w:type="dxa"/>
            <w:bottom w:w="60" w:type="dxa"/>
            <w:right w:w="100" w:type="dxa"/>
          </w:tblCellMar>
        </w:tblPrEx>
        <w:trPr>
          <w:cantSplit/>
          <w:trHeight w:val="43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96">
            <w:pPr>
              <w:spacing w:before="20" w:after="20" w:line="264" w:lineRule="auto"/>
              <w:jc w:val="both"/>
            </w:pPr>
            <w:r>
              <w:rPr>
                <w:sz w:val="24"/>
                <w:szCs w:val="24"/>
                <w:rtl w:val="0"/>
              </w:rPr>
              <w:t>Thiếu Description</w:t>
            </w:r>
          </w:p>
        </w:tc>
        <w:tc>
          <w:tcPr>
            <w:tcBorders>
              <w:top w:val="single" w:color="000000" w:sz="6" w:space="0"/>
              <w:left w:val="single" w:color="000000" w:sz="6" w:space="0"/>
              <w:bottom w:val="single" w:color="000000" w:sz="6" w:space="0"/>
              <w:right w:val="single" w:color="000000" w:sz="6" w:space="0"/>
            </w:tcBorders>
            <w:vAlign w:val="center"/>
          </w:tcPr>
          <w:p w14:paraId="00000197">
            <w:pPr>
              <w:spacing w:before="20" w:after="20" w:line="264" w:lineRule="auto"/>
              <w:jc w:val="both"/>
            </w:pPr>
            <w:r>
              <w:rPr>
                <w:sz w:val="24"/>
                <w:szCs w:val="24"/>
                <w:rtl w:val="0"/>
              </w:rPr>
              <w:t>1.454</w:t>
            </w:r>
          </w:p>
        </w:tc>
        <w:tc>
          <w:tcPr>
            <w:tcBorders>
              <w:top w:val="single" w:color="000000" w:sz="6" w:space="0"/>
              <w:left w:val="single" w:color="000000" w:sz="6" w:space="0"/>
              <w:bottom w:val="single" w:color="000000" w:sz="6" w:space="0"/>
              <w:right w:val="single" w:color="000000" w:sz="6" w:space="0"/>
            </w:tcBorders>
            <w:vAlign w:val="center"/>
          </w:tcPr>
          <w:p w14:paraId="00000198">
            <w:pPr>
              <w:spacing w:before="20" w:after="20" w:line="264" w:lineRule="auto"/>
              <w:jc w:val="both"/>
            </w:pPr>
            <w:r>
              <w:rPr>
                <w:sz w:val="24"/>
                <w:szCs w:val="24"/>
                <w:rtl w:val="0"/>
              </w:rPr>
              <w:t xml:space="preserve"> -</w:t>
            </w:r>
          </w:p>
        </w:tc>
      </w:tr>
      <w:tr w14:paraId="241E43C3">
        <w:tblPrEx>
          <w:tblCellMar>
            <w:top w:w="60" w:type="dxa"/>
            <w:left w:w="100" w:type="dxa"/>
            <w:bottom w:w="60" w:type="dxa"/>
            <w:right w:w="100" w:type="dxa"/>
          </w:tblCellMar>
        </w:tblPrEx>
        <w:trPr>
          <w:cantSplit/>
          <w:trHeight w:val="43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99">
            <w:pPr>
              <w:spacing w:before="20" w:after="20" w:line="264" w:lineRule="auto"/>
              <w:jc w:val="both"/>
            </w:pPr>
            <w:r>
              <w:rPr>
                <w:sz w:val="24"/>
                <w:szCs w:val="24"/>
                <w:rtl w:val="0"/>
              </w:rPr>
              <w:t>Dòng trùng lặp hoàn toàn</w:t>
            </w:r>
          </w:p>
        </w:tc>
        <w:tc>
          <w:tcPr>
            <w:tcBorders>
              <w:top w:val="single" w:color="000000" w:sz="6" w:space="0"/>
              <w:left w:val="single" w:color="000000" w:sz="6" w:space="0"/>
              <w:bottom w:val="single" w:color="000000" w:sz="6" w:space="0"/>
              <w:right w:val="single" w:color="000000" w:sz="6" w:space="0"/>
            </w:tcBorders>
            <w:vAlign w:val="center"/>
          </w:tcPr>
          <w:p w14:paraId="0000019A">
            <w:pPr>
              <w:spacing w:before="20" w:after="20" w:line="264" w:lineRule="auto"/>
              <w:jc w:val="both"/>
            </w:pPr>
            <w:r>
              <w:rPr>
                <w:sz w:val="24"/>
                <w:szCs w:val="24"/>
                <w:rtl w:val="0"/>
              </w:rPr>
              <w:t>5.268</w:t>
            </w:r>
          </w:p>
        </w:tc>
        <w:tc>
          <w:tcPr>
            <w:tcBorders>
              <w:top w:val="single" w:color="000000" w:sz="6" w:space="0"/>
              <w:left w:val="single" w:color="000000" w:sz="6" w:space="0"/>
              <w:bottom w:val="single" w:color="000000" w:sz="6" w:space="0"/>
              <w:right w:val="single" w:color="000000" w:sz="6" w:space="0"/>
            </w:tcBorders>
            <w:vAlign w:val="center"/>
          </w:tcPr>
          <w:p w14:paraId="0000019B">
            <w:pPr>
              <w:spacing w:before="20" w:after="20" w:line="264" w:lineRule="auto"/>
              <w:jc w:val="both"/>
            </w:pPr>
            <w:r>
              <w:rPr>
                <w:sz w:val="24"/>
                <w:szCs w:val="24"/>
                <w:rtl w:val="0"/>
              </w:rPr>
              <w:t xml:space="preserve"> -</w:t>
            </w:r>
          </w:p>
        </w:tc>
      </w:tr>
      <w:tr w14:paraId="7123DBE1">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9C">
            <w:pPr>
              <w:spacing w:before="20" w:after="20" w:line="264" w:lineRule="auto"/>
              <w:jc w:val="both"/>
            </w:pPr>
            <w:r>
              <w:rPr>
                <w:sz w:val="24"/>
                <w:szCs w:val="24"/>
                <w:rtl w:val="0"/>
              </w:rPr>
              <w:t>Quantity &lt; 0</w:t>
            </w:r>
          </w:p>
        </w:tc>
        <w:tc>
          <w:tcPr>
            <w:tcBorders>
              <w:top w:val="single" w:color="000000" w:sz="6" w:space="0"/>
              <w:left w:val="single" w:color="000000" w:sz="6" w:space="0"/>
              <w:bottom w:val="single" w:color="000000" w:sz="6" w:space="0"/>
              <w:right w:val="single" w:color="000000" w:sz="6" w:space="0"/>
            </w:tcBorders>
            <w:vAlign w:val="center"/>
          </w:tcPr>
          <w:p w14:paraId="0000019D">
            <w:pPr>
              <w:spacing w:before="20" w:after="20" w:line="264" w:lineRule="auto"/>
              <w:jc w:val="both"/>
            </w:pPr>
            <w:r>
              <w:rPr>
                <w:sz w:val="24"/>
                <w:szCs w:val="24"/>
                <w:rtl w:val="0"/>
              </w:rPr>
              <w:t>10.624</w:t>
            </w:r>
          </w:p>
        </w:tc>
        <w:tc>
          <w:tcPr>
            <w:tcBorders>
              <w:top w:val="single" w:color="000000" w:sz="6" w:space="0"/>
              <w:left w:val="single" w:color="000000" w:sz="6" w:space="0"/>
              <w:bottom w:val="single" w:color="000000" w:sz="6" w:space="0"/>
              <w:right w:val="single" w:color="000000" w:sz="6" w:space="0"/>
            </w:tcBorders>
            <w:vAlign w:val="center"/>
          </w:tcPr>
          <w:p w14:paraId="0000019E">
            <w:pPr>
              <w:spacing w:before="20" w:after="20" w:line="264" w:lineRule="auto"/>
              <w:jc w:val="both"/>
            </w:pPr>
            <w:sdt>
              <w:sdtPr>
                <w:tag w:val="goog_rdk_1"/>
                <w:id w:val="1071385997"/>
              </w:sdtPr>
              <w:sdtContent>
                <w:r>
                  <w:rPr>
                    <w:rFonts w:ascii="Caudex" w:hAnsi="Caudex" w:eastAsia="Caudex" w:cs="Caudex"/>
                    <w:sz w:val="24"/>
                    <w:szCs w:val="24"/>
                    <w:rtl w:val="0"/>
                  </w:rPr>
                  <w:t>nhỏ nhất là −80.995</w:t>
                </w:r>
              </w:sdtContent>
            </w:sdt>
          </w:p>
        </w:tc>
      </w:tr>
      <w:tr w14:paraId="339A87BC">
        <w:tblPrEx>
          <w:tblCellMar>
            <w:top w:w="60" w:type="dxa"/>
            <w:left w:w="100" w:type="dxa"/>
            <w:bottom w:w="60" w:type="dxa"/>
            <w:right w:w="100" w:type="dxa"/>
          </w:tblCellMar>
        </w:tblPrEx>
        <w:trPr>
          <w:cantSplit/>
          <w:trHeight w:val="43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9F">
            <w:pPr>
              <w:spacing w:before="20" w:after="20" w:line="264" w:lineRule="auto"/>
              <w:jc w:val="both"/>
            </w:pPr>
            <w:r>
              <w:rPr>
                <w:sz w:val="24"/>
                <w:szCs w:val="24"/>
                <w:rtl w:val="0"/>
              </w:rPr>
              <w:t>Hóa đơn hủy (mã bắt đầu bằng “C”)</w:t>
            </w:r>
          </w:p>
        </w:tc>
        <w:tc>
          <w:tcPr>
            <w:tcBorders>
              <w:top w:val="single" w:color="000000" w:sz="6" w:space="0"/>
              <w:left w:val="single" w:color="000000" w:sz="6" w:space="0"/>
              <w:bottom w:val="single" w:color="000000" w:sz="6" w:space="0"/>
              <w:right w:val="single" w:color="000000" w:sz="6" w:space="0"/>
            </w:tcBorders>
            <w:vAlign w:val="center"/>
          </w:tcPr>
          <w:p w14:paraId="000001A0">
            <w:pPr>
              <w:spacing w:before="20" w:after="20" w:line="264" w:lineRule="auto"/>
              <w:jc w:val="both"/>
            </w:pPr>
            <w:r>
              <w:rPr>
                <w:sz w:val="24"/>
                <w:szCs w:val="24"/>
                <w:rtl w:val="0"/>
              </w:rPr>
              <w:t>9.288</w:t>
            </w:r>
          </w:p>
        </w:tc>
        <w:tc>
          <w:tcPr>
            <w:tcBorders>
              <w:top w:val="single" w:color="000000" w:sz="6" w:space="0"/>
              <w:left w:val="single" w:color="000000" w:sz="6" w:space="0"/>
              <w:bottom w:val="single" w:color="000000" w:sz="6" w:space="0"/>
              <w:right w:val="single" w:color="000000" w:sz="6" w:space="0"/>
            </w:tcBorders>
            <w:vAlign w:val="center"/>
          </w:tcPr>
          <w:p w14:paraId="000001A1">
            <w:pPr>
              <w:spacing w:before="20" w:after="20" w:line="264" w:lineRule="auto"/>
              <w:jc w:val="both"/>
            </w:pPr>
            <w:r>
              <w:rPr>
                <w:sz w:val="24"/>
                <w:szCs w:val="24"/>
                <w:rtl w:val="0"/>
              </w:rPr>
              <w:t xml:space="preserve"> -</w:t>
            </w:r>
          </w:p>
        </w:tc>
      </w:tr>
      <w:tr w14:paraId="3543D668">
        <w:tblPrEx>
          <w:tblCellMar>
            <w:top w:w="60" w:type="dxa"/>
            <w:left w:w="100" w:type="dxa"/>
            <w:bottom w:w="60" w:type="dxa"/>
            <w:right w:w="100" w:type="dxa"/>
          </w:tblCellMar>
        </w:tblPrEx>
        <w:trPr>
          <w:cantSplit/>
          <w:trHeight w:val="43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A2">
            <w:pPr>
              <w:spacing w:before="20" w:after="20" w:line="264" w:lineRule="auto"/>
              <w:jc w:val="both"/>
            </w:pPr>
            <w:r>
              <w:rPr>
                <w:sz w:val="24"/>
                <w:szCs w:val="24"/>
                <w:rtl w:val="0"/>
              </w:rPr>
              <w:t>UnitPrice = 0</w:t>
            </w:r>
          </w:p>
        </w:tc>
        <w:tc>
          <w:tcPr>
            <w:tcBorders>
              <w:top w:val="single" w:color="000000" w:sz="6" w:space="0"/>
              <w:left w:val="single" w:color="000000" w:sz="6" w:space="0"/>
              <w:bottom w:val="single" w:color="000000" w:sz="6" w:space="0"/>
              <w:right w:val="single" w:color="000000" w:sz="6" w:space="0"/>
            </w:tcBorders>
            <w:vAlign w:val="center"/>
          </w:tcPr>
          <w:p w14:paraId="000001A3">
            <w:pPr>
              <w:spacing w:before="20" w:after="20" w:line="264" w:lineRule="auto"/>
              <w:jc w:val="both"/>
            </w:pPr>
            <w:r>
              <w:rPr>
                <w:sz w:val="24"/>
                <w:szCs w:val="24"/>
                <w:rtl w:val="0"/>
              </w:rPr>
              <w:t>2.515</w:t>
            </w:r>
          </w:p>
        </w:tc>
        <w:tc>
          <w:tcPr>
            <w:tcBorders>
              <w:top w:val="single" w:color="000000" w:sz="6" w:space="0"/>
              <w:left w:val="single" w:color="000000" w:sz="6" w:space="0"/>
              <w:bottom w:val="single" w:color="000000" w:sz="6" w:space="0"/>
              <w:right w:val="single" w:color="000000" w:sz="6" w:space="0"/>
            </w:tcBorders>
            <w:vAlign w:val="center"/>
          </w:tcPr>
          <w:p w14:paraId="000001A4">
            <w:pPr>
              <w:spacing w:before="20" w:after="20" w:line="264" w:lineRule="auto"/>
              <w:jc w:val="both"/>
            </w:pPr>
            <w:r>
              <w:rPr>
                <w:sz w:val="24"/>
                <w:szCs w:val="24"/>
                <w:rtl w:val="0"/>
              </w:rPr>
              <w:t xml:space="preserve"> -</w:t>
            </w:r>
          </w:p>
        </w:tc>
      </w:tr>
      <w:tr w14:paraId="0431FC97">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A5">
            <w:pPr>
              <w:spacing w:before="20" w:after="20" w:line="264" w:lineRule="auto"/>
              <w:jc w:val="both"/>
            </w:pPr>
            <w:r>
              <w:rPr>
                <w:sz w:val="24"/>
                <w:szCs w:val="24"/>
                <w:rtl w:val="0"/>
              </w:rPr>
              <w:t>UnitPrice &lt; 0</w:t>
            </w:r>
          </w:p>
        </w:tc>
        <w:tc>
          <w:tcPr>
            <w:tcBorders>
              <w:top w:val="single" w:color="000000" w:sz="6" w:space="0"/>
              <w:left w:val="single" w:color="000000" w:sz="6" w:space="0"/>
              <w:bottom w:val="single" w:color="000000" w:sz="6" w:space="0"/>
              <w:right w:val="single" w:color="000000" w:sz="6" w:space="0"/>
            </w:tcBorders>
            <w:vAlign w:val="center"/>
          </w:tcPr>
          <w:p w14:paraId="000001A6">
            <w:pPr>
              <w:spacing w:before="20" w:after="20" w:line="264" w:lineRule="auto"/>
              <w:jc w:val="both"/>
            </w:pPr>
            <w:r>
              <w:rPr>
                <w:sz w:val="24"/>
                <w:szCs w:val="24"/>
                <w:rtl w:val="0"/>
              </w:rPr>
              <w:t>2</w:t>
            </w:r>
          </w:p>
        </w:tc>
        <w:tc>
          <w:tcPr>
            <w:tcBorders>
              <w:top w:val="single" w:color="000000" w:sz="6" w:space="0"/>
              <w:left w:val="single" w:color="000000" w:sz="6" w:space="0"/>
              <w:bottom w:val="single" w:color="000000" w:sz="6" w:space="0"/>
              <w:right w:val="single" w:color="000000" w:sz="6" w:space="0"/>
            </w:tcBorders>
            <w:vAlign w:val="center"/>
          </w:tcPr>
          <w:p w14:paraId="000001A7">
            <w:pPr>
              <w:spacing w:before="20" w:after="20" w:line="264" w:lineRule="auto"/>
              <w:jc w:val="both"/>
            </w:pPr>
            <w:sdt>
              <w:sdtPr>
                <w:tag w:val="goog_rdk_2"/>
                <w:id w:val="-1927627631"/>
              </w:sdtPr>
              <w:sdtContent>
                <w:r>
                  <w:rPr>
                    <w:rFonts w:ascii="Caudex" w:hAnsi="Caudex" w:eastAsia="Caudex" w:cs="Caudex"/>
                    <w:sz w:val="24"/>
                    <w:szCs w:val="24"/>
                    <w:rtl w:val="0"/>
                  </w:rPr>
                  <w:t>nhỏ nhất là −11.062,06</w:t>
                </w:r>
              </w:sdtContent>
            </w:sdt>
          </w:p>
        </w:tc>
      </w:tr>
    </w:tbl>
    <w:p w14:paraId="000001A8">
      <w:pPr>
        <w:spacing w:before="80" w:after="100" w:line="276" w:lineRule="auto"/>
        <w:jc w:val="center"/>
      </w:pPr>
      <w:r>
        <w:rPr>
          <w:i/>
          <w:iCs/>
          <w:sz w:val="24"/>
          <w:szCs w:val="24"/>
          <w:rtl w:val="0"/>
        </w:rPr>
        <w:t>Bảng 1.2.5 – Các vấn đề chất lượng dữ liệu phát hiện được</w:t>
      </w:r>
    </w:p>
    <w:p w14:paraId="000001A9">
      <w:pPr>
        <w:ind w:firstLine="567"/>
        <w:jc w:val="both"/>
      </w:pPr>
      <w:r>
        <w:rPr>
          <w:rtl w:val="0"/>
        </w:rPr>
        <w:t>Biến mới TotalAmount = Quantity x UnitPrice được thêm cùng hai cột Year và Month để tổng hợp doanh thu. Các thống kê theo quốc gia, khách hàng và sản phẩm bên dưới dùng dữ liệu đã bỏ các dòng thiếu CustomerID và, riêng phần sản phẩm, chỉ giữ dòng có Quantity &gt; 0 và UnitPrice &gt; 0.</w:t>
      </w:r>
    </w:p>
    <w:p w14:paraId="000001A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b/ Theo quốc gia</w:t>
      </w:r>
    </w:p>
    <w:p w14:paraId="000001AB">
      <w:pPr>
        <w:spacing w:before="40" w:after="60"/>
        <w:jc w:val="center"/>
        <w:rPr>
          <w:b/>
          <w:bCs/>
        </w:rPr>
      </w:pPr>
      <w:r>
        <w:drawing>
          <wp:inline distT="0" distB="0" distL="0" distR="0">
            <wp:extent cx="5731510" cy="1676400"/>
            <wp:effectExtent l="0" t="0" r="0" b="0"/>
            <wp:docPr id="43" name="image21.png"/>
            <wp:cNvGraphicFramePr/>
            <a:graphic xmlns:a="http://schemas.openxmlformats.org/drawingml/2006/main">
              <a:graphicData uri="http://schemas.openxmlformats.org/drawingml/2006/picture">
                <pic:pic xmlns:pic="http://schemas.openxmlformats.org/drawingml/2006/picture">
                  <pic:nvPicPr>
                    <pic:cNvPr id="43" name="image21.png"/>
                    <pic:cNvPicPr preferRelativeResize="0"/>
                  </pic:nvPicPr>
                  <pic:blipFill>
                    <a:blip r:embed="rId31"/>
                    <a:srcRect/>
                    <a:stretch>
                      <a:fillRect/>
                    </a:stretch>
                  </pic:blipFill>
                  <pic:spPr>
                    <a:xfrm>
                      <a:off x="0" y="0"/>
                      <a:ext cx="5731510" cy="1676400"/>
                    </a:xfrm>
                    <a:prstGeom prst="rect">
                      <a:avLst/>
                    </a:prstGeom>
                  </pic:spPr>
                </pic:pic>
              </a:graphicData>
            </a:graphic>
          </wp:inline>
        </w:drawing>
      </w:r>
    </w:p>
    <w:p w14:paraId="000001AC">
      <w:pPr>
        <w:spacing w:before="80" w:after="100" w:line="276" w:lineRule="auto"/>
        <w:jc w:val="center"/>
        <w:rPr>
          <w:i/>
          <w:iCs/>
        </w:rPr>
      </w:pPr>
      <w:r>
        <w:rPr>
          <w:i/>
          <w:iCs/>
          <w:sz w:val="24"/>
          <w:szCs w:val="24"/>
          <w:rtl w:val="0"/>
        </w:rPr>
        <w:t>Hình 1.2.16 – Top 5 và 5 quốc gia có tổng số lượng bán thấp nhất</w:t>
      </w:r>
    </w:p>
    <w:tbl>
      <w:tblPr>
        <w:tblStyle w:val="41"/>
        <w:tblW w:w="9015" w:type="dxa"/>
        <w:jc w:val="center"/>
        <w:tblLayout w:type="fixed"/>
        <w:tblCellMar>
          <w:top w:w="60" w:type="dxa"/>
          <w:left w:w="100" w:type="dxa"/>
          <w:bottom w:w="60" w:type="dxa"/>
          <w:right w:w="100" w:type="dxa"/>
        </w:tblCellMar>
      </w:tblPr>
      <w:tblGrid>
        <w:gridCol w:w="4035"/>
        <w:gridCol w:w="4980"/>
      </w:tblGrid>
      <w:tr w14:paraId="412BA04A">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AD">
            <w:pPr>
              <w:spacing w:before="20" w:after="20" w:line="264" w:lineRule="auto"/>
              <w:jc w:val="both"/>
              <w:rPr>
                <w:b/>
                <w:bCs/>
              </w:rPr>
            </w:pPr>
            <w:r>
              <w:rPr>
                <w:b/>
                <w:bCs/>
                <w:sz w:val="24"/>
                <w:szCs w:val="24"/>
                <w:rtl w:val="0"/>
              </w:rPr>
              <w:t>Quốc gia</w:t>
            </w:r>
          </w:p>
        </w:tc>
        <w:tc>
          <w:tcPr>
            <w:tcBorders>
              <w:top w:val="single" w:color="000000" w:sz="6" w:space="0"/>
              <w:left w:val="single" w:color="000000" w:sz="6" w:space="0"/>
              <w:bottom w:val="single" w:color="000000" w:sz="6" w:space="0"/>
              <w:right w:val="single" w:color="000000" w:sz="6" w:space="0"/>
            </w:tcBorders>
            <w:vAlign w:val="center"/>
          </w:tcPr>
          <w:p w14:paraId="000001AE">
            <w:pPr>
              <w:spacing w:before="20" w:after="20" w:line="264" w:lineRule="auto"/>
              <w:jc w:val="both"/>
              <w:rPr>
                <w:b/>
                <w:bCs/>
              </w:rPr>
            </w:pPr>
            <w:r>
              <w:rPr>
                <w:b/>
                <w:bCs/>
                <w:sz w:val="24"/>
                <w:szCs w:val="24"/>
                <w:rtl w:val="0"/>
              </w:rPr>
              <w:t>Tổng Quantity</w:t>
            </w:r>
          </w:p>
        </w:tc>
      </w:tr>
      <w:tr w14:paraId="5F48F030">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AF">
            <w:pPr>
              <w:spacing w:before="20" w:after="20" w:line="264" w:lineRule="auto"/>
              <w:jc w:val="both"/>
            </w:pPr>
            <w:r>
              <w:rPr>
                <w:sz w:val="24"/>
                <w:szCs w:val="24"/>
                <w:rtl w:val="0"/>
              </w:rPr>
              <w:t>United Kingdom</w:t>
            </w:r>
          </w:p>
        </w:tc>
        <w:tc>
          <w:tcPr>
            <w:tcBorders>
              <w:top w:val="single" w:color="000000" w:sz="6" w:space="0"/>
              <w:left w:val="single" w:color="000000" w:sz="6" w:space="0"/>
              <w:bottom w:val="single" w:color="000000" w:sz="6" w:space="0"/>
              <w:right w:val="single" w:color="000000" w:sz="6" w:space="0"/>
            </w:tcBorders>
            <w:vAlign w:val="center"/>
          </w:tcPr>
          <w:p w14:paraId="000001B0">
            <w:pPr>
              <w:spacing w:before="20" w:after="20" w:line="264" w:lineRule="auto"/>
              <w:jc w:val="both"/>
            </w:pPr>
            <w:r>
              <w:rPr>
                <w:sz w:val="24"/>
                <w:szCs w:val="24"/>
                <w:rtl w:val="0"/>
              </w:rPr>
              <w:t>4.263.829</w:t>
            </w:r>
          </w:p>
        </w:tc>
      </w:tr>
      <w:tr w14:paraId="69853FD3">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B1">
            <w:pPr>
              <w:spacing w:before="20" w:after="20" w:line="264" w:lineRule="auto"/>
              <w:jc w:val="both"/>
            </w:pPr>
            <w:r>
              <w:rPr>
                <w:sz w:val="24"/>
                <w:szCs w:val="24"/>
                <w:rtl w:val="0"/>
              </w:rPr>
              <w:t>Netherlands</w:t>
            </w:r>
          </w:p>
        </w:tc>
        <w:tc>
          <w:tcPr>
            <w:tcBorders>
              <w:top w:val="single" w:color="000000" w:sz="6" w:space="0"/>
              <w:left w:val="single" w:color="000000" w:sz="6" w:space="0"/>
              <w:bottom w:val="single" w:color="000000" w:sz="6" w:space="0"/>
              <w:right w:val="single" w:color="000000" w:sz="6" w:space="0"/>
            </w:tcBorders>
            <w:vAlign w:val="center"/>
          </w:tcPr>
          <w:p w14:paraId="000001B2">
            <w:pPr>
              <w:spacing w:before="20" w:after="20" w:line="264" w:lineRule="auto"/>
              <w:jc w:val="both"/>
            </w:pPr>
            <w:r>
              <w:rPr>
                <w:sz w:val="24"/>
                <w:szCs w:val="24"/>
                <w:rtl w:val="0"/>
              </w:rPr>
              <w:t>200.128</w:t>
            </w:r>
          </w:p>
        </w:tc>
      </w:tr>
      <w:tr w14:paraId="35EDB70F">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B3">
            <w:pPr>
              <w:spacing w:before="20" w:after="20" w:line="264" w:lineRule="auto"/>
              <w:jc w:val="both"/>
            </w:pPr>
            <w:r>
              <w:rPr>
                <w:sz w:val="24"/>
                <w:szCs w:val="24"/>
                <w:rtl w:val="0"/>
              </w:rPr>
              <w:t>EIRE</w:t>
            </w:r>
          </w:p>
        </w:tc>
        <w:tc>
          <w:tcPr>
            <w:tcBorders>
              <w:top w:val="single" w:color="000000" w:sz="6" w:space="0"/>
              <w:left w:val="single" w:color="000000" w:sz="6" w:space="0"/>
              <w:bottom w:val="single" w:color="000000" w:sz="6" w:space="0"/>
              <w:right w:val="single" w:color="000000" w:sz="6" w:space="0"/>
            </w:tcBorders>
            <w:vAlign w:val="center"/>
          </w:tcPr>
          <w:p w14:paraId="000001B4">
            <w:pPr>
              <w:spacing w:before="20" w:after="20" w:line="264" w:lineRule="auto"/>
              <w:jc w:val="both"/>
            </w:pPr>
            <w:r>
              <w:rPr>
                <w:sz w:val="24"/>
                <w:szCs w:val="24"/>
                <w:rtl w:val="0"/>
              </w:rPr>
              <w:t>142.637</w:t>
            </w:r>
          </w:p>
        </w:tc>
      </w:tr>
      <w:tr w14:paraId="1F2398F0">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B5">
            <w:pPr>
              <w:spacing w:before="20" w:after="20" w:line="264" w:lineRule="auto"/>
              <w:jc w:val="both"/>
            </w:pPr>
            <w:r>
              <w:rPr>
                <w:sz w:val="24"/>
                <w:szCs w:val="24"/>
                <w:rtl w:val="0"/>
              </w:rPr>
              <w:t>Germany</w:t>
            </w:r>
          </w:p>
        </w:tc>
        <w:tc>
          <w:tcPr>
            <w:tcBorders>
              <w:top w:val="single" w:color="000000" w:sz="6" w:space="0"/>
              <w:left w:val="single" w:color="000000" w:sz="6" w:space="0"/>
              <w:bottom w:val="single" w:color="000000" w:sz="6" w:space="0"/>
              <w:right w:val="single" w:color="000000" w:sz="6" w:space="0"/>
            </w:tcBorders>
            <w:vAlign w:val="center"/>
          </w:tcPr>
          <w:p w14:paraId="000001B6">
            <w:pPr>
              <w:spacing w:before="20" w:after="20" w:line="264" w:lineRule="auto"/>
              <w:jc w:val="both"/>
            </w:pPr>
            <w:r>
              <w:rPr>
                <w:sz w:val="24"/>
                <w:szCs w:val="24"/>
                <w:rtl w:val="0"/>
              </w:rPr>
              <w:t>117.448</w:t>
            </w:r>
          </w:p>
        </w:tc>
      </w:tr>
      <w:tr w14:paraId="47733A71">
        <w:tblPrEx>
          <w:tblCellMar>
            <w:top w:w="60" w:type="dxa"/>
            <w:left w:w="100" w:type="dxa"/>
            <w:bottom w:w="60" w:type="dxa"/>
            <w:right w:w="100" w:type="dxa"/>
          </w:tblCellMar>
        </w:tblPrEx>
        <w:trPr>
          <w:cantSplit/>
          <w:trHeight w:val="405" w:hRule="atLeast"/>
          <w:jc w:val="center"/>
        </w:trPr>
        <w:tc>
          <w:tcPr>
            <w:tcBorders>
              <w:top w:val="single" w:color="000000" w:sz="6" w:space="0"/>
              <w:left w:val="single" w:color="000000" w:sz="6" w:space="0"/>
              <w:bottom w:val="single" w:color="000000" w:sz="6" w:space="0"/>
              <w:right w:val="single" w:color="000000" w:sz="6" w:space="0"/>
            </w:tcBorders>
            <w:vAlign w:val="center"/>
          </w:tcPr>
          <w:p w14:paraId="000001B7">
            <w:pPr>
              <w:spacing w:before="20" w:after="20" w:line="264" w:lineRule="auto"/>
              <w:jc w:val="both"/>
            </w:pPr>
            <w:r>
              <w:rPr>
                <w:sz w:val="24"/>
                <w:szCs w:val="24"/>
                <w:rtl w:val="0"/>
              </w:rPr>
              <w:t>France</w:t>
            </w:r>
          </w:p>
        </w:tc>
        <w:tc>
          <w:tcPr>
            <w:tcBorders>
              <w:top w:val="single" w:color="000000" w:sz="6" w:space="0"/>
              <w:left w:val="single" w:color="000000" w:sz="6" w:space="0"/>
              <w:bottom w:val="single" w:color="000000" w:sz="6" w:space="0"/>
              <w:right w:val="single" w:color="000000" w:sz="6" w:space="0"/>
            </w:tcBorders>
            <w:vAlign w:val="center"/>
          </w:tcPr>
          <w:p w14:paraId="000001B8">
            <w:pPr>
              <w:spacing w:before="20" w:after="20" w:line="264" w:lineRule="auto"/>
              <w:jc w:val="both"/>
            </w:pPr>
            <w:r>
              <w:rPr>
                <w:sz w:val="24"/>
                <w:szCs w:val="24"/>
                <w:rtl w:val="0"/>
              </w:rPr>
              <w:t>110.480</w:t>
            </w:r>
          </w:p>
        </w:tc>
      </w:tr>
    </w:tbl>
    <w:p w14:paraId="000001B9">
      <w:pPr>
        <w:spacing w:before="80" w:after="100" w:line="276" w:lineRule="auto"/>
        <w:jc w:val="center"/>
      </w:pPr>
      <w:r>
        <w:rPr>
          <w:i/>
          <w:iCs/>
          <w:sz w:val="24"/>
          <w:szCs w:val="24"/>
          <w:rtl w:val="0"/>
        </w:rPr>
        <w:t>Bảng 1.2.6 – Top 5 quốc gia theo tổng số lượng bán</w:t>
      </w:r>
    </w:p>
    <w:p w14:paraId="000001BA">
      <w:pPr>
        <w:ind w:firstLine="567"/>
        <w:jc w:val="both"/>
      </w:pPr>
      <w:r>
        <w:rPr>
          <w:rtl w:val="0"/>
        </w:rPr>
        <w:t>Vương quốc Anh áp đảo, gấp khoảng 21 lần Hà Lan ở vị trí thứ hai. Năm quốc gia có số lượng bán thấp nhất là Lebanon, Brazil, RSA, Bahrain và Saudi Arabia (thấp nhất, khoảng 75 đơn vị). Về số khách hàng khác nhau, top 5 là United Kingdom (3.950), Germany (95), France (87), Spain (31) và Belgium (25).</w:t>
      </w:r>
    </w:p>
    <w:p w14:paraId="000001B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c/ Theo thời gian</w:t>
      </w:r>
    </w:p>
    <w:p w14:paraId="000001BC">
      <w:pPr>
        <w:spacing w:before="40" w:after="60"/>
        <w:jc w:val="center"/>
        <w:rPr>
          <w:b/>
          <w:bCs/>
        </w:rPr>
      </w:pPr>
      <w:r>
        <w:drawing>
          <wp:inline distT="0" distB="0" distL="0" distR="0">
            <wp:extent cx="5731510" cy="1676400"/>
            <wp:effectExtent l="0" t="0" r="0" b="0"/>
            <wp:docPr id="44" name="image23.png"/>
            <wp:cNvGraphicFramePr/>
            <a:graphic xmlns:a="http://schemas.openxmlformats.org/drawingml/2006/main">
              <a:graphicData uri="http://schemas.openxmlformats.org/drawingml/2006/picture">
                <pic:pic xmlns:pic="http://schemas.openxmlformats.org/drawingml/2006/picture">
                  <pic:nvPicPr>
                    <pic:cNvPr id="44" name="image23.png"/>
                    <pic:cNvPicPr preferRelativeResize="0"/>
                  </pic:nvPicPr>
                  <pic:blipFill>
                    <a:blip r:embed="rId32"/>
                    <a:srcRect/>
                    <a:stretch>
                      <a:fillRect/>
                    </a:stretch>
                  </pic:blipFill>
                  <pic:spPr>
                    <a:xfrm>
                      <a:off x="0" y="0"/>
                      <a:ext cx="5731510" cy="1676400"/>
                    </a:xfrm>
                    <a:prstGeom prst="rect">
                      <a:avLst/>
                    </a:prstGeom>
                  </pic:spPr>
                </pic:pic>
              </a:graphicData>
            </a:graphic>
          </wp:inline>
        </w:drawing>
      </w:r>
    </w:p>
    <w:p w14:paraId="000001BD">
      <w:pPr>
        <w:spacing w:before="80" w:after="100" w:line="276" w:lineRule="auto"/>
        <w:jc w:val="center"/>
        <w:rPr>
          <w:i/>
          <w:iCs/>
        </w:rPr>
      </w:pPr>
      <w:r>
        <w:rPr>
          <w:i/>
          <w:iCs/>
          <w:sz w:val="24"/>
          <w:szCs w:val="24"/>
          <w:rtl w:val="0"/>
        </w:rPr>
        <w:t>Hình 1.2.17 – Tổng doanh thu theo năm (trái) và theo tháng (phải)</w:t>
      </w:r>
    </w:p>
    <w:p w14:paraId="000001BE">
      <w:pPr>
        <w:ind w:firstLine="567"/>
        <w:jc w:val="both"/>
      </w:pPr>
      <w:r>
        <w:rPr>
          <w:rtl w:val="0"/>
        </w:rPr>
        <w:t>Tổng doanh thu năm 2010 là khoảng 748.957 và năm 2011 là khoảng 8.998.791, nhưng hai con số này không so sánh trực tiếp được vì dữ liệu năm 2010 chỉ có tháng 12 và năm 2011 chỉ tới ngày 09/12. Theo tháng, doanh thu dao động quanh mức 0,5–0,75 triệu từ tháng 1 đến tháng 8/2011, tăng từ tháng 9 (khoảng 1,0 triệu), tháng 10 (khoảng 1,07 triệu) và đạt đỉnh tháng 11/2011 (khoảng 1,46 triệu). Mức giảm mạnh ở tháng 12/2011 là do tháng này chưa đủ dữ liệu. Xu hướng tăng cuối năm phù hợp với mùa mua sắm lễ hội nhưng dữ liệu chỉ có một chu kỳ nên chưa đủ để kết luận tính mùa vụ.</w:t>
      </w:r>
    </w:p>
    <w:p w14:paraId="000001B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d Theo sản phẩm</w:t>
      </w:r>
    </w:p>
    <w:p w14:paraId="000001C0">
      <w:pPr>
        <w:spacing w:before="40" w:after="60"/>
        <w:jc w:val="center"/>
        <w:rPr>
          <w:b/>
          <w:bCs/>
        </w:rPr>
      </w:pPr>
      <w:r>
        <w:drawing>
          <wp:inline distT="0" distB="0" distL="0" distR="0">
            <wp:extent cx="5731510" cy="1651000"/>
            <wp:effectExtent l="0" t="0" r="0" b="0"/>
            <wp:docPr id="45" name="image2.png"/>
            <wp:cNvGraphicFramePr/>
            <a:graphic xmlns:a="http://schemas.openxmlformats.org/drawingml/2006/main">
              <a:graphicData uri="http://schemas.openxmlformats.org/drawingml/2006/picture">
                <pic:pic xmlns:pic="http://schemas.openxmlformats.org/drawingml/2006/picture">
                  <pic:nvPicPr>
                    <pic:cNvPr id="45" name="image2.png"/>
                    <pic:cNvPicPr preferRelativeResize="0"/>
                  </pic:nvPicPr>
                  <pic:blipFill>
                    <a:blip r:embed="rId33"/>
                    <a:srcRect/>
                    <a:stretch>
                      <a:fillRect/>
                    </a:stretch>
                  </pic:blipFill>
                  <pic:spPr>
                    <a:xfrm>
                      <a:off x="0" y="0"/>
                      <a:ext cx="5731510" cy="1651000"/>
                    </a:xfrm>
                    <a:prstGeom prst="rect">
                      <a:avLst/>
                    </a:prstGeom>
                  </pic:spPr>
                </pic:pic>
              </a:graphicData>
            </a:graphic>
          </wp:inline>
        </w:drawing>
      </w:r>
    </w:p>
    <w:p w14:paraId="000001C1">
      <w:pPr>
        <w:spacing w:before="80" w:after="100" w:line="276" w:lineRule="auto"/>
        <w:jc w:val="center"/>
        <w:rPr>
          <w:i/>
          <w:iCs/>
        </w:rPr>
      </w:pPr>
      <w:r>
        <w:rPr>
          <w:i/>
          <w:iCs/>
          <w:sz w:val="24"/>
          <w:szCs w:val="24"/>
          <w:rtl w:val="0"/>
        </w:rPr>
        <w:t>Hình 1.2.18 – Top 10 sản phẩm theo số lượng bán (trái) và theo doanh thu (phải)</w:t>
      </w:r>
    </w:p>
    <w:p w14:paraId="000001C2">
      <w:pPr>
        <w:numPr>
          <w:ilvl w:val="0"/>
          <w:numId w:val="1"/>
        </w:numPr>
        <w:ind w:left="720" w:firstLine="566"/>
        <w:jc w:val="both"/>
      </w:pPr>
      <w:r>
        <w:rPr>
          <w:rtl w:val="0"/>
        </w:rPr>
        <w:t xml:space="preserve">Sản phẩm đứng đầu cả số lượng và doanh thu là </w:t>
      </w:r>
      <w:r>
        <w:rPr>
          <w:b/>
          <w:bCs/>
          <w:rtl w:val="0"/>
        </w:rPr>
        <w:t>PAPER CRAFT, LITTLE BIRDIE</w:t>
      </w:r>
      <w:r>
        <w:rPr>
          <w:rtl w:val="0"/>
        </w:rPr>
        <w:t xml:space="preserve"> (80.995 đơn vị, khoảng 168.470). Sản phẩm này dường như chỉ có một giao dịch, trùng với giá trị Quantity nhỏ nhất của toàn bộ dữ liệu (−80.995), nên nhiều khả năng đơn hàng này đã bị hủy ngay sau đó, dòng hủy bị loại khi lọc Quantity &gt; 0 còn dòng gốc thì được giữ lại. Cần coi đây là giá trị bất thường, không phải sản phẩm bán chạy thực sự.</w:t>
      </w:r>
    </w:p>
    <w:p w14:paraId="000001C3">
      <w:pPr>
        <w:numPr>
          <w:ilvl w:val="0"/>
          <w:numId w:val="1"/>
        </w:numPr>
        <w:ind w:left="720" w:firstLine="566"/>
        <w:jc w:val="both"/>
      </w:pPr>
      <w:r>
        <w:rPr>
          <w:rtl w:val="0"/>
        </w:rPr>
        <w:t xml:space="preserve">Danh sách theo doanh thu còn có </w:t>
      </w:r>
      <w:r>
        <w:rPr>
          <w:b/>
          <w:bCs/>
          <w:rtl w:val="0"/>
        </w:rPr>
        <w:t>POSTAGE</w:t>
      </w:r>
      <w:r>
        <w:rPr>
          <w:rtl w:val="0"/>
        </w:rPr>
        <w:t xml:space="preserve"> (phí vận chuyển) và </w:t>
      </w:r>
      <w:r>
        <w:rPr>
          <w:b/>
          <w:bCs/>
          <w:rtl w:val="0"/>
        </w:rPr>
        <w:t>Manual</w:t>
      </w:r>
      <w:r>
        <w:rPr>
          <w:rtl w:val="0"/>
        </w:rPr>
        <w:t xml:space="preserve"> (nhập tay), không phải hàng hóa. Khi phân tích sản phẩm nên loại các mã này.</w:t>
      </w:r>
    </w:p>
    <w:p w14:paraId="30487B41">
      <w:pPr>
        <w:pStyle w:val="4"/>
      </w:pPr>
      <w:bookmarkStart w:id="24" w:name="_Toc5017"/>
      <w:r>
        <w:t>1.2.7. Tổng kết phần trực quan hóa</w:t>
      </w:r>
      <w:bookmarkEnd w:id="24"/>
    </w:p>
    <w:p w14:paraId="000001C5">
      <w:pPr>
        <w:numPr>
          <w:ilvl w:val="0"/>
          <w:numId w:val="2"/>
        </w:numPr>
        <w:ind w:left="720" w:firstLine="566"/>
        <w:jc w:val="both"/>
      </w:pPr>
      <w:r>
        <w:rPr>
          <w:b/>
          <w:bCs/>
          <w:rtl w:val="0"/>
        </w:rPr>
        <w:t>Giá nhà Amsterdam:</w:t>
      </w:r>
      <w:r>
        <w:rPr>
          <w:rtl w:val="0"/>
        </w:rPr>
        <w:t xml:space="preserve"> giá cao chưa chắc là giá trên m^2 cao, nên so sánh theo PriceperSqm.</w:t>
      </w:r>
    </w:p>
    <w:p w14:paraId="000001C6">
      <w:pPr>
        <w:numPr>
          <w:ilvl w:val="0"/>
          <w:numId w:val="2"/>
        </w:numPr>
        <w:ind w:left="720" w:firstLine="566"/>
        <w:jc w:val="both"/>
      </w:pPr>
      <w:r>
        <w:rPr>
          <w:b/>
          <w:bCs/>
          <w:rtl w:val="0"/>
        </w:rPr>
        <w:t>Red Wine Quality:</w:t>
      </w:r>
      <w:sdt>
        <w:sdtPr>
          <w:tag w:val="goog_rdk_3"/>
          <w:id w:val="-1869094730"/>
        </w:sdtPr>
        <w:sdtContent>
          <w:r>
            <w:rPr>
              <w:rtl w:val="0"/>
            </w:rPr>
            <w:t xml:space="preserve"> alcohol (+0,48) và volatile acidity (−0,39) là hai biến liên quan nhất tới quality, quality mất cân bằng nên khi phân lớp cần ưu tiên recall, F1 hơn accuracy.</w:t>
          </w:r>
        </w:sdtContent>
      </w:sdt>
    </w:p>
    <w:p w14:paraId="000001C7">
      <w:pPr>
        <w:numPr>
          <w:ilvl w:val="0"/>
          <w:numId w:val="2"/>
        </w:numPr>
        <w:ind w:left="720" w:firstLine="566"/>
        <w:jc w:val="both"/>
      </w:pPr>
      <w:r>
        <w:rPr>
          <w:b/>
          <w:bCs/>
          <w:rtl w:val="0"/>
        </w:rPr>
        <w:t>Pima Diabetes:</w:t>
      </w:r>
      <w:r>
        <w:rPr>
          <w:rtl w:val="0"/>
        </w:rPr>
        <w:t xml:space="preserve"> Glucose liên quan nhất tới Outcome (0,49). Các giá trị 0 ở Insulin (374 dòng), SkinThickness (227 dòng) là dữ liệu thiếu, trùng với kết quả mục 1.1 (TV4). Khi viết kết quả, chỉ nên dùng cách nói “có liên quan” hoặc “có thể ảnh hưởng”, không khẳng định nguyên nhân.</w:t>
      </w:r>
    </w:p>
    <w:p w14:paraId="000001C8">
      <w:pPr>
        <w:numPr>
          <w:ilvl w:val="0"/>
          <w:numId w:val="2"/>
        </w:numPr>
        <w:ind w:left="720" w:firstLine="566"/>
        <w:jc w:val="both"/>
      </w:pPr>
      <w:r>
        <w:rPr>
          <w:b/>
          <w:bCs/>
          <w:rtl w:val="0"/>
        </w:rPr>
        <w:t>Online Retail:</w:t>
      </w:r>
      <w:r>
        <w:rPr>
          <w:rtl w:val="0"/>
        </w:rPr>
        <w:t xml:space="preserve"> dữ liệu cần làm sạch trước khi dùng cho phân tích tiếp theo, không so sánh trực tiếp doanh thu 2010 và 2011.</w:t>
      </w:r>
    </w:p>
    <w:p w14:paraId="348898E4">
      <w:pPr>
        <w:pStyle w:val="3"/>
      </w:pPr>
      <w:bookmarkStart w:id="25" w:name="bookmark=id.jw5lv0a2jp00" w:colFirst="0" w:colLast="0"/>
      <w:bookmarkEnd w:id="25"/>
      <w:bookmarkStart w:id="26" w:name="_Toc5018"/>
      <w:r>
        <w:t>1.3. PHÂN TÍCH ĐƠN BIẾN, HAI BIẾN VÀ CÔNG CỤ EDA TỰ ĐỘNG</w:t>
      </w:r>
      <w:bookmarkEnd w:id="26"/>
    </w:p>
    <w:p w14:paraId="000001CA">
      <w:pPr>
        <w:ind w:firstLine="567"/>
        <w:jc w:val="both"/>
      </w:pPr>
      <w:r>
        <w:rPr>
          <w:rtl w:val="0"/>
        </w:rPr>
        <w:t>Nội dung này trình bày kết quả khám phá dữ liệu (Exploratory Data Analysis – EDA) theo phần thực hành của thành viên TV05. Phân tích bao gồm biến đơn lẻ, mối quan hệ giữa các biến và giới thiệu bốn công cụ tự động hỗ trợ tạo báo cáo EDA.</w:t>
      </w:r>
    </w:p>
    <w:p w14:paraId="000001CB">
      <w:pPr>
        <w:ind w:firstLine="567"/>
        <w:jc w:val="both"/>
      </w:pPr>
      <w:r>
        <w:rPr>
          <w:i/>
          <w:iCs/>
          <w:rtl w:val="0"/>
        </w:rPr>
        <w:t>Nguồn số liệu và hình thực nghiệm: notebook PhanTichDuLieu_3.ipynb do nhóm cung cấp. Các biểu đồ được trích trực tiếp từ kết quả đã lưu trong notebook; không giả định đã chạy lại khi thiếu file dữ liệu gốc.</w:t>
      </w:r>
    </w:p>
    <w:p w14:paraId="7799E9C2">
      <w:pPr>
        <w:pStyle w:val="4"/>
      </w:pPr>
      <w:bookmarkStart w:id="27" w:name="bookmark=id.y93z97188oop" w:colFirst="0" w:colLast="0"/>
      <w:bookmarkEnd w:id="27"/>
      <w:bookmarkStart w:id="28" w:name="_Toc5019"/>
      <w:r>
        <w:t>1.3.1. Dữ liệu và phương pháp thực hiện</w:t>
      </w:r>
      <w:bookmarkEnd w:id="28"/>
    </w:p>
    <w:p w14:paraId="000001CD">
      <w:pPr>
        <w:ind w:firstLine="567"/>
        <w:jc w:val="both"/>
      </w:pPr>
      <w:r>
        <w:rPr>
          <w:rtl w:val="0"/>
        </w:rPr>
        <w:t>Notebook sử dụng hai bộ dữ liệu chính để khảo sát trực quan: dữ liệu chim cánh cụt Palmer Penguins (penguins_lter.csv) và dữ liệu giá nhà Amsterdam tháng 08/2021 (HousingPrices-Amsterdam-August-2021.csv). Phần công cụ tự động dùng bộ Customer Personality Analysis (marketing_campaign.csv).</w:t>
      </w:r>
    </w:p>
    <w:tbl>
      <w:tblPr>
        <w:tblStyle w:val="42"/>
        <w:tblW w:w="8844" w:type="dxa"/>
        <w:jc w:val="center"/>
        <w:tblLayout w:type="fixed"/>
        <w:tblCellMar>
          <w:top w:w="0" w:type="dxa"/>
          <w:left w:w="115" w:type="dxa"/>
          <w:bottom w:w="0" w:type="dxa"/>
          <w:right w:w="115" w:type="dxa"/>
        </w:tblCellMar>
      </w:tblPr>
      <w:tblGrid>
        <w:gridCol w:w="1983"/>
        <w:gridCol w:w="2891"/>
        <w:gridCol w:w="3970"/>
      </w:tblGrid>
      <w:tr w14:paraId="3D9563BD">
        <w:tblPrEx>
          <w:tblCellMar>
            <w:top w:w="0" w:type="dxa"/>
            <w:left w:w="115" w:type="dxa"/>
            <w:bottom w:w="0" w:type="dxa"/>
            <w:right w:w="115" w:type="dxa"/>
          </w:tblCellMar>
        </w:tblPrEx>
        <w:trPr>
          <w:cantSplit/>
          <w:tblHeader/>
          <w:jc w:val="center"/>
        </w:trPr>
        <w:tc>
          <w:tcPr>
            <w:tcBorders>
              <w:top w:val="single" w:color="000000" w:sz="6" w:space="0"/>
              <w:left w:val="single" w:color="000000" w:sz="6" w:space="0"/>
              <w:bottom w:val="single" w:color="000000" w:sz="6" w:space="0"/>
              <w:right w:val="single" w:color="000000" w:sz="6" w:space="0"/>
            </w:tcBorders>
            <w:vAlign w:val="center"/>
          </w:tcPr>
          <w:p w14:paraId="000001CE">
            <w:pPr>
              <w:spacing w:before="20" w:after="20" w:line="264" w:lineRule="auto"/>
              <w:jc w:val="center"/>
            </w:pPr>
            <w:r>
              <w:rPr>
                <w:b/>
                <w:bCs/>
                <w:sz w:val="24"/>
                <w:szCs w:val="24"/>
                <w:rtl w:val="0"/>
              </w:rPr>
              <w:t>Bộ dữ liệu</w:t>
            </w:r>
          </w:p>
        </w:tc>
        <w:tc>
          <w:tcPr>
            <w:tcBorders>
              <w:top w:val="single" w:color="000000" w:sz="6" w:space="0"/>
              <w:left w:val="single" w:color="000000" w:sz="6" w:space="0"/>
              <w:bottom w:val="single" w:color="000000" w:sz="6" w:space="0"/>
              <w:right w:val="single" w:color="000000" w:sz="6" w:space="0"/>
            </w:tcBorders>
            <w:vAlign w:val="center"/>
          </w:tcPr>
          <w:p w14:paraId="000001CF">
            <w:pPr>
              <w:spacing w:before="20" w:after="20" w:line="264" w:lineRule="auto"/>
              <w:jc w:val="center"/>
            </w:pPr>
            <w:r>
              <w:rPr>
                <w:b/>
                <w:bCs/>
                <w:sz w:val="24"/>
                <w:szCs w:val="24"/>
                <w:rtl w:val="0"/>
              </w:rPr>
              <w:t>Biến được phân tích</w:t>
            </w:r>
          </w:p>
        </w:tc>
        <w:tc>
          <w:tcPr>
            <w:tcBorders>
              <w:top w:val="single" w:color="000000" w:sz="6" w:space="0"/>
              <w:left w:val="single" w:color="000000" w:sz="6" w:space="0"/>
              <w:bottom w:val="single" w:color="000000" w:sz="6" w:space="0"/>
              <w:right w:val="single" w:color="000000" w:sz="6" w:space="0"/>
            </w:tcBorders>
            <w:vAlign w:val="center"/>
          </w:tcPr>
          <w:p w14:paraId="000001D0">
            <w:pPr>
              <w:spacing w:before="20" w:after="20" w:line="264" w:lineRule="auto"/>
              <w:jc w:val="center"/>
            </w:pPr>
            <w:r>
              <w:rPr>
                <w:b/>
                <w:bCs/>
                <w:sz w:val="24"/>
                <w:szCs w:val="24"/>
                <w:rtl w:val="0"/>
              </w:rPr>
              <w:t>Đặc điểm thể hiện trong notebook</w:t>
            </w:r>
          </w:p>
        </w:tc>
      </w:tr>
      <w:tr w14:paraId="113B33A8">
        <w:tblPrEx>
          <w:tblCellMar>
            <w:top w:w="0" w:type="dxa"/>
            <w:left w:w="115" w:type="dxa"/>
            <w:bottom w:w="0" w:type="dxa"/>
            <w:right w:w="115" w:type="dxa"/>
          </w:tblCellMar>
        </w:tblPrEx>
        <w:trPr>
          <w:cantSplit/>
          <w:jc w:val="center"/>
        </w:trPr>
        <w:tc>
          <w:tcPr>
            <w:tcBorders>
              <w:top w:val="single" w:color="000000" w:sz="6" w:space="0"/>
              <w:left w:val="single" w:color="000000" w:sz="6" w:space="0"/>
              <w:bottom w:val="single" w:color="000000" w:sz="6" w:space="0"/>
              <w:right w:val="single" w:color="000000" w:sz="6" w:space="0"/>
            </w:tcBorders>
            <w:vAlign w:val="center"/>
          </w:tcPr>
          <w:p w14:paraId="000001D1">
            <w:pPr>
              <w:spacing w:before="20" w:after="20" w:line="264" w:lineRule="auto"/>
            </w:pPr>
            <w:r>
              <w:rPr>
                <w:sz w:val="24"/>
                <w:szCs w:val="24"/>
                <w:rtl w:val="0"/>
              </w:rPr>
              <w:t>Chim cánh cụt</w:t>
            </w:r>
          </w:p>
        </w:tc>
        <w:tc>
          <w:tcPr>
            <w:tcBorders>
              <w:top w:val="single" w:color="000000" w:sz="6" w:space="0"/>
              <w:left w:val="single" w:color="000000" w:sz="6" w:space="0"/>
              <w:bottom w:val="single" w:color="000000" w:sz="6" w:space="0"/>
              <w:right w:val="single" w:color="000000" w:sz="6" w:space="0"/>
            </w:tcBorders>
            <w:vAlign w:val="center"/>
          </w:tcPr>
          <w:p w14:paraId="000001D2">
            <w:pPr>
              <w:spacing w:before="20" w:after="20" w:line="264" w:lineRule="auto"/>
            </w:pPr>
            <w:r>
              <w:rPr>
                <w:sz w:val="24"/>
                <w:szCs w:val="24"/>
                <w:rtl w:val="0"/>
              </w:rPr>
              <w:t>species; culmen_length_mm; body_mass_g; sex</w:t>
            </w:r>
          </w:p>
        </w:tc>
        <w:tc>
          <w:tcPr>
            <w:tcBorders>
              <w:top w:val="single" w:color="000000" w:sz="6" w:space="0"/>
              <w:left w:val="single" w:color="000000" w:sz="6" w:space="0"/>
              <w:bottom w:val="single" w:color="000000" w:sz="6" w:space="0"/>
              <w:right w:val="single" w:color="000000" w:sz="6" w:space="0"/>
            </w:tcBorders>
            <w:vAlign w:val="center"/>
          </w:tcPr>
          <w:p w14:paraId="000001D3">
            <w:pPr>
              <w:spacing w:before="20" w:after="20" w:line="264" w:lineRule="auto"/>
            </w:pPr>
            <w:r>
              <w:rPr>
                <w:sz w:val="24"/>
                <w:szCs w:val="24"/>
                <w:rtl w:val="0"/>
              </w:rPr>
              <w:t>344 bản ghi; 3 loài; 2 giá trị thiếu ở chiều dài mỏ và khối lượng; 11 giá trị thiếu ở giới tính.</w:t>
            </w:r>
          </w:p>
        </w:tc>
      </w:tr>
      <w:tr w14:paraId="1DBCFA45">
        <w:tblPrEx>
          <w:tblCellMar>
            <w:top w:w="0" w:type="dxa"/>
            <w:left w:w="115" w:type="dxa"/>
            <w:bottom w:w="0" w:type="dxa"/>
            <w:right w:w="115" w:type="dxa"/>
          </w:tblCellMar>
        </w:tblPrEx>
        <w:trPr>
          <w:cantSplit/>
          <w:jc w:val="center"/>
        </w:trPr>
        <w:tc>
          <w:tcPr>
            <w:tcBorders>
              <w:top w:val="single" w:color="000000" w:sz="6" w:space="0"/>
              <w:left w:val="single" w:color="000000" w:sz="6" w:space="0"/>
              <w:bottom w:val="single" w:color="000000" w:sz="6" w:space="0"/>
              <w:right w:val="single" w:color="000000" w:sz="6" w:space="0"/>
            </w:tcBorders>
            <w:vAlign w:val="center"/>
          </w:tcPr>
          <w:p w14:paraId="000001D4">
            <w:pPr>
              <w:spacing w:before="20" w:after="20" w:line="264" w:lineRule="auto"/>
            </w:pPr>
            <w:r>
              <w:rPr>
                <w:sz w:val="24"/>
                <w:szCs w:val="24"/>
                <w:rtl w:val="0"/>
              </w:rPr>
              <w:t>Giá nhà Amsterdam</w:t>
            </w:r>
          </w:p>
        </w:tc>
        <w:tc>
          <w:tcPr>
            <w:tcBorders>
              <w:top w:val="single" w:color="000000" w:sz="6" w:space="0"/>
              <w:left w:val="single" w:color="000000" w:sz="6" w:space="0"/>
              <w:bottom w:val="single" w:color="000000" w:sz="6" w:space="0"/>
              <w:right w:val="single" w:color="000000" w:sz="6" w:space="0"/>
            </w:tcBorders>
            <w:vAlign w:val="center"/>
          </w:tcPr>
          <w:p w14:paraId="000001D5">
            <w:pPr>
              <w:spacing w:before="20" w:after="20" w:line="264" w:lineRule="auto"/>
            </w:pPr>
            <w:r>
              <w:rPr>
                <w:sz w:val="24"/>
                <w:szCs w:val="24"/>
                <w:rtl w:val="0"/>
              </w:rPr>
              <w:t>Zip; Price; Area; Room</w:t>
            </w:r>
          </w:p>
        </w:tc>
        <w:tc>
          <w:tcPr>
            <w:tcBorders>
              <w:top w:val="single" w:color="000000" w:sz="6" w:space="0"/>
              <w:left w:val="single" w:color="000000" w:sz="6" w:space="0"/>
              <w:bottom w:val="single" w:color="000000" w:sz="6" w:space="0"/>
              <w:right w:val="single" w:color="000000" w:sz="6" w:space="0"/>
            </w:tcBorders>
            <w:vAlign w:val="center"/>
          </w:tcPr>
          <w:p w14:paraId="000001D6">
            <w:pPr>
              <w:spacing w:before="20" w:after="20" w:line="264" w:lineRule="auto"/>
            </w:pPr>
            <w:r>
              <w:rPr>
                <w:sz w:val="24"/>
                <w:szCs w:val="24"/>
                <w:rtl w:val="0"/>
              </w:rPr>
              <w:t>924 dòng dữ liệu của Area và Room; Price có 920 quan sát hợp lệ.</w:t>
            </w:r>
          </w:p>
        </w:tc>
      </w:tr>
      <w:tr w14:paraId="337E5B63">
        <w:tblPrEx>
          <w:tblCellMar>
            <w:top w:w="0" w:type="dxa"/>
            <w:left w:w="115" w:type="dxa"/>
            <w:bottom w:w="0" w:type="dxa"/>
            <w:right w:w="115" w:type="dxa"/>
          </w:tblCellMar>
        </w:tblPrEx>
        <w:trPr>
          <w:cantSplit/>
          <w:jc w:val="center"/>
        </w:trPr>
        <w:tc>
          <w:tcPr>
            <w:tcBorders>
              <w:top w:val="single" w:color="000000" w:sz="6" w:space="0"/>
              <w:left w:val="single" w:color="000000" w:sz="6" w:space="0"/>
              <w:bottom w:val="single" w:color="000000" w:sz="6" w:space="0"/>
              <w:right w:val="single" w:color="000000" w:sz="6" w:space="0"/>
            </w:tcBorders>
            <w:vAlign w:val="center"/>
          </w:tcPr>
          <w:p w14:paraId="000001D7">
            <w:pPr>
              <w:spacing w:before="20" w:after="20" w:line="264" w:lineRule="auto"/>
            </w:pPr>
            <w:r>
              <w:rPr>
                <w:sz w:val="24"/>
                <w:szCs w:val="24"/>
                <w:rtl w:val="0"/>
              </w:rPr>
              <w:t>Marketing Campaign</w:t>
            </w:r>
          </w:p>
        </w:tc>
        <w:tc>
          <w:tcPr>
            <w:tcBorders>
              <w:top w:val="single" w:color="000000" w:sz="6" w:space="0"/>
              <w:left w:val="single" w:color="000000" w:sz="6" w:space="0"/>
              <w:bottom w:val="single" w:color="000000" w:sz="6" w:space="0"/>
              <w:right w:val="single" w:color="000000" w:sz="6" w:space="0"/>
            </w:tcBorders>
            <w:vAlign w:val="center"/>
          </w:tcPr>
          <w:p w14:paraId="000001D8">
            <w:pPr>
              <w:spacing w:before="20" w:after="20" w:line="264" w:lineRule="auto"/>
            </w:pPr>
            <w:r>
              <w:rPr>
                <w:sz w:val="24"/>
                <w:szCs w:val="24"/>
                <w:rtl w:val="0"/>
              </w:rPr>
              <w:t>Response; Kidhome và các thuộc tính khách hàng</w:t>
            </w:r>
          </w:p>
        </w:tc>
        <w:tc>
          <w:tcPr>
            <w:tcBorders>
              <w:top w:val="single" w:color="000000" w:sz="6" w:space="0"/>
              <w:left w:val="single" w:color="000000" w:sz="6" w:space="0"/>
              <w:bottom w:val="single" w:color="000000" w:sz="6" w:space="0"/>
              <w:right w:val="single" w:color="000000" w:sz="6" w:space="0"/>
            </w:tcBorders>
            <w:vAlign w:val="center"/>
          </w:tcPr>
          <w:p w14:paraId="000001D9">
            <w:pPr>
              <w:spacing w:before="20" w:after="20" w:line="264" w:lineRule="auto"/>
            </w:pPr>
            <w:r>
              <w:rPr>
                <w:sz w:val="24"/>
                <w:szCs w:val="24"/>
                <w:rtl w:val="0"/>
              </w:rPr>
              <w:t>Notebook có lệnh sinh báo cáo bằng 4 công cụ nhưng không lưu kết quả đầu ra thực tế.</w:t>
            </w:r>
          </w:p>
        </w:tc>
      </w:tr>
    </w:tbl>
    <w:p w14:paraId="000001DA"/>
    <w:p w14:paraId="000001DB">
      <w:pPr>
        <w:ind w:firstLine="567"/>
        <w:jc w:val="both"/>
      </w:pPr>
      <w:r>
        <w:rPr>
          <w:rtl w:val="0"/>
        </w:rPr>
        <w:t>Phương pháp trực quan được sử dụng gồm histogram, countplot, pie chart, boxplot, violin plot, scatterplot, pairplot và heatmap tương quan. Thống kê minh họa lấy theo output của notebook; biến thiếu được xử lý bằng cách bỏ qua giá trị NaN trong phép tính phù hợp.</w:t>
      </w:r>
    </w:p>
    <w:p w14:paraId="3C35898B">
      <w:pPr>
        <w:pStyle w:val="4"/>
      </w:pPr>
      <w:bookmarkStart w:id="29" w:name="bookmark=id.w8fhg3uk11o7" w:colFirst="0" w:colLast="0"/>
      <w:bookmarkEnd w:id="29"/>
      <w:bookmarkStart w:id="30" w:name="_Toc5020"/>
      <w:r>
        <w:t>1.3.2. Phân tích đơn biến (Univariate Analysis)</w:t>
      </w:r>
      <w:bookmarkEnd w:id="30"/>
    </w:p>
    <w:p w14:paraId="000001DD">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 Dữ liệu chim cánh cụt</w:t>
      </w:r>
    </w:p>
    <w:p w14:paraId="000001DE">
      <w:pPr>
        <w:ind w:firstLine="567"/>
        <w:jc w:val="both"/>
      </w:pPr>
      <w:r>
        <w:rPr>
          <w:rtl w:val="0"/>
        </w:rPr>
        <w:t>Phân tích đơn biến là xem xét phân bố, trung tâm và độ phân tán của từng thuộc tính riêng lẻ. Với biến chiều dài mỏ (culmen_length_mm), notebook ghi nhận 342 giá trị hợp lệ, trung bình 43,92 mm, trung vị 44,45 mm, độ lệch chuẩn 5,46 mm và giá trị từ 32,10 đến 59,60 mm.</w:t>
      </w:r>
    </w:p>
    <w:p w14:paraId="000001DF">
      <w:pPr>
        <w:keepNext/>
        <w:spacing w:before="40" w:after="60"/>
        <w:jc w:val="center"/>
      </w:pPr>
      <w:r>
        <w:drawing>
          <wp:inline distT="0" distB="0" distL="0" distR="0">
            <wp:extent cx="5363845" cy="3007995"/>
            <wp:effectExtent l="0" t="0" r="0" b="0"/>
            <wp:docPr id="46" name="image8.png"/>
            <wp:cNvGraphicFramePr/>
            <a:graphic xmlns:a="http://schemas.openxmlformats.org/drawingml/2006/main">
              <a:graphicData uri="http://schemas.openxmlformats.org/drawingml/2006/picture">
                <pic:pic xmlns:pic="http://schemas.openxmlformats.org/drawingml/2006/picture">
                  <pic:nvPicPr>
                    <pic:cNvPr id="46" name="image8.png"/>
                    <pic:cNvPicPr preferRelativeResize="0"/>
                  </pic:nvPicPr>
                  <pic:blipFill>
                    <a:blip r:embed="rId34"/>
                    <a:srcRect/>
                    <a:stretch>
                      <a:fillRect/>
                    </a:stretch>
                  </pic:blipFill>
                  <pic:spPr>
                    <a:xfrm>
                      <a:off x="0" y="0"/>
                      <a:ext cx="5363845" cy="3007995"/>
                    </a:xfrm>
                    <a:prstGeom prst="rect">
                      <a:avLst/>
                    </a:prstGeom>
                  </pic:spPr>
                </pic:pic>
              </a:graphicData>
            </a:graphic>
          </wp:inline>
        </w:drawing>
      </w:r>
    </w:p>
    <w:p w14:paraId="000001E0">
      <w:pPr>
        <w:spacing w:before="80" w:after="100" w:line="276" w:lineRule="auto"/>
        <w:jc w:val="center"/>
      </w:pPr>
      <w:r>
        <w:rPr>
          <w:i/>
          <w:iCs/>
          <w:sz w:val="24"/>
          <w:szCs w:val="24"/>
          <w:rtl w:val="0"/>
        </w:rPr>
        <w:t>Hình 1.3.1. Histogram phân bố chiều dài mỏ chim cánh cụt (nguồn: output cell 6).</w:t>
      </w:r>
    </w:p>
    <w:p w14:paraId="000001E1">
      <w:pPr>
        <w:ind w:firstLine="567"/>
        <w:jc w:val="both"/>
      </w:pPr>
      <w:r>
        <w:rPr>
          <w:rtl w:val="0"/>
        </w:rPr>
        <w:t>Nhận xét: Phân bố tập trung nhiều ở vùng khoảng 38–50 mm, có các cụm tần suất khác nhau. Histogram giúp nhận diện cấu trúc phân bố mà chỉ dùng trung bình và trung vị sẽ khó quan sát.</w:t>
      </w:r>
    </w:p>
    <w:p w14:paraId="000001E2">
      <w:pPr>
        <w:keepNext/>
        <w:spacing w:before="40" w:after="60"/>
        <w:jc w:val="center"/>
      </w:pPr>
      <w:r>
        <w:drawing>
          <wp:inline distT="0" distB="0" distL="0" distR="0">
            <wp:extent cx="5292090" cy="2943860"/>
            <wp:effectExtent l="0" t="0" r="0" b="0"/>
            <wp:docPr id="47" name="image19.png"/>
            <wp:cNvGraphicFramePr/>
            <a:graphic xmlns:a="http://schemas.openxmlformats.org/drawingml/2006/main">
              <a:graphicData uri="http://schemas.openxmlformats.org/drawingml/2006/picture">
                <pic:pic xmlns:pic="http://schemas.openxmlformats.org/drawingml/2006/picture">
                  <pic:nvPicPr>
                    <pic:cNvPr id="47" name="image19.png"/>
                    <pic:cNvPicPr preferRelativeResize="0"/>
                  </pic:nvPicPr>
                  <pic:blipFill>
                    <a:blip r:embed="rId35"/>
                    <a:srcRect/>
                    <a:stretch>
                      <a:fillRect/>
                    </a:stretch>
                  </pic:blipFill>
                  <pic:spPr>
                    <a:xfrm>
                      <a:off x="0" y="0"/>
                      <a:ext cx="5292090" cy="2943860"/>
                    </a:xfrm>
                    <a:prstGeom prst="rect">
                      <a:avLst/>
                    </a:prstGeom>
                  </pic:spPr>
                </pic:pic>
              </a:graphicData>
            </a:graphic>
          </wp:inline>
        </w:drawing>
      </w:r>
    </w:p>
    <w:p w14:paraId="000001E3">
      <w:pPr>
        <w:spacing w:before="80" w:after="100" w:line="276" w:lineRule="auto"/>
        <w:jc w:val="center"/>
      </w:pPr>
      <w:r>
        <w:rPr>
          <w:i/>
          <w:iCs/>
          <w:sz w:val="24"/>
          <w:szCs w:val="24"/>
          <w:rtl w:val="0"/>
        </w:rPr>
        <w:t>Hình 1.3.2. Biểu đồ cột thể hiện số lượng theo loài (nguồn: output cell 8).</w:t>
      </w:r>
    </w:p>
    <w:p w14:paraId="000001E4">
      <w:pPr>
        <w:keepNext/>
        <w:spacing w:before="40" w:after="60"/>
        <w:jc w:val="center"/>
      </w:pPr>
      <w:r>
        <w:drawing>
          <wp:inline distT="0" distB="0" distL="0" distR="0">
            <wp:extent cx="3239770" cy="3148330"/>
            <wp:effectExtent l="0" t="0" r="0" b="0"/>
            <wp:docPr id="48" name="image26.png"/>
            <wp:cNvGraphicFramePr/>
            <a:graphic xmlns:a="http://schemas.openxmlformats.org/drawingml/2006/main">
              <a:graphicData uri="http://schemas.openxmlformats.org/drawingml/2006/picture">
                <pic:pic xmlns:pic="http://schemas.openxmlformats.org/drawingml/2006/picture">
                  <pic:nvPicPr>
                    <pic:cNvPr id="48" name="image26.png"/>
                    <pic:cNvPicPr preferRelativeResize="0"/>
                  </pic:nvPicPr>
                  <pic:blipFill>
                    <a:blip r:embed="rId36"/>
                    <a:srcRect/>
                    <a:stretch>
                      <a:fillRect/>
                    </a:stretch>
                  </pic:blipFill>
                  <pic:spPr>
                    <a:xfrm>
                      <a:off x="0" y="0"/>
                      <a:ext cx="3239770" cy="3148330"/>
                    </a:xfrm>
                    <a:prstGeom prst="rect">
                      <a:avLst/>
                    </a:prstGeom>
                  </pic:spPr>
                </pic:pic>
              </a:graphicData>
            </a:graphic>
          </wp:inline>
        </w:drawing>
      </w:r>
    </w:p>
    <w:p w14:paraId="000001E5">
      <w:pPr>
        <w:spacing w:before="80" w:after="100" w:line="276" w:lineRule="auto"/>
        <w:jc w:val="center"/>
      </w:pPr>
      <w:r>
        <w:rPr>
          <w:i/>
          <w:iCs/>
          <w:sz w:val="24"/>
          <w:szCs w:val="24"/>
          <w:rtl w:val="0"/>
        </w:rPr>
        <w:t>Hình 1.3.3. Biểu đồ tròn về tỷ lệ các loài chim cánh cụt (nguồn: output cell 10).</w:t>
      </w:r>
    </w:p>
    <w:tbl>
      <w:tblPr>
        <w:tblStyle w:val="43"/>
        <w:tblW w:w="8844" w:type="dxa"/>
        <w:jc w:val="center"/>
        <w:tblLayout w:type="fixed"/>
        <w:tblCellMar>
          <w:top w:w="0" w:type="dxa"/>
          <w:left w:w="115" w:type="dxa"/>
          <w:bottom w:w="0" w:type="dxa"/>
          <w:right w:w="115" w:type="dxa"/>
        </w:tblCellMar>
      </w:tblPr>
      <w:tblGrid>
        <w:gridCol w:w="3514"/>
        <w:gridCol w:w="2438"/>
        <w:gridCol w:w="2892"/>
      </w:tblGrid>
      <w:tr w14:paraId="6FA66943">
        <w:tblPrEx>
          <w:tblCellMar>
            <w:top w:w="0" w:type="dxa"/>
            <w:left w:w="115" w:type="dxa"/>
            <w:bottom w:w="0" w:type="dxa"/>
            <w:right w:w="115" w:type="dxa"/>
          </w:tblCellMar>
        </w:tblPrEx>
        <w:trPr>
          <w:cantSplit/>
          <w:tblHeader/>
          <w:jc w:val="center"/>
        </w:trPr>
        <w:tc>
          <w:tcPr>
            <w:tcBorders>
              <w:top w:val="single" w:color="000000" w:sz="6" w:space="0"/>
              <w:left w:val="single" w:color="000000" w:sz="6" w:space="0"/>
              <w:bottom w:val="single" w:color="000000" w:sz="6" w:space="0"/>
              <w:right w:val="single" w:color="000000" w:sz="6" w:space="0"/>
            </w:tcBorders>
            <w:vAlign w:val="center"/>
          </w:tcPr>
          <w:p w14:paraId="000001E6">
            <w:pPr>
              <w:spacing w:before="20" w:after="20" w:line="264" w:lineRule="auto"/>
              <w:jc w:val="center"/>
            </w:pPr>
            <w:r>
              <w:rPr>
                <w:b/>
                <w:bCs/>
                <w:sz w:val="24"/>
                <w:szCs w:val="24"/>
                <w:rtl w:val="0"/>
              </w:rPr>
              <w:t>Loài</w:t>
            </w:r>
          </w:p>
        </w:tc>
        <w:tc>
          <w:tcPr>
            <w:tcBorders>
              <w:top w:val="single" w:color="000000" w:sz="6" w:space="0"/>
              <w:left w:val="single" w:color="000000" w:sz="6" w:space="0"/>
              <w:bottom w:val="single" w:color="000000" w:sz="6" w:space="0"/>
              <w:right w:val="single" w:color="000000" w:sz="6" w:space="0"/>
            </w:tcBorders>
            <w:vAlign w:val="center"/>
          </w:tcPr>
          <w:p w14:paraId="000001E7">
            <w:pPr>
              <w:spacing w:before="20" w:after="20" w:line="264" w:lineRule="auto"/>
              <w:jc w:val="center"/>
            </w:pPr>
            <w:r>
              <w:rPr>
                <w:b/>
                <w:bCs/>
                <w:sz w:val="24"/>
                <w:szCs w:val="24"/>
                <w:rtl w:val="0"/>
              </w:rPr>
              <w:t>Số lượng</w:t>
            </w:r>
          </w:p>
        </w:tc>
        <w:tc>
          <w:tcPr>
            <w:tcBorders>
              <w:top w:val="single" w:color="000000" w:sz="6" w:space="0"/>
              <w:left w:val="single" w:color="000000" w:sz="6" w:space="0"/>
              <w:bottom w:val="single" w:color="000000" w:sz="6" w:space="0"/>
              <w:right w:val="single" w:color="000000" w:sz="6" w:space="0"/>
            </w:tcBorders>
            <w:vAlign w:val="center"/>
          </w:tcPr>
          <w:p w14:paraId="000001E8">
            <w:pPr>
              <w:spacing w:before="20" w:after="20" w:line="264" w:lineRule="auto"/>
              <w:jc w:val="center"/>
            </w:pPr>
            <w:r>
              <w:rPr>
                <w:b/>
                <w:bCs/>
                <w:sz w:val="24"/>
                <w:szCs w:val="24"/>
                <w:rtl w:val="0"/>
              </w:rPr>
              <w:t>Tỷ lệ</w:t>
            </w:r>
          </w:p>
        </w:tc>
      </w:tr>
      <w:tr w14:paraId="1B09842C">
        <w:tblPrEx>
          <w:tblCellMar>
            <w:top w:w="0" w:type="dxa"/>
            <w:left w:w="115" w:type="dxa"/>
            <w:bottom w:w="0" w:type="dxa"/>
            <w:right w:w="115" w:type="dxa"/>
          </w:tblCellMar>
        </w:tblPrEx>
        <w:trPr>
          <w:cantSplit/>
          <w:jc w:val="center"/>
        </w:trPr>
        <w:tc>
          <w:tcPr>
            <w:tcBorders>
              <w:top w:val="single" w:color="000000" w:sz="6" w:space="0"/>
              <w:left w:val="single" w:color="000000" w:sz="6" w:space="0"/>
              <w:bottom w:val="single" w:color="000000" w:sz="6" w:space="0"/>
              <w:right w:val="single" w:color="000000" w:sz="6" w:space="0"/>
            </w:tcBorders>
            <w:vAlign w:val="center"/>
          </w:tcPr>
          <w:p w14:paraId="000001E9">
            <w:pPr>
              <w:spacing w:before="20" w:after="20" w:line="264" w:lineRule="auto"/>
            </w:pPr>
            <w:r>
              <w:rPr>
                <w:sz w:val="24"/>
                <w:szCs w:val="24"/>
                <w:rtl w:val="0"/>
              </w:rPr>
              <w:t>Adelie</w:t>
            </w:r>
          </w:p>
        </w:tc>
        <w:tc>
          <w:tcPr>
            <w:tcBorders>
              <w:top w:val="single" w:color="000000" w:sz="6" w:space="0"/>
              <w:left w:val="single" w:color="000000" w:sz="6" w:space="0"/>
              <w:bottom w:val="single" w:color="000000" w:sz="6" w:space="0"/>
              <w:right w:val="single" w:color="000000" w:sz="6" w:space="0"/>
            </w:tcBorders>
            <w:vAlign w:val="center"/>
          </w:tcPr>
          <w:p w14:paraId="000001EA">
            <w:pPr>
              <w:spacing w:before="20" w:after="20" w:line="264" w:lineRule="auto"/>
            </w:pPr>
            <w:r>
              <w:rPr>
                <w:sz w:val="24"/>
                <w:szCs w:val="24"/>
                <w:rtl w:val="0"/>
              </w:rPr>
              <w:t>152</w:t>
            </w:r>
          </w:p>
        </w:tc>
        <w:tc>
          <w:tcPr>
            <w:tcBorders>
              <w:top w:val="single" w:color="000000" w:sz="6" w:space="0"/>
              <w:left w:val="single" w:color="000000" w:sz="6" w:space="0"/>
              <w:bottom w:val="single" w:color="000000" w:sz="6" w:space="0"/>
              <w:right w:val="single" w:color="000000" w:sz="6" w:space="0"/>
            </w:tcBorders>
            <w:vAlign w:val="center"/>
          </w:tcPr>
          <w:p w14:paraId="000001EB">
            <w:pPr>
              <w:spacing w:before="20" w:after="20" w:line="264" w:lineRule="auto"/>
            </w:pPr>
            <w:r>
              <w:rPr>
                <w:sz w:val="24"/>
                <w:szCs w:val="24"/>
                <w:rtl w:val="0"/>
              </w:rPr>
              <w:t>44,2%</w:t>
            </w:r>
          </w:p>
        </w:tc>
      </w:tr>
      <w:tr w14:paraId="2A9585D3">
        <w:tblPrEx>
          <w:tblCellMar>
            <w:top w:w="0" w:type="dxa"/>
            <w:left w:w="115" w:type="dxa"/>
            <w:bottom w:w="0" w:type="dxa"/>
            <w:right w:w="115" w:type="dxa"/>
          </w:tblCellMar>
        </w:tblPrEx>
        <w:trPr>
          <w:cantSplit/>
          <w:jc w:val="center"/>
        </w:trPr>
        <w:tc>
          <w:tcPr>
            <w:tcBorders>
              <w:top w:val="single" w:color="000000" w:sz="6" w:space="0"/>
              <w:left w:val="single" w:color="000000" w:sz="6" w:space="0"/>
              <w:bottom w:val="single" w:color="000000" w:sz="6" w:space="0"/>
              <w:right w:val="single" w:color="000000" w:sz="6" w:space="0"/>
            </w:tcBorders>
            <w:vAlign w:val="center"/>
          </w:tcPr>
          <w:p w14:paraId="000001EC">
            <w:pPr>
              <w:spacing w:before="20" w:after="20" w:line="264" w:lineRule="auto"/>
            </w:pPr>
            <w:r>
              <w:rPr>
                <w:sz w:val="24"/>
                <w:szCs w:val="24"/>
                <w:rtl w:val="0"/>
              </w:rPr>
              <w:t>Chinstrap</w:t>
            </w:r>
          </w:p>
        </w:tc>
        <w:tc>
          <w:tcPr>
            <w:tcBorders>
              <w:top w:val="single" w:color="000000" w:sz="6" w:space="0"/>
              <w:left w:val="single" w:color="000000" w:sz="6" w:space="0"/>
              <w:bottom w:val="single" w:color="000000" w:sz="6" w:space="0"/>
              <w:right w:val="single" w:color="000000" w:sz="6" w:space="0"/>
            </w:tcBorders>
            <w:vAlign w:val="center"/>
          </w:tcPr>
          <w:p w14:paraId="000001ED">
            <w:pPr>
              <w:spacing w:before="20" w:after="20" w:line="264" w:lineRule="auto"/>
            </w:pPr>
            <w:r>
              <w:rPr>
                <w:sz w:val="24"/>
                <w:szCs w:val="24"/>
                <w:rtl w:val="0"/>
              </w:rPr>
              <w:t>68</w:t>
            </w:r>
          </w:p>
        </w:tc>
        <w:tc>
          <w:tcPr>
            <w:tcBorders>
              <w:top w:val="single" w:color="000000" w:sz="6" w:space="0"/>
              <w:left w:val="single" w:color="000000" w:sz="6" w:space="0"/>
              <w:bottom w:val="single" w:color="000000" w:sz="6" w:space="0"/>
              <w:right w:val="single" w:color="000000" w:sz="6" w:space="0"/>
            </w:tcBorders>
            <w:vAlign w:val="center"/>
          </w:tcPr>
          <w:p w14:paraId="000001EE">
            <w:pPr>
              <w:spacing w:before="20" w:after="20" w:line="264" w:lineRule="auto"/>
            </w:pPr>
            <w:r>
              <w:rPr>
                <w:sz w:val="24"/>
                <w:szCs w:val="24"/>
                <w:rtl w:val="0"/>
              </w:rPr>
              <w:t>19,8%</w:t>
            </w:r>
          </w:p>
        </w:tc>
      </w:tr>
      <w:tr w14:paraId="5B16EF47">
        <w:tblPrEx>
          <w:tblCellMar>
            <w:top w:w="0" w:type="dxa"/>
            <w:left w:w="115" w:type="dxa"/>
            <w:bottom w:w="0" w:type="dxa"/>
            <w:right w:w="115" w:type="dxa"/>
          </w:tblCellMar>
        </w:tblPrEx>
        <w:trPr>
          <w:cantSplit/>
          <w:jc w:val="center"/>
        </w:trPr>
        <w:tc>
          <w:tcPr>
            <w:tcBorders>
              <w:top w:val="single" w:color="000000" w:sz="6" w:space="0"/>
              <w:left w:val="single" w:color="000000" w:sz="6" w:space="0"/>
              <w:bottom w:val="single" w:color="000000" w:sz="6" w:space="0"/>
              <w:right w:val="single" w:color="000000" w:sz="6" w:space="0"/>
            </w:tcBorders>
            <w:vAlign w:val="center"/>
          </w:tcPr>
          <w:p w14:paraId="000001EF">
            <w:pPr>
              <w:spacing w:before="20" w:after="20" w:line="264" w:lineRule="auto"/>
            </w:pPr>
            <w:r>
              <w:rPr>
                <w:sz w:val="24"/>
                <w:szCs w:val="24"/>
                <w:rtl w:val="0"/>
              </w:rPr>
              <w:t>Gentoo</w:t>
            </w:r>
          </w:p>
        </w:tc>
        <w:tc>
          <w:tcPr>
            <w:tcBorders>
              <w:top w:val="single" w:color="000000" w:sz="6" w:space="0"/>
              <w:left w:val="single" w:color="000000" w:sz="6" w:space="0"/>
              <w:bottom w:val="single" w:color="000000" w:sz="6" w:space="0"/>
              <w:right w:val="single" w:color="000000" w:sz="6" w:space="0"/>
            </w:tcBorders>
            <w:vAlign w:val="center"/>
          </w:tcPr>
          <w:p w14:paraId="000001F0">
            <w:pPr>
              <w:spacing w:before="20" w:after="20" w:line="264" w:lineRule="auto"/>
            </w:pPr>
            <w:r>
              <w:rPr>
                <w:sz w:val="24"/>
                <w:szCs w:val="24"/>
                <w:rtl w:val="0"/>
              </w:rPr>
              <w:t>124</w:t>
            </w:r>
          </w:p>
        </w:tc>
        <w:tc>
          <w:tcPr>
            <w:tcBorders>
              <w:top w:val="single" w:color="000000" w:sz="6" w:space="0"/>
              <w:left w:val="single" w:color="000000" w:sz="6" w:space="0"/>
              <w:bottom w:val="single" w:color="000000" w:sz="6" w:space="0"/>
              <w:right w:val="single" w:color="000000" w:sz="6" w:space="0"/>
            </w:tcBorders>
            <w:vAlign w:val="center"/>
          </w:tcPr>
          <w:p w14:paraId="000001F1">
            <w:pPr>
              <w:spacing w:before="20" w:after="20" w:line="264" w:lineRule="auto"/>
            </w:pPr>
            <w:r>
              <w:rPr>
                <w:sz w:val="24"/>
                <w:szCs w:val="24"/>
                <w:rtl w:val="0"/>
              </w:rPr>
              <w:t>36,0%</w:t>
            </w:r>
          </w:p>
        </w:tc>
      </w:tr>
    </w:tbl>
    <w:p w14:paraId="000001F2"/>
    <w:p w14:paraId="000001F3">
      <w:pPr>
        <w:ind w:firstLine="567"/>
        <w:jc w:val="both"/>
      </w:pPr>
      <w:r>
        <w:rPr>
          <w:rtl w:val="0"/>
        </w:rPr>
        <w:t>Nhận xét: Adelie là nhóm đông nhất (152/344), tiếp theo là Gentoo (124/344); Chinstrap ít nhất (68/344). Countplot phù hợp để so sánh số lượng; pie chart giúp nhìn nhanh cơ cấu tỷ trọng.</w:t>
      </w:r>
    </w:p>
    <w:p w14:paraId="000001F4">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b) Dữ liệu giá nhà Amsterdam</w:t>
      </w:r>
    </w:p>
    <w:p w14:paraId="000001F5">
      <w:pPr>
        <w:ind w:firstLine="567"/>
        <w:jc w:val="both"/>
      </w:pPr>
      <w:r>
        <w:rPr>
          <w:rtl w:val="0"/>
        </w:rPr>
        <w:t>Đối với Price (EUR), notebook cho thấy trung bình khoảng 622.065 EUR, trung vị 467.000 EUR, Q1 = 350.000 EUR, Q3 = 700.000 EUR, lớn nhất 5.950.000 EUR. Trung bình lớn hơn đáng kể so với trung vị, gợi ý phân bố lệch phải và có giá trị cao bất thường.</w:t>
      </w:r>
    </w:p>
    <w:p w14:paraId="000001F6">
      <w:pPr>
        <w:keepNext/>
        <w:spacing w:before="40" w:after="60"/>
        <w:jc w:val="center"/>
      </w:pPr>
      <w:r>
        <w:drawing>
          <wp:inline distT="0" distB="0" distL="0" distR="0">
            <wp:extent cx="5292090" cy="3136265"/>
            <wp:effectExtent l="0" t="0" r="0" b="0"/>
            <wp:docPr id="49" name="image7.png"/>
            <wp:cNvGraphicFramePr/>
            <a:graphic xmlns:a="http://schemas.openxmlformats.org/drawingml/2006/main">
              <a:graphicData uri="http://schemas.openxmlformats.org/drawingml/2006/picture">
                <pic:pic xmlns:pic="http://schemas.openxmlformats.org/drawingml/2006/picture">
                  <pic:nvPicPr>
                    <pic:cNvPr id="49" name="image7.png"/>
                    <pic:cNvPicPr preferRelativeResize="0"/>
                  </pic:nvPicPr>
                  <pic:blipFill>
                    <a:blip r:embed="rId37"/>
                    <a:srcRect/>
                    <a:stretch>
                      <a:fillRect/>
                    </a:stretch>
                  </pic:blipFill>
                  <pic:spPr>
                    <a:xfrm>
                      <a:off x="0" y="0"/>
                      <a:ext cx="5292090" cy="3136265"/>
                    </a:xfrm>
                    <a:prstGeom prst="rect">
                      <a:avLst/>
                    </a:prstGeom>
                  </pic:spPr>
                </pic:pic>
              </a:graphicData>
            </a:graphic>
          </wp:inline>
        </w:drawing>
      </w:r>
    </w:p>
    <w:p w14:paraId="000001F7">
      <w:pPr>
        <w:spacing w:before="80" w:after="100" w:line="276" w:lineRule="auto"/>
        <w:jc w:val="center"/>
      </w:pPr>
      <w:r>
        <w:rPr>
          <w:i/>
          <w:iCs/>
          <w:sz w:val="24"/>
          <w:szCs w:val="24"/>
          <w:rtl w:val="0"/>
        </w:rPr>
        <w:t>Hình 1.3.4. Boxplot của giá nhà Amsterdam (nguồn: output cell 13).</w:t>
      </w:r>
    </w:p>
    <w:p w14:paraId="000001F8">
      <w:pPr>
        <w:keepNext/>
        <w:spacing w:before="40" w:after="60"/>
        <w:jc w:val="center"/>
      </w:pPr>
      <w:r>
        <w:drawing>
          <wp:inline distT="0" distB="0" distL="0" distR="0">
            <wp:extent cx="5292090" cy="3136265"/>
            <wp:effectExtent l="0" t="0" r="0" b="0"/>
            <wp:docPr id="50" name="image4.png"/>
            <wp:cNvGraphicFramePr/>
            <a:graphic xmlns:a="http://schemas.openxmlformats.org/drawingml/2006/main">
              <a:graphicData uri="http://schemas.openxmlformats.org/drawingml/2006/picture">
                <pic:pic xmlns:pic="http://schemas.openxmlformats.org/drawingml/2006/picture">
                  <pic:nvPicPr>
                    <pic:cNvPr id="50" name="image4.png"/>
                    <pic:cNvPicPr preferRelativeResize="0"/>
                  </pic:nvPicPr>
                  <pic:blipFill>
                    <a:blip r:embed="rId38"/>
                    <a:srcRect/>
                    <a:stretch>
                      <a:fillRect/>
                    </a:stretch>
                  </pic:blipFill>
                  <pic:spPr>
                    <a:xfrm>
                      <a:off x="0" y="0"/>
                      <a:ext cx="5292090" cy="3136265"/>
                    </a:xfrm>
                    <a:prstGeom prst="rect">
                      <a:avLst/>
                    </a:prstGeom>
                  </pic:spPr>
                </pic:pic>
              </a:graphicData>
            </a:graphic>
          </wp:inline>
        </w:drawing>
      </w:r>
    </w:p>
    <w:p w14:paraId="000001F9">
      <w:pPr>
        <w:spacing w:before="80" w:after="100" w:line="276" w:lineRule="auto"/>
        <w:jc w:val="center"/>
      </w:pPr>
      <w:r>
        <w:rPr>
          <w:i/>
          <w:iCs/>
          <w:sz w:val="24"/>
          <w:szCs w:val="24"/>
          <w:rtl w:val="0"/>
        </w:rPr>
        <w:t>Hình 1.3.5. Violin plot của giá nhà Amsterdam (nguồn: output cell 14).</w:t>
      </w:r>
    </w:p>
    <w:p w14:paraId="000001FA">
      <w:pPr>
        <w:ind w:firstLine="567"/>
        <w:jc w:val="both"/>
      </w:pPr>
      <w:r>
        <w:rPr>
          <w:rtl w:val="0"/>
        </w:rPr>
        <w:t>Ngưỡng ngoại lai theo quy tắc IQR được tính như sau: IQR = Q3 − Q1 = 350.000 EUR; ngưỡng trên = Q3 + 1,5 × IQR = 1.225.000 EUR. Có 71/920 căn nhà vượt ngưỡng này (7,7%). Chỉ số độ lệch (skewness) của Price đạt 4,83, xác nhận mức lệch phải mạnh theo kết quả notebook.</w:t>
      </w:r>
    </w:p>
    <w:p w14:paraId="000001FB">
      <w:pPr>
        <w:ind w:firstLine="567"/>
        <w:jc w:val="both"/>
      </w:pPr>
      <w:r>
        <w:rPr>
          <w:rtl w:val="0"/>
        </w:rPr>
        <w:t>Nhận xét: Boxplot xác định vị trí ngoại lai rõ ràng; violin plot còn cho biết nơi phân bố dữ liệu tập trung. Vì có giá trị nhà rất cao, median và IQR là chỉ số nên được ưu tiên khi mô tả giá điển hình.</w:t>
      </w:r>
    </w:p>
    <w:p w14:paraId="38913272">
      <w:pPr>
        <w:pStyle w:val="4"/>
      </w:pPr>
      <w:bookmarkStart w:id="31" w:name="bookmark=id.g6ymdrngpexw" w:colFirst="0" w:colLast="0"/>
      <w:bookmarkEnd w:id="31"/>
      <w:bookmarkStart w:id="32" w:name="_Toc5021"/>
      <w:r>
        <w:t>1.3.3. Phân tích hai biến (Bivariate Analysis)</w:t>
      </w:r>
      <w:bookmarkEnd w:id="32"/>
    </w:p>
    <w:p w14:paraId="000001FD">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 Chiều dài mỏ và khối lượng cơ thể chim cánh cụt</w:t>
      </w:r>
    </w:p>
    <w:p w14:paraId="000001FE">
      <w:pPr>
        <w:ind w:firstLine="567"/>
        <w:jc w:val="both"/>
      </w:pPr>
      <w:r>
        <w:rPr>
          <w:rtl w:val="0"/>
        </w:rPr>
        <w:t>Phân tích hai biến đánh giá xu hướng kết hợp giữa hai thuộc tính. Notebook sử dụng scatterplot với màu và ký hiệu theo species để thể hiện quan hệ giữa culmen_length_mm và body_mass_g.</w:t>
      </w:r>
    </w:p>
    <w:p w14:paraId="000001FF">
      <w:pPr>
        <w:keepNext/>
        <w:spacing w:before="40" w:after="60"/>
        <w:jc w:val="center"/>
      </w:pPr>
      <w:r>
        <w:drawing>
          <wp:inline distT="0" distB="0" distL="0" distR="0">
            <wp:extent cx="5328285" cy="2921000"/>
            <wp:effectExtent l="0" t="0" r="0" b="0"/>
            <wp:docPr id="36" name="image6.png"/>
            <wp:cNvGraphicFramePr/>
            <a:graphic xmlns:a="http://schemas.openxmlformats.org/drawingml/2006/main">
              <a:graphicData uri="http://schemas.openxmlformats.org/drawingml/2006/picture">
                <pic:pic xmlns:pic="http://schemas.openxmlformats.org/drawingml/2006/picture">
                  <pic:nvPicPr>
                    <pic:cNvPr id="36" name="image6.png"/>
                    <pic:cNvPicPr preferRelativeResize="0"/>
                  </pic:nvPicPr>
                  <pic:blipFill>
                    <a:blip r:embed="rId39"/>
                    <a:srcRect/>
                    <a:stretch>
                      <a:fillRect/>
                    </a:stretch>
                  </pic:blipFill>
                  <pic:spPr>
                    <a:xfrm>
                      <a:off x="0" y="0"/>
                      <a:ext cx="5328285" cy="2921000"/>
                    </a:xfrm>
                    <a:prstGeom prst="rect">
                      <a:avLst/>
                    </a:prstGeom>
                  </pic:spPr>
                </pic:pic>
              </a:graphicData>
            </a:graphic>
          </wp:inline>
        </w:drawing>
      </w:r>
    </w:p>
    <w:p w14:paraId="00000200">
      <w:pPr>
        <w:spacing w:before="80" w:after="100" w:line="276" w:lineRule="auto"/>
        <w:jc w:val="center"/>
      </w:pPr>
      <w:r>
        <w:rPr>
          <w:i/>
          <w:iCs/>
          <w:sz w:val="24"/>
          <w:szCs w:val="24"/>
          <w:rtl w:val="0"/>
        </w:rPr>
        <w:t>Hình 1.3.6. Scatterplot chiều dài mỏ và khối lượng theo loài (nguồn: output cell 21).</w:t>
      </w:r>
    </w:p>
    <w:p w14:paraId="00000201">
      <w:pPr>
        <w:ind w:firstLine="567"/>
        <w:jc w:val="both"/>
      </w:pPr>
      <w:r>
        <w:rPr>
          <w:rtl w:val="0"/>
        </w:rPr>
        <w:t>Hệ số tương quan Pearson chung là r = 0,595, phản ánh mối liên hệ tuyến tính dương ở mức vừa. Khi phân nhóm theo loài, hệ số đạt khoảng 0,549 (Adelie), 0,514 (Chinstrap) và 0,669 (Gentoo). Kết quả cho thấy quan hệ giữa các biến có khác biệt theo từng nhóm đối tượng.</w:t>
      </w:r>
    </w:p>
    <w:p w14:paraId="00000202">
      <w:pPr>
        <w:keepNext/>
        <w:spacing w:before="40" w:after="60"/>
        <w:jc w:val="center"/>
      </w:pPr>
      <w:r>
        <w:drawing>
          <wp:inline distT="0" distB="0" distL="0" distR="0">
            <wp:extent cx="4032250" cy="3232150"/>
            <wp:effectExtent l="0" t="0" r="0" b="0"/>
            <wp:docPr id="37" name="image9.png"/>
            <wp:cNvGraphicFramePr/>
            <a:graphic xmlns:a="http://schemas.openxmlformats.org/drawingml/2006/main">
              <a:graphicData uri="http://schemas.openxmlformats.org/drawingml/2006/picture">
                <pic:pic xmlns:pic="http://schemas.openxmlformats.org/drawingml/2006/picture">
                  <pic:nvPicPr>
                    <pic:cNvPr id="37" name="image9.png"/>
                    <pic:cNvPicPr preferRelativeResize="0"/>
                  </pic:nvPicPr>
                  <pic:blipFill>
                    <a:blip r:embed="rId40"/>
                    <a:srcRect/>
                    <a:stretch>
                      <a:fillRect/>
                    </a:stretch>
                  </pic:blipFill>
                  <pic:spPr>
                    <a:xfrm>
                      <a:off x="0" y="0"/>
                      <a:ext cx="4032250" cy="3232150"/>
                    </a:xfrm>
                    <a:prstGeom prst="rect">
                      <a:avLst/>
                    </a:prstGeom>
                  </pic:spPr>
                </pic:pic>
              </a:graphicData>
            </a:graphic>
          </wp:inline>
        </w:drawing>
      </w:r>
    </w:p>
    <w:p w14:paraId="00000203">
      <w:pPr>
        <w:spacing w:before="80" w:after="100" w:line="276" w:lineRule="auto"/>
        <w:jc w:val="center"/>
      </w:pPr>
      <w:r>
        <w:rPr>
          <w:i/>
          <w:iCs/>
          <w:sz w:val="24"/>
          <w:szCs w:val="24"/>
          <w:rtl w:val="0"/>
        </w:rPr>
        <w:t>Hình 1.3.7. Pairplot thể hiện phân bố và quan hệ giữa các biến theo loài (nguồn: output cell 26).</w:t>
      </w:r>
    </w:p>
    <w:p w14:paraId="00000204">
      <w:pPr>
        <w:keepNext/>
        <w:spacing w:before="40" w:after="60"/>
        <w:jc w:val="center"/>
      </w:pPr>
      <w:r>
        <w:drawing>
          <wp:inline distT="0" distB="0" distL="0" distR="0">
            <wp:extent cx="5454015" cy="1907540"/>
            <wp:effectExtent l="0" t="0" r="0" b="0"/>
            <wp:docPr id="38" name="image1.png"/>
            <wp:cNvGraphicFramePr/>
            <a:graphic xmlns:a="http://schemas.openxmlformats.org/drawingml/2006/main">
              <a:graphicData uri="http://schemas.openxmlformats.org/drawingml/2006/picture">
                <pic:pic xmlns:pic="http://schemas.openxmlformats.org/drawingml/2006/picture">
                  <pic:nvPicPr>
                    <pic:cNvPr id="38" name="image1.png"/>
                    <pic:cNvPicPr preferRelativeResize="0"/>
                  </pic:nvPicPr>
                  <pic:blipFill>
                    <a:blip r:embed="rId41"/>
                    <a:srcRect/>
                    <a:stretch>
                      <a:fillRect/>
                    </a:stretch>
                  </pic:blipFill>
                  <pic:spPr>
                    <a:xfrm>
                      <a:off x="0" y="0"/>
                      <a:ext cx="5454015" cy="1907540"/>
                    </a:xfrm>
                    <a:prstGeom prst="rect">
                      <a:avLst/>
                    </a:prstGeom>
                  </pic:spPr>
                </pic:pic>
              </a:graphicData>
            </a:graphic>
          </wp:inline>
        </w:drawing>
      </w:r>
    </w:p>
    <w:p w14:paraId="00000205">
      <w:pPr>
        <w:spacing w:before="80" w:after="100" w:line="276" w:lineRule="auto"/>
        <w:jc w:val="center"/>
      </w:pPr>
      <w:r>
        <w:rPr>
          <w:i/>
          <w:iCs/>
          <w:sz w:val="24"/>
          <w:szCs w:val="24"/>
          <w:rtl w:val="0"/>
        </w:rPr>
        <w:t>Hình 1.3.8. Boxplot khối lượng và violin plot chiều dài mỏ theo loài (nguồn: output cell 28).</w:t>
      </w:r>
    </w:p>
    <w:p w14:paraId="00000206">
      <w:pPr>
        <w:ind w:firstLine="567"/>
        <w:jc w:val="both"/>
      </w:pPr>
      <w:r>
        <w:rPr>
          <w:rtl w:val="0"/>
        </w:rPr>
        <w:t>Nhận xét: Gentoo nhìn chung có khối lượng lớn hơn hai loài còn lại; hai thuộc tính phân bố khác nhau đáng kể giữa ba loài. Pairplot và biểu đồ nhóm giúp tránh kết luận dựa trên tương quan gộp mà bỏ qua phân tầng theo species.</w:t>
      </w:r>
    </w:p>
    <w:p w14:paraId="00000207">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b) So sánh hiệp biến (Covariance) và tương quan (Correlation)</w:t>
      </w:r>
    </w:p>
    <w:p w14:paraId="00000208">
      <w:pPr>
        <w:ind w:firstLine="567"/>
        <w:jc w:val="both"/>
      </w:pPr>
      <w:r>
        <w:rPr>
          <w:rtl w:val="0"/>
        </w:rPr>
        <w:t>Hiệp biến biểu thị chiều hướng biến thiên đồng thời của hai đại lượng; tương quan Pearson chuẩn hóa hiệp biến theo độ lệch chuẩn để đo mức độ liên hệ tuyến tính trong đoạn từ −1 đến +1. Công thức cơ bản:</w:t>
      </w:r>
    </w:p>
    <w:p w14:paraId="00000209">
      <w:pPr>
        <w:bidi w:val="0"/>
      </w:pPr>
      <w:sdt>
        <w:sdtPr>
          <w:tag w:val="goog_rdk_4"/>
          <w:id w:val="-479492718"/>
        </w:sdtPr>
        <w:sdtContent>
          <w:r>
            <w:rPr>
              <w:rtl w:val="0"/>
            </w:rPr>
            <w:t>Cov(X, Y) = Σ[(xi − x̄)(yi − ȳ)] / (n − 1)</w:t>
          </w:r>
        </w:sdtContent>
      </w:sdt>
    </w:p>
    <w:p w14:paraId="0000020A">
      <w:pPr>
        <w:bidi w:val="0"/>
      </w:pPr>
      <w:r>
        <w:rPr>
          <w:rtl w:val="0"/>
        </w:rPr>
        <w:t>r(X, Y) = Cov(X, Y) / [s(X) × s(Y)]</w:t>
      </w:r>
    </w:p>
    <w:tbl>
      <w:tblPr>
        <w:tblStyle w:val="44"/>
        <w:tblW w:w="8844" w:type="dxa"/>
        <w:jc w:val="center"/>
        <w:tblLayout w:type="fixed"/>
        <w:tblCellMar>
          <w:top w:w="0" w:type="dxa"/>
          <w:left w:w="115" w:type="dxa"/>
          <w:bottom w:w="0" w:type="dxa"/>
          <w:right w:w="115" w:type="dxa"/>
        </w:tblCellMar>
      </w:tblPr>
      <w:tblGrid>
        <w:gridCol w:w="1813"/>
        <w:gridCol w:w="3403"/>
        <w:gridCol w:w="3628"/>
      </w:tblGrid>
      <w:tr w14:paraId="2898BF0A">
        <w:tblPrEx>
          <w:tblCellMar>
            <w:top w:w="0" w:type="dxa"/>
            <w:left w:w="115" w:type="dxa"/>
            <w:bottom w:w="0" w:type="dxa"/>
            <w:right w:w="115" w:type="dxa"/>
          </w:tblCellMar>
        </w:tblPrEx>
        <w:trPr>
          <w:cantSplit/>
          <w:tblHeader/>
          <w:jc w:val="center"/>
        </w:trPr>
        <w:tc>
          <w:tcPr>
            <w:tcBorders>
              <w:top w:val="single" w:color="000000" w:sz="6" w:space="0"/>
              <w:left w:val="single" w:color="000000" w:sz="6" w:space="0"/>
              <w:bottom w:val="single" w:color="000000" w:sz="6" w:space="0"/>
              <w:right w:val="single" w:color="000000" w:sz="6" w:space="0"/>
            </w:tcBorders>
            <w:vAlign w:val="center"/>
          </w:tcPr>
          <w:p w14:paraId="0000020B">
            <w:pPr>
              <w:spacing w:before="20" w:after="20" w:line="264" w:lineRule="auto"/>
              <w:jc w:val="center"/>
            </w:pPr>
            <w:r>
              <w:rPr>
                <w:b/>
                <w:bCs/>
                <w:sz w:val="24"/>
                <w:szCs w:val="24"/>
                <w:rtl w:val="0"/>
              </w:rPr>
              <w:t>Tiêu chí</w:t>
            </w:r>
          </w:p>
        </w:tc>
        <w:tc>
          <w:tcPr>
            <w:tcBorders>
              <w:top w:val="single" w:color="000000" w:sz="6" w:space="0"/>
              <w:left w:val="single" w:color="000000" w:sz="6" w:space="0"/>
              <w:bottom w:val="single" w:color="000000" w:sz="6" w:space="0"/>
              <w:right w:val="single" w:color="000000" w:sz="6" w:space="0"/>
            </w:tcBorders>
            <w:vAlign w:val="center"/>
          </w:tcPr>
          <w:p w14:paraId="0000020C">
            <w:pPr>
              <w:spacing w:before="20" w:after="20" w:line="264" w:lineRule="auto"/>
              <w:jc w:val="center"/>
            </w:pPr>
            <w:r>
              <w:rPr>
                <w:b/>
                <w:bCs/>
                <w:sz w:val="24"/>
                <w:szCs w:val="24"/>
                <w:rtl w:val="0"/>
              </w:rPr>
              <w:t>Hiệp biến</w:t>
            </w:r>
          </w:p>
        </w:tc>
        <w:tc>
          <w:tcPr>
            <w:tcBorders>
              <w:top w:val="single" w:color="000000" w:sz="6" w:space="0"/>
              <w:left w:val="single" w:color="000000" w:sz="6" w:space="0"/>
              <w:bottom w:val="single" w:color="000000" w:sz="6" w:space="0"/>
              <w:right w:val="single" w:color="000000" w:sz="6" w:space="0"/>
            </w:tcBorders>
            <w:vAlign w:val="center"/>
          </w:tcPr>
          <w:p w14:paraId="0000020D">
            <w:pPr>
              <w:spacing w:before="20" w:after="20" w:line="264" w:lineRule="auto"/>
              <w:jc w:val="center"/>
            </w:pPr>
            <w:r>
              <w:rPr>
                <w:b/>
                <w:bCs/>
                <w:sz w:val="24"/>
                <w:szCs w:val="24"/>
                <w:rtl w:val="0"/>
              </w:rPr>
              <w:t>Tương quan Pearson</w:t>
            </w:r>
          </w:p>
        </w:tc>
      </w:tr>
      <w:tr w14:paraId="129E7A68">
        <w:tblPrEx>
          <w:tblCellMar>
            <w:top w:w="0" w:type="dxa"/>
            <w:left w:w="115" w:type="dxa"/>
            <w:bottom w:w="0" w:type="dxa"/>
            <w:right w:w="115" w:type="dxa"/>
          </w:tblCellMar>
        </w:tblPrEx>
        <w:trPr>
          <w:cantSplit/>
          <w:jc w:val="center"/>
        </w:trPr>
        <w:tc>
          <w:tcPr>
            <w:tcBorders>
              <w:top w:val="single" w:color="000000" w:sz="6" w:space="0"/>
              <w:left w:val="single" w:color="000000" w:sz="6" w:space="0"/>
              <w:bottom w:val="single" w:color="000000" w:sz="6" w:space="0"/>
              <w:right w:val="single" w:color="000000" w:sz="6" w:space="0"/>
            </w:tcBorders>
            <w:vAlign w:val="center"/>
          </w:tcPr>
          <w:p w14:paraId="0000020E">
            <w:pPr>
              <w:spacing w:before="20" w:after="20" w:line="264" w:lineRule="auto"/>
            </w:pPr>
            <w:r>
              <w:rPr>
                <w:sz w:val="24"/>
                <w:szCs w:val="24"/>
                <w:rtl w:val="0"/>
              </w:rPr>
              <w:t>Giá trị</w:t>
            </w:r>
          </w:p>
        </w:tc>
        <w:tc>
          <w:tcPr>
            <w:tcBorders>
              <w:top w:val="single" w:color="000000" w:sz="6" w:space="0"/>
              <w:left w:val="single" w:color="000000" w:sz="6" w:space="0"/>
              <w:bottom w:val="single" w:color="000000" w:sz="6" w:space="0"/>
              <w:right w:val="single" w:color="000000" w:sz="6" w:space="0"/>
            </w:tcBorders>
            <w:vAlign w:val="center"/>
          </w:tcPr>
          <w:p w14:paraId="0000020F">
            <w:pPr>
              <w:spacing w:before="20" w:after="20" w:line="264" w:lineRule="auto"/>
            </w:pPr>
            <w:sdt>
              <w:sdtPr>
                <w:tag w:val="goog_rdk_5"/>
                <w:id w:val="-1555515735"/>
              </w:sdtPr>
              <w:sdtContent>
                <w:r>
                  <w:rPr>
                    <w:rFonts w:ascii="Caudex" w:hAnsi="Caudex" w:eastAsia="Caudex" w:cs="Caudex"/>
                    <w:sz w:val="24"/>
                    <w:szCs w:val="24"/>
                    <w:rtl w:val="0"/>
                  </w:rPr>
                  <w:t>Không bị giới hạn trong [−1; 1]</w:t>
                </w:r>
              </w:sdtContent>
            </w:sdt>
          </w:p>
        </w:tc>
        <w:tc>
          <w:tcPr>
            <w:tcBorders>
              <w:top w:val="single" w:color="000000" w:sz="6" w:space="0"/>
              <w:left w:val="single" w:color="000000" w:sz="6" w:space="0"/>
              <w:bottom w:val="single" w:color="000000" w:sz="6" w:space="0"/>
              <w:right w:val="single" w:color="000000" w:sz="6" w:space="0"/>
            </w:tcBorders>
            <w:vAlign w:val="center"/>
          </w:tcPr>
          <w:p w14:paraId="00000210">
            <w:pPr>
              <w:spacing w:before="20" w:after="20" w:line="264" w:lineRule="auto"/>
            </w:pPr>
            <w:sdt>
              <w:sdtPr>
                <w:tag w:val="goog_rdk_6"/>
                <w:id w:val="627652963"/>
              </w:sdtPr>
              <w:sdtContent>
                <w:r>
                  <w:rPr>
                    <w:rFonts w:ascii="Caudex" w:hAnsi="Caudex" w:eastAsia="Caudex" w:cs="Caudex"/>
                    <w:sz w:val="24"/>
                    <w:szCs w:val="24"/>
                    <w:rtl w:val="0"/>
                  </w:rPr>
                  <w:t>Nằm trong [−1; 1]</w:t>
                </w:r>
              </w:sdtContent>
            </w:sdt>
          </w:p>
        </w:tc>
      </w:tr>
      <w:tr w14:paraId="64A55543">
        <w:tblPrEx>
          <w:tblCellMar>
            <w:top w:w="0" w:type="dxa"/>
            <w:left w:w="115" w:type="dxa"/>
            <w:bottom w:w="0" w:type="dxa"/>
            <w:right w:w="115" w:type="dxa"/>
          </w:tblCellMar>
        </w:tblPrEx>
        <w:trPr>
          <w:cantSplit/>
          <w:jc w:val="center"/>
        </w:trPr>
        <w:tc>
          <w:tcPr>
            <w:tcBorders>
              <w:top w:val="single" w:color="000000" w:sz="6" w:space="0"/>
              <w:left w:val="single" w:color="000000" w:sz="6" w:space="0"/>
              <w:bottom w:val="single" w:color="000000" w:sz="6" w:space="0"/>
              <w:right w:val="single" w:color="000000" w:sz="6" w:space="0"/>
            </w:tcBorders>
            <w:vAlign w:val="center"/>
          </w:tcPr>
          <w:p w14:paraId="00000211">
            <w:pPr>
              <w:spacing w:before="20" w:after="20" w:line="264" w:lineRule="auto"/>
            </w:pPr>
            <w:r>
              <w:rPr>
                <w:sz w:val="24"/>
                <w:szCs w:val="24"/>
                <w:rtl w:val="0"/>
              </w:rPr>
              <w:t>Đơn vị</w:t>
            </w:r>
          </w:p>
        </w:tc>
        <w:tc>
          <w:tcPr>
            <w:tcBorders>
              <w:top w:val="single" w:color="000000" w:sz="6" w:space="0"/>
              <w:left w:val="single" w:color="000000" w:sz="6" w:space="0"/>
              <w:bottom w:val="single" w:color="000000" w:sz="6" w:space="0"/>
              <w:right w:val="single" w:color="000000" w:sz="6" w:space="0"/>
            </w:tcBorders>
            <w:vAlign w:val="center"/>
          </w:tcPr>
          <w:p w14:paraId="00000212">
            <w:pPr>
              <w:spacing w:before="20" w:after="20" w:line="264" w:lineRule="auto"/>
            </w:pPr>
            <w:r>
              <w:rPr>
                <w:sz w:val="24"/>
                <w:szCs w:val="24"/>
                <w:rtl w:val="0"/>
              </w:rPr>
              <w:t>Phụ thuộc đơn vị X và Y</w:t>
            </w:r>
          </w:p>
        </w:tc>
        <w:tc>
          <w:tcPr>
            <w:tcBorders>
              <w:top w:val="single" w:color="000000" w:sz="6" w:space="0"/>
              <w:left w:val="single" w:color="000000" w:sz="6" w:space="0"/>
              <w:bottom w:val="single" w:color="000000" w:sz="6" w:space="0"/>
              <w:right w:val="single" w:color="000000" w:sz="6" w:space="0"/>
            </w:tcBorders>
            <w:vAlign w:val="center"/>
          </w:tcPr>
          <w:p w14:paraId="00000213">
            <w:pPr>
              <w:spacing w:before="20" w:after="20" w:line="264" w:lineRule="auto"/>
            </w:pPr>
            <w:r>
              <w:rPr>
                <w:sz w:val="24"/>
                <w:szCs w:val="24"/>
                <w:rtl w:val="0"/>
              </w:rPr>
              <w:t>Không có đơn vị</w:t>
            </w:r>
          </w:p>
        </w:tc>
      </w:tr>
      <w:tr w14:paraId="14EFFCEC">
        <w:tblPrEx>
          <w:tblCellMar>
            <w:top w:w="0" w:type="dxa"/>
            <w:left w:w="115" w:type="dxa"/>
            <w:bottom w:w="0" w:type="dxa"/>
            <w:right w:w="115" w:type="dxa"/>
          </w:tblCellMar>
        </w:tblPrEx>
        <w:trPr>
          <w:cantSplit/>
          <w:jc w:val="center"/>
        </w:trPr>
        <w:tc>
          <w:tcPr>
            <w:tcBorders>
              <w:top w:val="single" w:color="000000" w:sz="6" w:space="0"/>
              <w:left w:val="single" w:color="000000" w:sz="6" w:space="0"/>
              <w:bottom w:val="single" w:color="000000" w:sz="6" w:space="0"/>
              <w:right w:val="single" w:color="000000" w:sz="6" w:space="0"/>
            </w:tcBorders>
            <w:vAlign w:val="center"/>
          </w:tcPr>
          <w:p w14:paraId="00000214">
            <w:pPr>
              <w:spacing w:before="20" w:after="20" w:line="264" w:lineRule="auto"/>
            </w:pPr>
            <w:r>
              <w:rPr>
                <w:sz w:val="24"/>
                <w:szCs w:val="24"/>
                <w:rtl w:val="0"/>
              </w:rPr>
              <w:t>Diễn giải</w:t>
            </w:r>
          </w:p>
        </w:tc>
        <w:tc>
          <w:tcPr>
            <w:tcBorders>
              <w:top w:val="single" w:color="000000" w:sz="6" w:space="0"/>
              <w:left w:val="single" w:color="000000" w:sz="6" w:space="0"/>
              <w:bottom w:val="single" w:color="000000" w:sz="6" w:space="0"/>
              <w:right w:val="single" w:color="000000" w:sz="6" w:space="0"/>
            </w:tcBorders>
            <w:vAlign w:val="center"/>
          </w:tcPr>
          <w:p w14:paraId="00000215">
            <w:pPr>
              <w:spacing w:before="20" w:after="20" w:line="264" w:lineRule="auto"/>
            </w:pPr>
            <w:r>
              <w:rPr>
                <w:sz w:val="24"/>
                <w:szCs w:val="24"/>
                <w:rtl w:val="0"/>
              </w:rPr>
              <w:t>Dương: biến thiên cùng chiều; âm: ngược chiều</w:t>
            </w:r>
          </w:p>
        </w:tc>
        <w:tc>
          <w:tcPr>
            <w:tcBorders>
              <w:top w:val="single" w:color="000000" w:sz="6" w:space="0"/>
              <w:left w:val="single" w:color="000000" w:sz="6" w:space="0"/>
              <w:bottom w:val="single" w:color="000000" w:sz="6" w:space="0"/>
              <w:right w:val="single" w:color="000000" w:sz="6" w:space="0"/>
            </w:tcBorders>
            <w:vAlign w:val="center"/>
          </w:tcPr>
          <w:p w14:paraId="00000216">
            <w:pPr>
              <w:spacing w:before="20" w:after="20" w:line="264" w:lineRule="auto"/>
            </w:pPr>
            <w:r>
              <w:rPr>
                <w:sz w:val="24"/>
                <w:szCs w:val="24"/>
                <w:rtl w:val="0"/>
              </w:rPr>
              <w:t>Dấu cho biết chiều; |r| cho biết cường độ tuyến tính</w:t>
            </w:r>
          </w:p>
        </w:tc>
      </w:tr>
      <w:tr w14:paraId="6F965695">
        <w:tblPrEx>
          <w:tblCellMar>
            <w:top w:w="0" w:type="dxa"/>
            <w:left w:w="115" w:type="dxa"/>
            <w:bottom w:w="0" w:type="dxa"/>
            <w:right w:w="115" w:type="dxa"/>
          </w:tblCellMar>
        </w:tblPrEx>
        <w:trPr>
          <w:cantSplit/>
          <w:jc w:val="center"/>
        </w:trPr>
        <w:tc>
          <w:tcPr>
            <w:tcBorders>
              <w:top w:val="single" w:color="000000" w:sz="6" w:space="0"/>
              <w:left w:val="single" w:color="000000" w:sz="6" w:space="0"/>
              <w:bottom w:val="single" w:color="000000" w:sz="6" w:space="0"/>
              <w:right w:val="single" w:color="000000" w:sz="6" w:space="0"/>
            </w:tcBorders>
            <w:vAlign w:val="center"/>
          </w:tcPr>
          <w:p w14:paraId="00000217">
            <w:pPr>
              <w:spacing w:before="20" w:after="20" w:line="264" w:lineRule="auto"/>
            </w:pPr>
            <w:r>
              <w:rPr>
                <w:sz w:val="24"/>
                <w:szCs w:val="24"/>
                <w:rtl w:val="0"/>
              </w:rPr>
              <w:t>Khi đổi khối lượng từ g sang kg</w:t>
            </w:r>
          </w:p>
        </w:tc>
        <w:tc>
          <w:tcPr>
            <w:tcBorders>
              <w:top w:val="single" w:color="000000" w:sz="6" w:space="0"/>
              <w:left w:val="single" w:color="000000" w:sz="6" w:space="0"/>
              <w:bottom w:val="single" w:color="000000" w:sz="6" w:space="0"/>
              <w:right w:val="single" w:color="000000" w:sz="6" w:space="0"/>
            </w:tcBorders>
            <w:vAlign w:val="center"/>
          </w:tcPr>
          <w:p w14:paraId="00000218">
            <w:pPr>
              <w:spacing w:before="20" w:after="20" w:line="264" w:lineRule="auto"/>
            </w:pPr>
            <w:r>
              <w:rPr>
                <w:sz w:val="24"/>
                <w:szCs w:val="24"/>
                <w:rtl w:val="0"/>
              </w:rPr>
              <w:t>Thay đổi 1.000 lần</w:t>
            </w:r>
          </w:p>
        </w:tc>
        <w:tc>
          <w:tcPr>
            <w:tcBorders>
              <w:top w:val="single" w:color="000000" w:sz="6" w:space="0"/>
              <w:left w:val="single" w:color="000000" w:sz="6" w:space="0"/>
              <w:bottom w:val="single" w:color="000000" w:sz="6" w:space="0"/>
              <w:right w:val="single" w:color="000000" w:sz="6" w:space="0"/>
            </w:tcBorders>
            <w:vAlign w:val="center"/>
          </w:tcPr>
          <w:p w14:paraId="00000219">
            <w:pPr>
              <w:spacing w:before="20" w:after="20" w:line="264" w:lineRule="auto"/>
            </w:pPr>
            <w:r>
              <w:rPr>
                <w:sz w:val="24"/>
                <w:szCs w:val="24"/>
                <w:rtl w:val="0"/>
              </w:rPr>
              <w:t>Không thay đổi</w:t>
            </w:r>
          </w:p>
        </w:tc>
      </w:tr>
    </w:tbl>
    <w:p w14:paraId="0000021A">
      <w:pPr>
        <w:ind w:firstLine="567"/>
        <w:jc w:val="both"/>
      </w:pPr>
      <w:r>
        <w:rPr>
          <w:rtl w:val="0"/>
        </w:rPr>
        <w:t>Kết quả từ 342 cặp có dữ liệu hợp lệ: Cov(culmen_length_mm, body_mass_g) = 2.605,59; r = 0,595. Khi đổi đơn vị khối lượng từ gram sang kilogram, hiệp biến giảm còn khoảng 2,606, trong khi r vẫn bằng 0,595. Đây là ví dụ minh họa trực tiếp sự khác biệt giữa hai thước đo.</w:t>
      </w:r>
    </w:p>
    <w:p w14:paraId="0000021B">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c) Diện tích và giá nhà Amsterdam</w:t>
      </w:r>
    </w:p>
    <w:p w14:paraId="0000021C">
      <w:pPr>
        <w:ind w:firstLine="567"/>
        <w:jc w:val="both"/>
      </w:pPr>
      <w:sdt>
        <w:sdtPr>
          <w:tag w:val="goog_rdk_7"/>
          <w:id w:val="-1858154020"/>
        </w:sdtPr>
        <w:sdtContent>
          <w:r>
            <w:rPr>
              <w:rtl w:val="0"/>
            </w:rPr>
            <w:t>Notebook kết hợp scatterplot giữa Area và Price với heatmap các biến Price, Area và Room. Ma trận tương quan thể hiện r(Price, Area) ≈ 0,84; r(Price, Room) ≈ 0,62 và r(Area, Room) ≈ 0,81.</w:t>
          </w:r>
        </w:sdtContent>
      </w:sdt>
    </w:p>
    <w:p w14:paraId="0000021D">
      <w:pPr>
        <w:keepNext/>
        <w:spacing w:before="40" w:after="60"/>
        <w:jc w:val="center"/>
      </w:pPr>
      <w:r>
        <w:drawing>
          <wp:inline distT="0" distB="0" distL="0" distR="0">
            <wp:extent cx="5454015" cy="1873885"/>
            <wp:effectExtent l="0" t="0" r="0" b="0"/>
            <wp:docPr id="39" name="image5.png"/>
            <wp:cNvGraphicFramePr/>
            <a:graphic xmlns:a="http://schemas.openxmlformats.org/drawingml/2006/main">
              <a:graphicData uri="http://schemas.openxmlformats.org/drawingml/2006/picture">
                <pic:pic xmlns:pic="http://schemas.openxmlformats.org/drawingml/2006/picture">
                  <pic:nvPicPr>
                    <pic:cNvPr id="39" name="image5.png"/>
                    <pic:cNvPicPr preferRelativeResize="0"/>
                  </pic:nvPicPr>
                  <pic:blipFill>
                    <a:blip r:embed="rId42"/>
                    <a:srcRect/>
                    <a:stretch>
                      <a:fillRect/>
                    </a:stretch>
                  </pic:blipFill>
                  <pic:spPr>
                    <a:xfrm>
                      <a:off x="0" y="0"/>
                      <a:ext cx="5454015" cy="1873885"/>
                    </a:xfrm>
                    <a:prstGeom prst="rect">
                      <a:avLst/>
                    </a:prstGeom>
                  </pic:spPr>
                </pic:pic>
              </a:graphicData>
            </a:graphic>
          </wp:inline>
        </w:drawing>
      </w:r>
    </w:p>
    <w:p w14:paraId="0000021E">
      <w:pPr>
        <w:spacing w:before="80" w:after="100" w:line="276" w:lineRule="auto"/>
        <w:jc w:val="center"/>
      </w:pPr>
      <w:r>
        <w:rPr>
          <w:i/>
          <w:iCs/>
          <w:sz w:val="24"/>
          <w:szCs w:val="24"/>
          <w:rtl w:val="0"/>
        </w:rPr>
        <w:t>Hình 1.3.9. Phân tán diện tích – giá nhà và ma trận tương quan (nguồn: output cell 1).</w:t>
      </w:r>
    </w:p>
    <w:p w14:paraId="0000021F">
      <w:pPr>
        <w:ind w:firstLine="567"/>
        <w:jc w:val="both"/>
      </w:pPr>
      <w:r>
        <w:rPr>
          <w:rtl w:val="0"/>
        </w:rPr>
        <w:t>Nhận xét: Giá nhà thường tăng theo diện tích (tương quan dương 0,84), nhưng tồn tại điểm giá cao hoặc diện tích lớn nằm xa đám mây chính. Tương quan phản ánh mức liên hệ, không đủ để khẳng định quan hệ nhân quả.</w:t>
      </w:r>
    </w:p>
    <w:p w14:paraId="4DF8B1D7">
      <w:pPr>
        <w:pStyle w:val="4"/>
      </w:pPr>
      <w:bookmarkStart w:id="33" w:name="bookmark=id.ikg1txbmljib" w:colFirst="0" w:colLast="0"/>
      <w:bookmarkEnd w:id="33"/>
      <w:bookmarkStart w:id="34" w:name="_Toc5022"/>
      <w:r>
        <w:t>1.3.4. Sử dụng bốn công cụ EDA tự động</w:t>
      </w:r>
      <w:bookmarkEnd w:id="34"/>
    </w:p>
    <w:p w14:paraId="00000221">
      <w:pPr>
        <w:ind w:firstLine="567"/>
        <w:jc w:val="both"/>
      </w:pPr>
      <w:r>
        <w:rPr>
          <w:rtl w:val="0"/>
        </w:rPr>
        <w:t>Notebook khai báo bốn thư viện YData Profiling, D-Tale, Sweetviz và AutoViz cho dữ liệu marketing_campaign.csv. Mục đích là bổ trợ EDA thủ công bằng thống kê tự động, phân tích tương tác và báo cáo xuất ra trình duyệt.</w:t>
      </w:r>
    </w:p>
    <w:p w14:paraId="00000222">
      <w:pPr>
        <w:keepNext/>
        <w:spacing w:before="40" w:after="60"/>
        <w:jc w:val="center"/>
      </w:pPr>
      <w:r>
        <w:drawing>
          <wp:inline distT="0" distB="0" distL="0" distR="0">
            <wp:extent cx="5400040" cy="1892300"/>
            <wp:effectExtent l="0" t="0" r="0" b="0"/>
            <wp:docPr id="40" name="image22.png"/>
            <wp:cNvGraphicFramePr/>
            <a:graphic xmlns:a="http://schemas.openxmlformats.org/drawingml/2006/main">
              <a:graphicData uri="http://schemas.openxmlformats.org/drawingml/2006/picture">
                <pic:pic xmlns:pic="http://schemas.openxmlformats.org/drawingml/2006/picture">
                  <pic:nvPicPr>
                    <pic:cNvPr id="40" name="image22.png"/>
                    <pic:cNvPicPr preferRelativeResize="0"/>
                  </pic:nvPicPr>
                  <pic:blipFill>
                    <a:blip r:embed="rId43"/>
                    <a:srcRect/>
                    <a:stretch>
                      <a:fillRect/>
                    </a:stretch>
                  </pic:blipFill>
                  <pic:spPr>
                    <a:xfrm>
                      <a:off x="0" y="0"/>
                      <a:ext cx="5400040" cy="1892300"/>
                    </a:xfrm>
                    <a:prstGeom prst="rect">
                      <a:avLst/>
                    </a:prstGeom>
                  </pic:spPr>
                </pic:pic>
              </a:graphicData>
            </a:graphic>
          </wp:inline>
        </w:drawing>
      </w:r>
    </w:p>
    <w:p w14:paraId="00000223">
      <w:pPr>
        <w:spacing w:before="80" w:after="100" w:line="276" w:lineRule="auto"/>
        <w:jc w:val="center"/>
      </w:pPr>
      <w:r>
        <w:rPr>
          <w:i/>
          <w:iCs/>
          <w:sz w:val="24"/>
          <w:szCs w:val="24"/>
          <w:rtl w:val="0"/>
        </w:rPr>
        <w:t>Hình 1.3.10. Sơ đồ tóm tắt chức năng và dạng đầu ra dự kiến của bốn công cụ (hình minh họa quy trình do nhóm biên soạn, không phải ảnh kết quả chạy).</w:t>
      </w:r>
    </w:p>
    <w:tbl>
      <w:tblPr>
        <w:tblStyle w:val="45"/>
        <w:tblW w:w="8843" w:type="dxa"/>
        <w:jc w:val="center"/>
        <w:tblLayout w:type="fixed"/>
        <w:tblCellMar>
          <w:top w:w="0" w:type="dxa"/>
          <w:left w:w="115" w:type="dxa"/>
          <w:bottom w:w="0" w:type="dxa"/>
          <w:right w:w="115" w:type="dxa"/>
        </w:tblCellMar>
      </w:tblPr>
      <w:tblGrid>
        <w:gridCol w:w="1757"/>
        <w:gridCol w:w="3514"/>
        <w:gridCol w:w="3573"/>
      </w:tblGrid>
      <w:tr w14:paraId="36AAB1AE">
        <w:tblPrEx>
          <w:tblCellMar>
            <w:top w:w="0" w:type="dxa"/>
            <w:left w:w="115" w:type="dxa"/>
            <w:bottom w:w="0" w:type="dxa"/>
            <w:right w:w="115" w:type="dxa"/>
          </w:tblCellMar>
        </w:tblPrEx>
        <w:trPr>
          <w:cantSplit/>
          <w:tblHeader/>
          <w:jc w:val="center"/>
        </w:trPr>
        <w:tc>
          <w:tcPr>
            <w:tcBorders>
              <w:top w:val="single" w:color="000000" w:sz="6" w:space="0"/>
              <w:left w:val="single" w:color="000000" w:sz="6" w:space="0"/>
              <w:bottom w:val="single" w:color="000000" w:sz="6" w:space="0"/>
              <w:right w:val="single" w:color="000000" w:sz="6" w:space="0"/>
            </w:tcBorders>
            <w:vAlign w:val="center"/>
          </w:tcPr>
          <w:p w14:paraId="00000224">
            <w:pPr>
              <w:spacing w:before="20" w:after="20" w:line="264" w:lineRule="auto"/>
              <w:jc w:val="center"/>
            </w:pPr>
            <w:r>
              <w:rPr>
                <w:b/>
                <w:bCs/>
                <w:sz w:val="24"/>
                <w:szCs w:val="24"/>
                <w:rtl w:val="0"/>
              </w:rPr>
              <w:t>Công cụ</w:t>
            </w:r>
          </w:p>
        </w:tc>
        <w:tc>
          <w:tcPr>
            <w:tcBorders>
              <w:top w:val="single" w:color="000000" w:sz="6" w:space="0"/>
              <w:left w:val="single" w:color="000000" w:sz="6" w:space="0"/>
              <w:bottom w:val="single" w:color="000000" w:sz="6" w:space="0"/>
              <w:right w:val="single" w:color="000000" w:sz="6" w:space="0"/>
            </w:tcBorders>
            <w:vAlign w:val="center"/>
          </w:tcPr>
          <w:p w14:paraId="00000225">
            <w:pPr>
              <w:spacing w:before="20" w:after="20" w:line="264" w:lineRule="auto"/>
              <w:jc w:val="center"/>
            </w:pPr>
            <w:r>
              <w:rPr>
                <w:b/>
                <w:bCs/>
                <w:sz w:val="24"/>
                <w:szCs w:val="24"/>
                <w:rtl w:val="0"/>
              </w:rPr>
              <w:t>Chức năng trong bài thực hành</w:t>
            </w:r>
          </w:p>
        </w:tc>
        <w:tc>
          <w:tcPr>
            <w:tcBorders>
              <w:top w:val="single" w:color="000000" w:sz="6" w:space="0"/>
              <w:left w:val="single" w:color="000000" w:sz="6" w:space="0"/>
              <w:bottom w:val="single" w:color="000000" w:sz="6" w:space="0"/>
              <w:right w:val="single" w:color="000000" w:sz="6" w:space="0"/>
            </w:tcBorders>
            <w:vAlign w:val="center"/>
          </w:tcPr>
          <w:p w14:paraId="00000226">
            <w:pPr>
              <w:spacing w:before="20" w:after="20" w:line="264" w:lineRule="auto"/>
              <w:jc w:val="center"/>
            </w:pPr>
            <w:r>
              <w:rPr>
                <w:b/>
                <w:bCs/>
                <w:sz w:val="24"/>
                <w:szCs w:val="24"/>
                <w:rtl w:val="0"/>
              </w:rPr>
              <w:t>Lệnh và dạng đầu ra notebook dự kiến</w:t>
            </w:r>
          </w:p>
        </w:tc>
      </w:tr>
      <w:tr w14:paraId="1EFBE80B">
        <w:tblPrEx>
          <w:tblCellMar>
            <w:top w:w="0" w:type="dxa"/>
            <w:left w:w="115" w:type="dxa"/>
            <w:bottom w:w="0" w:type="dxa"/>
            <w:right w:w="115" w:type="dxa"/>
          </w:tblCellMar>
        </w:tblPrEx>
        <w:trPr>
          <w:cantSplit/>
          <w:jc w:val="center"/>
        </w:trPr>
        <w:tc>
          <w:tcPr>
            <w:tcBorders>
              <w:top w:val="single" w:color="000000" w:sz="6" w:space="0"/>
              <w:left w:val="single" w:color="000000" w:sz="6" w:space="0"/>
              <w:bottom w:val="single" w:color="000000" w:sz="6" w:space="0"/>
              <w:right w:val="single" w:color="000000" w:sz="6" w:space="0"/>
            </w:tcBorders>
            <w:vAlign w:val="center"/>
          </w:tcPr>
          <w:p w14:paraId="00000227">
            <w:pPr>
              <w:spacing w:before="20" w:after="20" w:line="264" w:lineRule="auto"/>
            </w:pPr>
            <w:r>
              <w:rPr>
                <w:sz w:val="24"/>
                <w:szCs w:val="24"/>
                <w:rtl w:val="0"/>
              </w:rPr>
              <w:t>YData Profiling</w:t>
            </w:r>
          </w:p>
        </w:tc>
        <w:tc>
          <w:tcPr>
            <w:tcBorders>
              <w:top w:val="single" w:color="000000" w:sz="6" w:space="0"/>
              <w:left w:val="single" w:color="000000" w:sz="6" w:space="0"/>
              <w:bottom w:val="single" w:color="000000" w:sz="6" w:space="0"/>
              <w:right w:val="single" w:color="000000" w:sz="6" w:space="0"/>
            </w:tcBorders>
            <w:vAlign w:val="center"/>
          </w:tcPr>
          <w:p w14:paraId="00000228">
            <w:pPr>
              <w:spacing w:before="20" w:after="20" w:line="264" w:lineRule="auto"/>
            </w:pPr>
            <w:r>
              <w:rPr>
                <w:sz w:val="24"/>
                <w:szCs w:val="24"/>
                <w:rtl w:val="0"/>
              </w:rPr>
              <w:t>Sinh thống kê tổng quan, cấu trúc biến và chất lượng dữ liệu.</w:t>
            </w:r>
          </w:p>
        </w:tc>
        <w:tc>
          <w:tcPr>
            <w:tcBorders>
              <w:top w:val="single" w:color="000000" w:sz="6" w:space="0"/>
              <w:left w:val="single" w:color="000000" w:sz="6" w:space="0"/>
              <w:bottom w:val="single" w:color="000000" w:sz="6" w:space="0"/>
              <w:right w:val="single" w:color="000000" w:sz="6" w:space="0"/>
            </w:tcBorders>
            <w:vAlign w:val="center"/>
          </w:tcPr>
          <w:p w14:paraId="00000229">
            <w:pPr>
              <w:spacing w:before="20" w:after="20" w:line="264" w:lineRule="auto"/>
            </w:pPr>
            <w:r>
              <w:rPr>
                <w:sz w:val="24"/>
                <w:szCs w:val="24"/>
                <w:rtl w:val="0"/>
              </w:rPr>
              <w:t>ProfileReport(...).to_file("Reports/profile_output.html")</w:t>
            </w:r>
          </w:p>
        </w:tc>
      </w:tr>
      <w:tr w14:paraId="6329B362">
        <w:tblPrEx>
          <w:tblCellMar>
            <w:top w:w="0" w:type="dxa"/>
            <w:left w:w="115" w:type="dxa"/>
            <w:bottom w:w="0" w:type="dxa"/>
            <w:right w:w="115" w:type="dxa"/>
          </w:tblCellMar>
        </w:tblPrEx>
        <w:trPr>
          <w:cantSplit/>
          <w:jc w:val="center"/>
        </w:trPr>
        <w:tc>
          <w:tcPr>
            <w:tcBorders>
              <w:top w:val="single" w:color="000000" w:sz="6" w:space="0"/>
              <w:left w:val="single" w:color="000000" w:sz="6" w:space="0"/>
              <w:bottom w:val="single" w:color="000000" w:sz="6" w:space="0"/>
              <w:right w:val="single" w:color="000000" w:sz="6" w:space="0"/>
            </w:tcBorders>
            <w:vAlign w:val="center"/>
          </w:tcPr>
          <w:p w14:paraId="0000022A">
            <w:pPr>
              <w:spacing w:before="20" w:after="20" w:line="264" w:lineRule="auto"/>
            </w:pPr>
            <w:r>
              <w:rPr>
                <w:sz w:val="24"/>
                <w:szCs w:val="24"/>
                <w:rtl w:val="0"/>
              </w:rPr>
              <w:t>D-Tale</w:t>
            </w:r>
          </w:p>
        </w:tc>
        <w:tc>
          <w:tcPr>
            <w:tcBorders>
              <w:top w:val="single" w:color="000000" w:sz="6" w:space="0"/>
              <w:left w:val="single" w:color="000000" w:sz="6" w:space="0"/>
              <w:bottom w:val="single" w:color="000000" w:sz="6" w:space="0"/>
              <w:right w:val="single" w:color="000000" w:sz="6" w:space="0"/>
            </w:tcBorders>
            <w:vAlign w:val="center"/>
          </w:tcPr>
          <w:p w14:paraId="0000022B">
            <w:pPr>
              <w:spacing w:before="20" w:after="20" w:line="264" w:lineRule="auto"/>
            </w:pPr>
            <w:r>
              <w:rPr>
                <w:sz w:val="24"/>
                <w:szCs w:val="24"/>
                <w:rtl w:val="0"/>
              </w:rPr>
              <w:t>Mở giao diện khám phá bảng dữ liệu trên trình duyệt.</w:t>
            </w:r>
          </w:p>
        </w:tc>
        <w:tc>
          <w:tcPr>
            <w:tcBorders>
              <w:top w:val="single" w:color="000000" w:sz="6" w:space="0"/>
              <w:left w:val="single" w:color="000000" w:sz="6" w:space="0"/>
              <w:bottom w:val="single" w:color="000000" w:sz="6" w:space="0"/>
              <w:right w:val="single" w:color="000000" w:sz="6" w:space="0"/>
            </w:tcBorders>
            <w:vAlign w:val="center"/>
          </w:tcPr>
          <w:p w14:paraId="0000022C">
            <w:pPr>
              <w:spacing w:before="20" w:after="20" w:line="264" w:lineRule="auto"/>
            </w:pPr>
            <w:r>
              <w:rPr>
                <w:sz w:val="24"/>
                <w:szCs w:val="24"/>
                <w:rtl w:val="0"/>
              </w:rPr>
              <w:t>dtale.show(marketing_data); d.open_browser()</w:t>
            </w:r>
          </w:p>
        </w:tc>
      </w:tr>
      <w:tr w14:paraId="55AC3833">
        <w:tblPrEx>
          <w:tblCellMar>
            <w:top w:w="0" w:type="dxa"/>
            <w:left w:w="115" w:type="dxa"/>
            <w:bottom w:w="0" w:type="dxa"/>
            <w:right w:w="115" w:type="dxa"/>
          </w:tblCellMar>
        </w:tblPrEx>
        <w:trPr>
          <w:cantSplit/>
          <w:jc w:val="center"/>
        </w:trPr>
        <w:tc>
          <w:tcPr>
            <w:tcBorders>
              <w:top w:val="single" w:color="000000" w:sz="6" w:space="0"/>
              <w:left w:val="single" w:color="000000" w:sz="6" w:space="0"/>
              <w:bottom w:val="single" w:color="000000" w:sz="6" w:space="0"/>
              <w:right w:val="single" w:color="000000" w:sz="6" w:space="0"/>
            </w:tcBorders>
            <w:vAlign w:val="center"/>
          </w:tcPr>
          <w:p w14:paraId="0000022D">
            <w:pPr>
              <w:spacing w:before="20" w:after="20" w:line="264" w:lineRule="auto"/>
            </w:pPr>
            <w:r>
              <w:rPr>
                <w:sz w:val="24"/>
                <w:szCs w:val="24"/>
                <w:rtl w:val="0"/>
              </w:rPr>
              <w:t>Sweetviz</w:t>
            </w:r>
          </w:p>
        </w:tc>
        <w:tc>
          <w:tcPr>
            <w:tcBorders>
              <w:top w:val="single" w:color="000000" w:sz="6" w:space="0"/>
              <w:left w:val="single" w:color="000000" w:sz="6" w:space="0"/>
              <w:bottom w:val="single" w:color="000000" w:sz="6" w:space="0"/>
              <w:right w:val="single" w:color="000000" w:sz="6" w:space="0"/>
            </w:tcBorders>
            <w:vAlign w:val="center"/>
          </w:tcPr>
          <w:p w14:paraId="0000022E">
            <w:pPr>
              <w:spacing w:before="20" w:after="20" w:line="264" w:lineRule="auto"/>
            </w:pPr>
            <w:r>
              <w:rPr>
                <w:sz w:val="24"/>
                <w:szCs w:val="24"/>
                <w:rtl w:val="0"/>
              </w:rPr>
              <w:t>Tạo báo cáo tổng quan, theo Response, và so sánh nhóm có/không có con nhỏ.</w:t>
            </w:r>
          </w:p>
        </w:tc>
        <w:tc>
          <w:tcPr>
            <w:tcBorders>
              <w:top w:val="single" w:color="000000" w:sz="6" w:space="0"/>
              <w:left w:val="single" w:color="000000" w:sz="6" w:space="0"/>
              <w:bottom w:val="single" w:color="000000" w:sz="6" w:space="0"/>
              <w:right w:val="single" w:color="000000" w:sz="6" w:space="0"/>
            </w:tcBorders>
            <w:vAlign w:val="center"/>
          </w:tcPr>
          <w:p w14:paraId="0000022F">
            <w:pPr>
              <w:spacing w:before="20" w:after="20" w:line="264" w:lineRule="auto"/>
            </w:pPr>
            <w:r>
              <w:rPr>
                <w:sz w:val="24"/>
                <w:szCs w:val="24"/>
                <w:rtl w:val="0"/>
              </w:rPr>
              <w:t>sv.analyze(...); sv.compare_intra(...); báo cáo HTML</w:t>
            </w:r>
          </w:p>
        </w:tc>
      </w:tr>
      <w:tr w14:paraId="1BB1988B">
        <w:tblPrEx>
          <w:tblCellMar>
            <w:top w:w="0" w:type="dxa"/>
            <w:left w:w="115" w:type="dxa"/>
            <w:bottom w:w="0" w:type="dxa"/>
            <w:right w:w="115" w:type="dxa"/>
          </w:tblCellMar>
        </w:tblPrEx>
        <w:trPr>
          <w:cantSplit/>
          <w:jc w:val="center"/>
        </w:trPr>
        <w:tc>
          <w:tcPr>
            <w:tcBorders>
              <w:top w:val="single" w:color="000000" w:sz="6" w:space="0"/>
              <w:left w:val="single" w:color="000000" w:sz="6" w:space="0"/>
              <w:bottom w:val="single" w:color="000000" w:sz="6" w:space="0"/>
              <w:right w:val="single" w:color="000000" w:sz="6" w:space="0"/>
            </w:tcBorders>
            <w:vAlign w:val="center"/>
          </w:tcPr>
          <w:p w14:paraId="00000230">
            <w:pPr>
              <w:spacing w:before="20" w:after="20" w:line="264" w:lineRule="auto"/>
            </w:pPr>
            <w:r>
              <w:rPr>
                <w:sz w:val="24"/>
                <w:szCs w:val="24"/>
                <w:rtl w:val="0"/>
              </w:rPr>
              <w:t>AutoViz</w:t>
            </w:r>
          </w:p>
        </w:tc>
        <w:tc>
          <w:tcPr>
            <w:tcBorders>
              <w:top w:val="single" w:color="000000" w:sz="6" w:space="0"/>
              <w:left w:val="single" w:color="000000" w:sz="6" w:space="0"/>
              <w:bottom w:val="single" w:color="000000" w:sz="6" w:space="0"/>
              <w:right w:val="single" w:color="000000" w:sz="6" w:space="0"/>
            </w:tcBorders>
            <w:vAlign w:val="center"/>
          </w:tcPr>
          <w:p w14:paraId="00000231">
            <w:pPr>
              <w:spacing w:before="20" w:after="20" w:line="264" w:lineRule="auto"/>
            </w:pPr>
            <w:r>
              <w:rPr>
                <w:sz w:val="24"/>
                <w:szCs w:val="24"/>
                <w:rtl w:val="0"/>
              </w:rPr>
              <w:t>Tự động đề xuất đồ thị với biến mục tiêu Response.</w:t>
            </w:r>
          </w:p>
        </w:tc>
        <w:tc>
          <w:tcPr>
            <w:tcBorders>
              <w:top w:val="single" w:color="000000" w:sz="6" w:space="0"/>
              <w:left w:val="single" w:color="000000" w:sz="6" w:space="0"/>
              <w:bottom w:val="single" w:color="000000" w:sz="6" w:space="0"/>
              <w:right w:val="single" w:color="000000" w:sz="6" w:space="0"/>
            </w:tcBorders>
            <w:vAlign w:val="center"/>
          </w:tcPr>
          <w:p w14:paraId="00000232">
            <w:pPr>
              <w:spacing w:before="20" w:after="20" w:line="264" w:lineRule="auto"/>
            </w:pPr>
            <w:r>
              <w:rPr>
                <w:sz w:val="24"/>
                <w:szCs w:val="24"/>
                <w:rtl w:val="0"/>
              </w:rPr>
              <w:t>AV.AutoViz(..., depVar="Response", chart_format="svg")</w:t>
            </w:r>
          </w:p>
        </w:tc>
      </w:tr>
    </w:tbl>
    <w:p w14:paraId="00000233"/>
    <w:p w14:paraId="00000234">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 YData Profiling và D-Tale</w:t>
      </w:r>
    </w:p>
    <w:p w14:paraId="00000235">
      <w:pPr>
        <w:ind w:firstLine="567"/>
        <w:jc w:val="both"/>
      </w:pPr>
      <w:r>
        <w:rPr>
          <w:rtl w:val="0"/>
        </w:rPr>
        <w:t>YData Profiling sử dụng ProfileReport để xuất báo cáo HTML; D-Tale cho phép thao tác trực tiếp trên bảng dữ liệu bằng trình duyệt. Đây là hai hướng bổ trợ: báo cáo tổng hợp tự động và khám phá tương tác.</w:t>
      </w:r>
    </w:p>
    <w:p w14:paraId="00000236">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40" w:after="80" w:line="36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b) Sweetviz và AutoViz</w:t>
      </w:r>
    </w:p>
    <w:p w14:paraId="00000237">
      <w:pPr>
        <w:ind w:firstLine="567"/>
        <w:jc w:val="both"/>
      </w:pPr>
      <w:r>
        <w:rPr>
          <w:rtl w:val="0"/>
        </w:rPr>
        <w:t>Trong notebook, Sweetviz được gọi ba lần để tạo báo cáo tổng quan, báo cáo theo nhãn Response và so sánh hai nhóm dựa trên Kidhome &gt; 0. AutoViz được cấu hình đọc tập marketing_campaign.csv với depVar = "Response" và xuất đồ thị ở định dạng SVG.</w:t>
      </w:r>
    </w:p>
    <w:p w14:paraId="00000238">
      <w:pPr>
        <w:ind w:firstLine="567"/>
        <w:jc w:val="both"/>
      </w:pPr>
      <w:r>
        <w:rPr>
          <w:i/>
          <w:iCs/>
          <w:rtl w:val="0"/>
        </w:rPr>
        <w:t>Tình trạng đầu ra: cell cài gói ghi nhận lỗi không cài được ydata-profiling; các cell YData Profiling, D-Tale, Sweetviz và AutoViz không lưu ảnh/báo cáo đầu ra. Bộ marketing_campaign.csv và các ảnh p13_* chưa nằm trong tệp đính kèm lần này, do đó chưa thể xác thực hay chèn ảnh chụp màn hình kết quả của bốn công cụ. Cần bổ sung ảnh thật nếu giảng viên yêu cầu minh chứng công cụ đã chạy.</w:t>
      </w:r>
    </w:p>
    <w:p w14:paraId="561D195C">
      <w:pPr>
        <w:pStyle w:val="4"/>
      </w:pPr>
      <w:bookmarkStart w:id="35" w:name="bookmark=id.iqdxdg61jas3" w:colFirst="0" w:colLast="0"/>
      <w:bookmarkEnd w:id="35"/>
      <w:bookmarkStart w:id="36" w:name="_Toc5023"/>
      <w:r>
        <w:t>1.3.5. Nhận xét chung và kết luận</w:t>
      </w:r>
      <w:bookmarkEnd w:id="36"/>
    </w:p>
    <w:p w14:paraId="0000023A">
      <w:pPr>
        <w:ind w:firstLine="567"/>
        <w:jc w:val="both"/>
      </w:pPr>
      <w:r>
        <w:rPr>
          <w:rtl w:val="0"/>
        </w:rPr>
        <w:t>Các kết quả EDA đã lưu cho thấy phương pháp đơn biến giúp nhìn phân bố và ngoại lai (đặc biệt với giá nhà), trong khi phân tích hai biến làm rõ mối liên hệ giữa các thuộc tính và vai trò của phân nhóm theo loài. Trên dữ liệu chim cánh cụt, r chung giữa chiều dài mỏ và khối lượng là 0,595; trên dữ liệu giá nhà, Area và Price tương quan dương khoảng 0,84. Các số liệu này phù hợp với biểu đồ đính kèm.</w:t>
      </w:r>
    </w:p>
    <w:p w14:paraId="0000023B">
      <w:pPr>
        <w:ind w:firstLine="567"/>
        <w:jc w:val="both"/>
      </w:pPr>
      <w:r>
        <w:rPr>
          <w:rtl w:val="0"/>
        </w:rPr>
        <w:t>Kết hợp phân tích thủ công và công cụ EDA tự động là định hướng hợp lý cho quy trình thăm dò dữ liệu; tuy nhiên, phần công cụ tự động trong notebook hiện mới là mã lệnh chưa có sản phẩm đầu ra được xác nhận. Do đó, kết luận về kết quả thực nghiệm ở phần này chỉ giới hạn ở những biểu đồ và thống kê đã xuất hiện trong notebook.</w:t>
      </w:r>
    </w:p>
    <w:p w14:paraId="38F11EBF">
      <w:pPr>
        <w:pStyle w:val="2"/>
      </w:pPr>
      <w:bookmarkStart w:id="37" w:name="_Toc5024"/>
      <w:r>
        <w:t>Nguồn dữ liệu và minh chứng</w:t>
      </w:r>
      <w:bookmarkEnd w:id="37"/>
    </w:p>
    <w:p w14:paraId="0000023D">
      <w:pPr>
        <w:spacing w:before="20" w:after="100" w:line="324" w:lineRule="auto"/>
        <w:ind w:left="369" w:firstLine="0"/>
        <w:jc w:val="both"/>
      </w:pPr>
      <w:r>
        <w:rPr>
          <w:sz w:val="24"/>
          <w:szCs w:val="24"/>
          <w:rtl w:val="0"/>
        </w:rPr>
        <w:t>PhanTichDuLieu_3.ipynb: mã lệnh, bảng kết quả và các biểu đồ trực tiếp được dùng trong báo cáo.</w:t>
      </w:r>
    </w:p>
    <w:p w14:paraId="0000023E">
      <w:pPr>
        <w:spacing w:before="20" w:after="100" w:line="324" w:lineRule="auto"/>
        <w:ind w:left="369" w:firstLine="0"/>
        <w:jc w:val="both"/>
      </w:pPr>
      <w:r>
        <w:rPr>
          <w:sz w:val="24"/>
          <w:szCs w:val="24"/>
          <w:rtl w:val="0"/>
        </w:rPr>
        <w:t>vi_du_alcohol.pdf: mẫu tham khảo cách thể hiện histogram; không sử dụng làm số liệu thực nghiệm cho phần 1.3.</w:t>
      </w:r>
    </w:p>
    <w:p w14:paraId="0000023F">
      <w:pPr>
        <w:spacing w:before="20" w:after="100" w:line="324" w:lineRule="auto"/>
        <w:ind w:left="369" w:firstLine="0"/>
        <w:jc w:val="both"/>
      </w:pPr>
      <w:r>
        <w:rPr>
          <w:sz w:val="24"/>
          <w:szCs w:val="24"/>
          <w:rtl w:val="0"/>
        </w:rPr>
        <w:t>Những file CSV gốc của Palmer Penguins, Housing Prices Amsterdam và Marketing Campaign chưa được gửi kèm trong lần này; các kết quả được trích từ output đã lưu trong notebook.</w:t>
      </w:r>
    </w:p>
    <w:sectPr>
      <w:footerReference r:id="rId7" w:type="default"/>
      <w:pgSz w:w="11906" w:h="16838"/>
      <w:pgMar w:top="1417" w:right="1134" w:bottom="1417" w:left="1701" w:header="0" w:footer="709"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4BECE464-56E7-4E10-BDD6-648ED0975DB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64E2D45A-E473-49D9-B67C-477DA45F4C7C}"/>
  </w:font>
  <w:font w:name="Wingdings">
    <w:panose1 w:val="05000000000000000000"/>
    <w:charset w:val="02"/>
    <w:family w:val="auto"/>
    <w:pitch w:val="default"/>
    <w:sig w:usb0="00000000" w:usb1="00000000" w:usb2="00000000" w:usb3="00000000" w:csb0="80000000" w:csb1="00000000"/>
    <w:embedRegular r:id="rId3" w:fontKey="{BF12C039-D7BE-4153-B812-7B89EE04FD89}"/>
  </w:font>
  <w:font w:name="Calibri">
    <w:panose1 w:val="020F0502020204030204"/>
    <w:charset w:val="00"/>
    <w:family w:val="swiss"/>
    <w:pitch w:val="default"/>
    <w:sig w:usb0="E4002EFF" w:usb1="C200247B" w:usb2="00000009" w:usb3="00000000" w:csb0="200001FF" w:csb1="00000000"/>
    <w:embedRegular r:id="rId4" w:fontKey="{94F9D278-FEAE-448B-B07D-51B0255CF86F}"/>
  </w:font>
  <w:font w:name="Liberation Sans">
    <w:altName w:val="Segoe Print"/>
    <w:panose1 w:val="00000000000000000000"/>
    <w:charset w:val="00"/>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Gungsuh">
    <w:altName w:val="Segoe Print"/>
    <w:panose1 w:val="00000000000000000000"/>
    <w:charset w:val="00"/>
    <w:family w:val="auto"/>
    <w:pitch w:val="default"/>
    <w:sig w:usb0="00000000" w:usb1="00000000" w:usb2="00000000" w:usb3="00000000" w:csb0="00000000" w:csb1="00000000"/>
  </w:font>
  <w:font w:name="Caudex">
    <w:altName w:val="Segoe Print"/>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Card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F4D83891-7B4F-4AFF-B6B8-779DFDB60427}"/>
  </w:font>
  <w:font w:name="黑体">
    <w:altName w:val="SimSu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41">
    <w:pPr>
      <w:jc w:val="center"/>
    </w:pPr>
    <w:r>
      <w:rPr>
        <w:sz w:val="24"/>
        <w:szCs w:val="24"/>
      </w:rPr>
      <w:fldChar w:fldCharType="begin"/>
    </w:r>
    <w:r>
      <w:rPr>
        <w:sz w:val="24"/>
        <w:szCs w:val="24"/>
      </w:rPr>
      <w:instrText xml:space="preserve">PAGE</w:instrText>
    </w:r>
    <w:r>
      <w:rPr>
        <w:sz w:val="24"/>
        <w:szCs w:val="24"/>
      </w:rPr>
      <w:fldChar w:fldCharType="separate"/>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41">
    <w:pPr>
      <w:jc w:val="center"/>
    </w:pPr>
    <w:r>
      <w:rPr>
        <w:sz w:val="24"/>
        <w:szCs w:val="24"/>
      </w:rPr>
      <w:fldChar w:fldCharType="begin"/>
    </w:r>
    <w:r>
      <w:rPr>
        <w:sz w:val="24"/>
        <w:szCs w:val="24"/>
      </w:rPr>
      <w:instrText xml:space="preserve">PAGE</w:instrText>
    </w:r>
    <w:r>
      <w:rPr>
        <w:sz w:val="24"/>
        <w:szCs w:val="24"/>
      </w:rPr>
      <w:fldChar w:fldCharType="separate"/>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902DD8"/>
    <w:multiLevelType w:val="multilevel"/>
    <w:tmpl w:val="AD902DD8"/>
    <w:lvl w:ilvl="0" w:tentative="0">
      <w:start w:val="1"/>
      <w:numFmt w:val="bullet"/>
      <w:lvlText w:val="●"/>
      <w:lvlJc w:val="left"/>
      <w:pPr>
        <w:ind w:left="720" w:hanging="360"/>
      </w:pPr>
      <w:rPr>
        <w:rFonts w:ascii="Noto Sans Symbols" w:hAnsi="Noto Sans Symbols" w:eastAsia="Noto Sans Symbols" w:cs="Noto Sans Symbols"/>
        <w:u w:val="none"/>
      </w:rPr>
    </w:lvl>
    <w:lvl w:ilvl="1" w:tentative="0">
      <w:start w:val="1"/>
      <w:numFmt w:val="bullet"/>
      <w:lvlText w:val="🌕"/>
      <w:lvlJc w:val="left"/>
      <w:pPr>
        <w:ind w:left="1440" w:hanging="360"/>
      </w:pPr>
      <w:rPr>
        <w:rFonts w:ascii="Noto Sans Symbols" w:hAnsi="Noto Sans Symbols" w:eastAsia="Noto Sans Symbols" w:cs="Noto Sans Symbols"/>
        <w:u w:val="none"/>
      </w:rPr>
    </w:lvl>
    <w:lvl w:ilvl="2" w:tentative="0">
      <w:start w:val="1"/>
      <w:numFmt w:val="bullet"/>
      <w:lvlText w:val="■"/>
      <w:lvlJc w:val="left"/>
      <w:pPr>
        <w:ind w:left="2160" w:hanging="360"/>
      </w:pPr>
      <w:rPr>
        <w:rFonts w:ascii="Noto Sans Symbols" w:hAnsi="Noto Sans Symbols" w:eastAsia="Noto Sans Symbols" w:cs="Noto Sans Symbols"/>
        <w:u w:val="none"/>
      </w:rPr>
    </w:lvl>
    <w:lvl w:ilvl="3" w:tentative="0">
      <w:start w:val="1"/>
      <w:numFmt w:val="bullet"/>
      <w:lvlText w:val="●"/>
      <w:lvlJc w:val="left"/>
      <w:pPr>
        <w:ind w:left="2880" w:hanging="360"/>
      </w:pPr>
      <w:rPr>
        <w:rFonts w:ascii="Noto Sans Symbols" w:hAnsi="Noto Sans Symbols" w:eastAsia="Noto Sans Symbols" w:cs="Noto Sans Symbols"/>
        <w:u w:val="none"/>
      </w:rPr>
    </w:lvl>
    <w:lvl w:ilvl="4" w:tentative="0">
      <w:start w:val="1"/>
      <w:numFmt w:val="bullet"/>
      <w:lvlText w:val="🌕"/>
      <w:lvlJc w:val="left"/>
      <w:pPr>
        <w:ind w:left="3600" w:hanging="360"/>
      </w:pPr>
      <w:rPr>
        <w:rFonts w:ascii="Noto Sans Symbols" w:hAnsi="Noto Sans Symbols" w:eastAsia="Noto Sans Symbols" w:cs="Noto Sans Symbols"/>
        <w:u w:val="none"/>
      </w:rPr>
    </w:lvl>
    <w:lvl w:ilvl="5" w:tentative="0">
      <w:start w:val="1"/>
      <w:numFmt w:val="bullet"/>
      <w:lvlText w:val="■"/>
      <w:lvlJc w:val="left"/>
      <w:pPr>
        <w:ind w:left="4320" w:hanging="360"/>
      </w:pPr>
      <w:rPr>
        <w:rFonts w:ascii="Noto Sans Symbols" w:hAnsi="Noto Sans Symbols" w:eastAsia="Noto Sans Symbols" w:cs="Noto Sans Symbols"/>
        <w:u w:val="none"/>
      </w:rPr>
    </w:lvl>
    <w:lvl w:ilvl="6" w:tentative="0">
      <w:start w:val="1"/>
      <w:numFmt w:val="bullet"/>
      <w:lvlText w:val="●"/>
      <w:lvlJc w:val="left"/>
      <w:pPr>
        <w:ind w:left="5040" w:hanging="360"/>
      </w:pPr>
      <w:rPr>
        <w:rFonts w:ascii="Noto Sans Symbols" w:hAnsi="Noto Sans Symbols" w:eastAsia="Noto Sans Symbols" w:cs="Noto Sans Symbols"/>
        <w:u w:val="none"/>
      </w:rPr>
    </w:lvl>
    <w:lvl w:ilvl="7" w:tentative="0">
      <w:start w:val="1"/>
      <w:numFmt w:val="bullet"/>
      <w:lvlText w:val="🌕"/>
      <w:lvlJc w:val="left"/>
      <w:pPr>
        <w:ind w:left="5760" w:hanging="360"/>
      </w:pPr>
      <w:rPr>
        <w:rFonts w:ascii="Noto Sans Symbols" w:hAnsi="Noto Sans Symbols" w:eastAsia="Noto Sans Symbols" w:cs="Noto Sans Symbols"/>
        <w:u w:val="none"/>
      </w:rPr>
    </w:lvl>
    <w:lvl w:ilvl="8" w:tentative="0">
      <w:start w:val="1"/>
      <w:numFmt w:val="bullet"/>
      <w:lvlText w:val="■"/>
      <w:lvlJc w:val="left"/>
      <w:pPr>
        <w:ind w:left="6480" w:hanging="360"/>
      </w:pPr>
      <w:rPr>
        <w:rFonts w:ascii="Noto Sans Symbols" w:hAnsi="Noto Sans Symbols" w:eastAsia="Noto Sans Symbols" w:cs="Noto Sans Symbols"/>
        <w:u w:val="none"/>
      </w:rPr>
    </w:lvl>
  </w:abstractNum>
  <w:abstractNum w:abstractNumId="1">
    <w:nsid w:val="E850B1CA"/>
    <w:multiLevelType w:val="multilevel"/>
    <w:tmpl w:val="E850B1CA"/>
    <w:lvl w:ilvl="0" w:tentative="0">
      <w:start w:val="1"/>
      <w:numFmt w:val="bullet"/>
      <w:lvlText w:val="●"/>
      <w:lvlJc w:val="left"/>
      <w:pPr>
        <w:ind w:left="720" w:hanging="360"/>
      </w:pPr>
      <w:rPr>
        <w:rFonts w:ascii="Noto Sans Symbols" w:hAnsi="Noto Sans Symbols" w:eastAsia="Noto Sans Symbols" w:cs="Noto Sans Symbols"/>
        <w:u w:val="none"/>
      </w:rPr>
    </w:lvl>
    <w:lvl w:ilvl="1" w:tentative="0">
      <w:start w:val="1"/>
      <w:numFmt w:val="bullet"/>
      <w:lvlText w:val="🌕"/>
      <w:lvlJc w:val="left"/>
      <w:pPr>
        <w:ind w:left="1440" w:hanging="360"/>
      </w:pPr>
      <w:rPr>
        <w:rFonts w:ascii="Noto Sans Symbols" w:hAnsi="Noto Sans Symbols" w:eastAsia="Noto Sans Symbols" w:cs="Noto Sans Symbols"/>
        <w:u w:val="none"/>
      </w:rPr>
    </w:lvl>
    <w:lvl w:ilvl="2" w:tentative="0">
      <w:start w:val="1"/>
      <w:numFmt w:val="bullet"/>
      <w:lvlText w:val="■"/>
      <w:lvlJc w:val="left"/>
      <w:pPr>
        <w:ind w:left="2160" w:hanging="360"/>
      </w:pPr>
      <w:rPr>
        <w:rFonts w:ascii="Noto Sans Symbols" w:hAnsi="Noto Sans Symbols" w:eastAsia="Noto Sans Symbols" w:cs="Noto Sans Symbols"/>
        <w:u w:val="none"/>
      </w:rPr>
    </w:lvl>
    <w:lvl w:ilvl="3" w:tentative="0">
      <w:start w:val="1"/>
      <w:numFmt w:val="bullet"/>
      <w:lvlText w:val="●"/>
      <w:lvlJc w:val="left"/>
      <w:pPr>
        <w:ind w:left="2880" w:hanging="360"/>
      </w:pPr>
      <w:rPr>
        <w:rFonts w:ascii="Noto Sans Symbols" w:hAnsi="Noto Sans Symbols" w:eastAsia="Noto Sans Symbols" w:cs="Noto Sans Symbols"/>
        <w:u w:val="none"/>
      </w:rPr>
    </w:lvl>
    <w:lvl w:ilvl="4" w:tentative="0">
      <w:start w:val="1"/>
      <w:numFmt w:val="bullet"/>
      <w:lvlText w:val="🌕"/>
      <w:lvlJc w:val="left"/>
      <w:pPr>
        <w:ind w:left="3600" w:hanging="360"/>
      </w:pPr>
      <w:rPr>
        <w:rFonts w:ascii="Noto Sans Symbols" w:hAnsi="Noto Sans Symbols" w:eastAsia="Noto Sans Symbols" w:cs="Noto Sans Symbols"/>
        <w:u w:val="none"/>
      </w:rPr>
    </w:lvl>
    <w:lvl w:ilvl="5" w:tentative="0">
      <w:start w:val="1"/>
      <w:numFmt w:val="bullet"/>
      <w:lvlText w:val="■"/>
      <w:lvlJc w:val="left"/>
      <w:pPr>
        <w:ind w:left="4320" w:hanging="360"/>
      </w:pPr>
      <w:rPr>
        <w:rFonts w:ascii="Noto Sans Symbols" w:hAnsi="Noto Sans Symbols" w:eastAsia="Noto Sans Symbols" w:cs="Noto Sans Symbols"/>
        <w:u w:val="none"/>
      </w:rPr>
    </w:lvl>
    <w:lvl w:ilvl="6" w:tentative="0">
      <w:start w:val="1"/>
      <w:numFmt w:val="bullet"/>
      <w:lvlText w:val="●"/>
      <w:lvlJc w:val="left"/>
      <w:pPr>
        <w:ind w:left="5040" w:hanging="360"/>
      </w:pPr>
      <w:rPr>
        <w:rFonts w:ascii="Noto Sans Symbols" w:hAnsi="Noto Sans Symbols" w:eastAsia="Noto Sans Symbols" w:cs="Noto Sans Symbols"/>
        <w:u w:val="none"/>
      </w:rPr>
    </w:lvl>
    <w:lvl w:ilvl="7" w:tentative="0">
      <w:start w:val="1"/>
      <w:numFmt w:val="bullet"/>
      <w:lvlText w:val="🌕"/>
      <w:lvlJc w:val="left"/>
      <w:pPr>
        <w:ind w:left="5760" w:hanging="360"/>
      </w:pPr>
      <w:rPr>
        <w:rFonts w:ascii="Noto Sans Symbols" w:hAnsi="Noto Sans Symbols" w:eastAsia="Noto Sans Symbols" w:cs="Noto Sans Symbols"/>
        <w:u w:val="none"/>
      </w:rPr>
    </w:lvl>
    <w:lvl w:ilvl="8" w:tentative="0">
      <w:start w:val="1"/>
      <w:numFmt w:val="bullet"/>
      <w:lvlText w:val="■"/>
      <w:lvlJc w:val="left"/>
      <w:pPr>
        <w:ind w:left="6480" w:hanging="360"/>
      </w:pPr>
      <w:rPr>
        <w:rFonts w:ascii="Noto Sans Symbols" w:hAnsi="Noto Sans Symbols" w:eastAsia="Noto Sans Symbols" w:cs="Noto Sans Symbols"/>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A100B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qFormat="1"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qFormat="1"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qFormat="1"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360" w:lineRule="auto"/>
    </w:pPr>
    <w:rPr>
      <w:rFonts w:ascii="Times New Roman" w:hAnsi="Times New Roman" w:eastAsia="Times New Roman" w:cs="Times New Roman"/>
      <w:sz w:val="26"/>
      <w:szCs w:val="26"/>
      <w:lang w:val="vi"/>
    </w:rPr>
  </w:style>
  <w:style w:type="paragraph" w:styleId="2">
    <w:name w:val="heading 1"/>
    <w:basedOn w:val="1"/>
    <w:next w:val="1"/>
    <w:qFormat/>
    <w:uiPriority w:val="9"/>
    <w:pPr>
      <w:keepNext/>
      <w:pageBreakBefore/>
      <w:spacing w:before="0" w:after="240" w:line="360" w:lineRule="auto"/>
      <w:outlineLvl w:val="0"/>
    </w:pPr>
    <w:rPr>
      <w:rFonts w:ascii="Times New Roman" w:hAnsi="Times New Roman" w:eastAsia="Times New Roman" w:cs="Times New Roman"/>
      <w:b/>
      <w:bCs/>
      <w:color w:val="000000"/>
      <w:sz w:val="30"/>
      <w:szCs w:val="30"/>
    </w:rPr>
  </w:style>
  <w:style w:type="paragraph" w:styleId="3">
    <w:name w:val="heading 2"/>
    <w:basedOn w:val="1"/>
    <w:next w:val="1"/>
    <w:qFormat/>
    <w:uiPriority w:val="9"/>
    <w:pPr>
      <w:keepNext/>
      <w:spacing w:before="240" w:after="120" w:line="360" w:lineRule="auto"/>
      <w:outlineLvl w:val="1"/>
    </w:pPr>
    <w:rPr>
      <w:rFonts w:ascii="Times New Roman" w:hAnsi="Times New Roman" w:eastAsia="Times New Roman" w:cs="Times New Roman"/>
      <w:b/>
      <w:bCs/>
      <w:color w:val="000000"/>
      <w:sz w:val="28"/>
      <w:szCs w:val="28"/>
    </w:rPr>
  </w:style>
  <w:style w:type="paragraph" w:styleId="4">
    <w:name w:val="heading 3"/>
    <w:basedOn w:val="1"/>
    <w:next w:val="1"/>
    <w:qFormat/>
    <w:uiPriority w:val="9"/>
    <w:pPr>
      <w:keepNext/>
      <w:spacing w:before="200" w:after="100" w:line="360" w:lineRule="auto"/>
      <w:outlineLvl w:val="2"/>
    </w:pPr>
    <w:rPr>
      <w:rFonts w:ascii="Times New Roman" w:hAnsi="Times New Roman" w:eastAsia="Times New Roman" w:cs="Times New Roman"/>
      <w:b/>
      <w:bCs/>
      <w:iCs/>
      <w:color w:val="000000"/>
      <w:sz w:val="26"/>
      <w:szCs w:val="26"/>
    </w:rPr>
  </w:style>
  <w:style w:type="paragraph" w:styleId="5">
    <w:name w:val="heading 4"/>
    <w:basedOn w:val="1"/>
    <w:next w:val="1"/>
    <w:qFormat/>
    <w:uiPriority w:val="0"/>
    <w:pPr>
      <w:keepNext/>
      <w:keepLines/>
      <w:spacing w:before="140" w:after="80"/>
    </w:pPr>
    <w:rPr>
      <w:b/>
      <w:bCs/>
    </w:rPr>
  </w:style>
  <w:style w:type="paragraph" w:styleId="6">
    <w:name w:val="heading 5"/>
    <w:basedOn w:val="1"/>
    <w:next w:val="1"/>
    <w:uiPriority w:val="0"/>
    <w:pPr>
      <w:keepNext/>
      <w:keepLines/>
      <w:spacing w:before="240" w:after="80"/>
    </w:pPr>
    <w:rPr>
      <w:color w:val="666666"/>
    </w:rPr>
  </w:style>
  <w:style w:type="paragraph" w:styleId="7">
    <w:name w:val="heading 6"/>
    <w:basedOn w:val="1"/>
    <w:next w:val="1"/>
    <w:uiPriority w:val="0"/>
    <w:pPr>
      <w:keepNext/>
      <w:keepLines/>
      <w:spacing w:before="240" w:after="80"/>
    </w:pPr>
    <w:rPr>
      <w:i/>
      <w:iCs/>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qFormat/>
    <w:uiPriority w:val="0"/>
    <w:pPr>
      <w:spacing w:after="140" w:line="276" w:lineRule="auto"/>
    </w:pPr>
  </w:style>
  <w:style w:type="paragraph" w:styleId="11">
    <w:name w:val="caption"/>
    <w:basedOn w:val="1"/>
    <w:qFormat/>
    <w:uiPriority w:val="0"/>
    <w:pPr>
      <w:suppressLineNumbers/>
      <w:spacing w:before="120"/>
    </w:pPr>
    <w:rPr>
      <w:rFonts w:cs="Lohit Devanagari"/>
      <w:i/>
      <w:iCs/>
      <w:sz w:val="24"/>
      <w:szCs w:val="24"/>
    </w:rPr>
  </w:style>
  <w:style w:type="paragraph" w:styleId="12">
    <w:name w:val="footer"/>
    <w:basedOn w:val="13"/>
    <w:qFormat/>
    <w:uiPriority w:val="0"/>
  </w:style>
  <w:style w:type="paragraph" w:customStyle="1" w:styleId="13">
    <w:name w:val="Header and Footer"/>
    <w:basedOn w:val="1"/>
    <w:qFormat/>
    <w:uiPriority w:val="0"/>
  </w:style>
  <w:style w:type="character" w:styleId="14">
    <w:name w:val="Hyperlink"/>
    <w:uiPriority w:val="0"/>
    <w:rPr>
      <w:color w:val="000080"/>
      <w:u w:val="single"/>
    </w:rPr>
  </w:style>
  <w:style w:type="paragraph" w:styleId="15">
    <w:name w:val="List"/>
    <w:basedOn w:val="10"/>
    <w:uiPriority w:val="0"/>
    <w:rPr>
      <w:rFonts w:cs="Lohit Devanagari"/>
    </w:rPr>
  </w:style>
  <w:style w:type="paragraph" w:styleId="16">
    <w:name w:val="Subtitle"/>
    <w:basedOn w:val="1"/>
    <w:next w:val="1"/>
    <w:qFormat/>
    <w:uiPriority w:val="0"/>
    <w:pPr>
      <w:keepNext/>
      <w:keepLines/>
      <w:spacing w:after="320"/>
    </w:pPr>
    <w:rPr>
      <w:color w:val="666666"/>
      <w:sz w:val="32"/>
      <w:szCs w:val="32"/>
    </w:rPr>
  </w:style>
  <w:style w:type="paragraph" w:styleId="17">
    <w:name w:val="Title"/>
    <w:basedOn w:val="1"/>
    <w:next w:val="1"/>
    <w:qFormat/>
    <w:uiPriority w:val="0"/>
    <w:pPr>
      <w:keepNext/>
      <w:keepLines/>
      <w:spacing w:after="60"/>
    </w:pPr>
    <w:rPr>
      <w:sz w:val="40"/>
      <w:szCs w:val="40"/>
    </w:rPr>
  </w:style>
  <w:style w:type="paragraph" w:styleId="18">
    <w:name w:val="toc 1"/>
    <w:basedOn w:val="1"/>
    <w:next w:val="1"/>
    <w:uiPriority w:val="39"/>
    <w:pPr>
      <w:tabs>
        <w:tab w:val="right" w:leader="dot" w:pos="9071"/>
      </w:tabs>
      <w:spacing w:before="0" w:after="0" w:line="240" w:lineRule="auto"/>
    </w:pPr>
    <w:rPr>
      <w:sz w:val="26"/>
      <w:szCs w:val="26"/>
    </w:rPr>
  </w:style>
  <w:style w:type="paragraph" w:styleId="19">
    <w:name w:val="toc 2"/>
    <w:basedOn w:val="1"/>
    <w:next w:val="1"/>
    <w:qFormat/>
    <w:uiPriority w:val="39"/>
    <w:pPr>
      <w:tabs>
        <w:tab w:val="right" w:leader="dot" w:pos="9071"/>
      </w:tabs>
      <w:spacing w:before="0" w:after="0" w:line="240" w:lineRule="auto"/>
      <w:ind w:left="420"/>
    </w:pPr>
    <w:rPr>
      <w:sz w:val="26"/>
      <w:szCs w:val="26"/>
    </w:rPr>
  </w:style>
  <w:style w:type="paragraph" w:styleId="20">
    <w:name w:val="toc 3"/>
    <w:basedOn w:val="1"/>
    <w:next w:val="1"/>
    <w:uiPriority w:val="39"/>
    <w:pPr>
      <w:tabs>
        <w:tab w:val="right" w:leader="dot" w:pos="9071"/>
      </w:tabs>
      <w:spacing w:before="0" w:after="0" w:line="240" w:lineRule="auto"/>
      <w:ind w:left="840"/>
    </w:pPr>
    <w:rPr>
      <w:sz w:val="26"/>
      <w:szCs w:val="26"/>
    </w:rPr>
  </w:style>
  <w:style w:type="table" w:customStyle="1" w:styleId="21">
    <w:name w:val="TableNormal"/>
    <w:uiPriority w:val="0"/>
    <w:tblPr>
      <w:tblCellMar>
        <w:top w:w="100" w:type="dxa"/>
        <w:left w:w="100" w:type="dxa"/>
        <w:bottom w:w="100" w:type="dxa"/>
        <w:right w:w="100" w:type="dxa"/>
      </w:tblCellMar>
    </w:tblPr>
  </w:style>
  <w:style w:type="character" w:customStyle="1" w:styleId="22">
    <w:name w:val="Index Link"/>
    <w:qFormat/>
    <w:uiPriority w:val="0"/>
  </w:style>
  <w:style w:type="paragraph" w:customStyle="1" w:styleId="23">
    <w:name w:val="Heading"/>
    <w:basedOn w:val="1"/>
    <w:next w:val="10"/>
    <w:qFormat/>
    <w:uiPriority w:val="0"/>
    <w:pPr>
      <w:keepNext/>
      <w:spacing w:before="240"/>
    </w:pPr>
    <w:rPr>
      <w:rFonts w:ascii="Liberation Sans" w:hAnsi="Liberation Sans" w:eastAsia="Noto Sans CJK SC" w:cs="Lohit Devanagari"/>
      <w:sz w:val="28"/>
    </w:rPr>
  </w:style>
  <w:style w:type="paragraph" w:customStyle="1" w:styleId="24">
    <w:name w:val="Index"/>
    <w:basedOn w:val="1"/>
    <w:qFormat/>
    <w:uiPriority w:val="0"/>
    <w:pPr>
      <w:suppressLineNumbers/>
    </w:pPr>
    <w:rPr>
      <w:rFonts w:cs="Lohit Devanagari"/>
    </w:rPr>
  </w:style>
  <w:style w:type="paragraph" w:customStyle="1" w:styleId="25">
    <w:name w:val="EDA Tieu De 1"/>
    <w:basedOn w:val="1"/>
    <w:next w:val="1"/>
    <w:uiPriority w:val="0"/>
    <w:pPr>
      <w:keepNext/>
      <w:keepLines/>
      <w:spacing w:after="240"/>
    </w:pPr>
    <w:rPr>
      <w:b/>
      <w:sz w:val="30"/>
      <w:szCs w:val="40"/>
    </w:rPr>
  </w:style>
  <w:style w:type="paragraph" w:customStyle="1" w:styleId="26">
    <w:name w:val="EDA Tieu De 2"/>
    <w:basedOn w:val="1"/>
    <w:next w:val="1"/>
    <w:uiPriority w:val="0"/>
    <w:pPr>
      <w:keepNext/>
      <w:keepLines/>
      <w:spacing w:before="240"/>
    </w:pPr>
    <w:rPr>
      <w:b/>
      <w:sz w:val="28"/>
      <w:szCs w:val="36"/>
    </w:rPr>
  </w:style>
  <w:style w:type="paragraph" w:customStyle="1" w:styleId="27">
    <w:name w:val="EDA Tieu De 3"/>
    <w:basedOn w:val="1"/>
    <w:next w:val="1"/>
    <w:uiPriority w:val="0"/>
    <w:pPr>
      <w:keepNext/>
      <w:keepLines/>
      <w:spacing w:before="200" w:after="100"/>
    </w:pPr>
    <w:rPr>
      <w:b/>
      <w:szCs w:val="32"/>
    </w:rPr>
  </w:style>
  <w:style w:type="paragraph" w:customStyle="1" w:styleId="28">
    <w:name w:val="EDA Tieu De 4"/>
    <w:basedOn w:val="1"/>
    <w:next w:val="1"/>
    <w:qFormat/>
    <w:uiPriority w:val="0"/>
    <w:pPr>
      <w:keepNext/>
      <w:keepLines/>
      <w:spacing w:before="140" w:after="80"/>
    </w:pPr>
    <w:rPr>
      <w:b/>
      <w:szCs w:val="32"/>
    </w:rPr>
  </w:style>
  <w:style w:type="table" w:customStyle="1" w:styleId="29">
    <w:name w:val="_Style 29"/>
    <w:basedOn w:val="21"/>
    <w:qFormat/>
    <w:uiPriority w:val="0"/>
  </w:style>
  <w:style w:type="table" w:customStyle="1" w:styleId="30">
    <w:name w:val="_Style 30"/>
    <w:basedOn w:val="21"/>
    <w:uiPriority w:val="0"/>
  </w:style>
  <w:style w:type="table" w:customStyle="1" w:styleId="31">
    <w:name w:val="_Style 31"/>
    <w:basedOn w:val="21"/>
    <w:uiPriority w:val="0"/>
  </w:style>
  <w:style w:type="table" w:customStyle="1" w:styleId="32">
    <w:name w:val="_Style 32"/>
    <w:basedOn w:val="21"/>
    <w:uiPriority w:val="0"/>
  </w:style>
  <w:style w:type="table" w:customStyle="1" w:styleId="33">
    <w:name w:val="_Style 33"/>
    <w:basedOn w:val="21"/>
    <w:qFormat/>
    <w:uiPriority w:val="0"/>
  </w:style>
  <w:style w:type="table" w:customStyle="1" w:styleId="34">
    <w:name w:val="_Style 34"/>
    <w:basedOn w:val="21"/>
    <w:qFormat/>
    <w:uiPriority w:val="0"/>
  </w:style>
  <w:style w:type="table" w:customStyle="1" w:styleId="35">
    <w:name w:val="_Style 35"/>
    <w:basedOn w:val="21"/>
    <w:uiPriority w:val="0"/>
  </w:style>
  <w:style w:type="table" w:customStyle="1" w:styleId="36">
    <w:name w:val="_Style 36"/>
    <w:basedOn w:val="21"/>
    <w:uiPriority w:val="0"/>
    <w:tblPr>
      <w:tblCellMar>
        <w:top w:w="60" w:type="dxa"/>
        <w:left w:w="100" w:type="dxa"/>
        <w:bottom w:w="60" w:type="dxa"/>
        <w:right w:w="100" w:type="dxa"/>
      </w:tblCellMar>
    </w:tblPr>
  </w:style>
  <w:style w:type="table" w:customStyle="1" w:styleId="37">
    <w:name w:val="_Style 37"/>
    <w:basedOn w:val="21"/>
    <w:uiPriority w:val="0"/>
    <w:tblPr>
      <w:tblCellMar>
        <w:top w:w="60" w:type="dxa"/>
        <w:left w:w="100" w:type="dxa"/>
        <w:bottom w:w="60" w:type="dxa"/>
        <w:right w:w="100" w:type="dxa"/>
      </w:tblCellMar>
    </w:tblPr>
  </w:style>
  <w:style w:type="table" w:customStyle="1" w:styleId="38">
    <w:name w:val="_Style 38"/>
    <w:basedOn w:val="21"/>
    <w:uiPriority w:val="0"/>
    <w:tblPr>
      <w:tblCellMar>
        <w:top w:w="60" w:type="dxa"/>
        <w:left w:w="100" w:type="dxa"/>
        <w:bottom w:w="60" w:type="dxa"/>
        <w:right w:w="100" w:type="dxa"/>
      </w:tblCellMar>
    </w:tblPr>
  </w:style>
  <w:style w:type="table" w:customStyle="1" w:styleId="39">
    <w:name w:val="_Style 39"/>
    <w:basedOn w:val="21"/>
    <w:uiPriority w:val="0"/>
    <w:tblPr>
      <w:tblCellMar>
        <w:top w:w="60" w:type="dxa"/>
        <w:left w:w="100" w:type="dxa"/>
        <w:bottom w:w="60" w:type="dxa"/>
        <w:right w:w="100" w:type="dxa"/>
      </w:tblCellMar>
    </w:tblPr>
  </w:style>
  <w:style w:type="table" w:customStyle="1" w:styleId="40">
    <w:name w:val="_Style 40"/>
    <w:basedOn w:val="21"/>
    <w:qFormat/>
    <w:uiPriority w:val="0"/>
    <w:tblPr>
      <w:tblCellMar>
        <w:top w:w="60" w:type="dxa"/>
        <w:left w:w="100" w:type="dxa"/>
        <w:bottom w:w="60" w:type="dxa"/>
        <w:right w:w="100" w:type="dxa"/>
      </w:tblCellMar>
    </w:tblPr>
  </w:style>
  <w:style w:type="table" w:customStyle="1" w:styleId="41">
    <w:name w:val="_Style 41"/>
    <w:basedOn w:val="21"/>
    <w:uiPriority w:val="0"/>
    <w:tblPr>
      <w:tblCellMar>
        <w:top w:w="60" w:type="dxa"/>
        <w:left w:w="100" w:type="dxa"/>
        <w:bottom w:w="60" w:type="dxa"/>
        <w:right w:w="100" w:type="dxa"/>
      </w:tblCellMar>
    </w:tblPr>
  </w:style>
  <w:style w:type="table" w:customStyle="1" w:styleId="42">
    <w:name w:val="_Style 42"/>
    <w:basedOn w:val="21"/>
    <w:uiPriority w:val="0"/>
    <w:tblPr>
      <w:tblCellMar>
        <w:top w:w="0" w:type="dxa"/>
        <w:left w:w="115" w:type="dxa"/>
        <w:bottom w:w="0" w:type="dxa"/>
        <w:right w:w="115" w:type="dxa"/>
      </w:tblCellMar>
    </w:tblPr>
  </w:style>
  <w:style w:type="table" w:customStyle="1" w:styleId="43">
    <w:name w:val="_Style 43"/>
    <w:basedOn w:val="21"/>
    <w:uiPriority w:val="0"/>
    <w:tblPr>
      <w:tblCellMar>
        <w:top w:w="0" w:type="dxa"/>
        <w:left w:w="115" w:type="dxa"/>
        <w:bottom w:w="0" w:type="dxa"/>
        <w:right w:w="115" w:type="dxa"/>
      </w:tblCellMar>
    </w:tblPr>
  </w:style>
  <w:style w:type="table" w:customStyle="1" w:styleId="44">
    <w:name w:val="_Style 44"/>
    <w:basedOn w:val="21"/>
    <w:qFormat/>
    <w:uiPriority w:val="0"/>
    <w:tblPr>
      <w:tblCellMar>
        <w:top w:w="0" w:type="dxa"/>
        <w:left w:w="115" w:type="dxa"/>
        <w:bottom w:w="0" w:type="dxa"/>
        <w:right w:w="115" w:type="dxa"/>
      </w:tblCellMar>
    </w:tblPr>
  </w:style>
  <w:style w:type="table" w:customStyle="1" w:styleId="45">
    <w:name w:val="_Style 45"/>
    <w:basedOn w:val="21"/>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numbering" Target="numbering.xml"/><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8ffg/Wu4ECnpmLDoyaECN8kr2w==">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37</Pages>
  <Words>6624</Words>
  <Characters>26108</Characters>
  <TotalTime>1</TotalTime>
  <ScaleCrop>false</ScaleCrop>
  <LinksUpToDate>false</LinksUpToDate>
  <CharactersWithSpaces>32243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2026-10-18T09:41:49Z</dcterms:created>
  <dc:creator>ACER</dc:creator>
  <cp:lastModifiedBy>10. Hoàng Đăng Hậu 10a8</cp:lastModifiedBy>
  <dcterms:modified xsi:type="dcterms:W3CDTF">2026-10-18T09:43:45Z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eyJoZGlkIjoiNDQxYjY0NzI3NWI3MGE1NzIyNDhkMWExMDMzMDk4NzYiLCJ1c2VySWQiOiIxMzkxODk2OTU1NzczIn0=</vt:lpwstr>
  </property>
  <property fmtid="{D5CDD505-2E9C-101B-9397-08002B2CF9AE}" pid="3" name="KSOProductBuildVer">
    <vt:lpwstr>1033-12.1.0.29162</vt:lpwstr>
  </property>
  <property fmtid="{D5CDD505-2E9C-101B-9397-08002B2CF9AE}" pid="4" name="ICV">
    <vt:lpwstr>00EB375575D04528A7EC4B072056EF1E_12</vt:lpwstr>
  </property>
</Properties>
</file>